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18DF6" w14:textId="726B5B3B" w:rsidR="00D26748" w:rsidRDefault="00993B34" w:rsidP="002C4902">
      <w:pPr>
        <w:ind w:firstLine="0"/>
        <w:rPr>
          <w:rFonts w:ascii="Arial" w:hAnsi="Arial" w:cs="Arial"/>
          <w:b/>
        </w:rPr>
      </w:pPr>
      <w:r>
        <w:rPr>
          <w:rFonts w:ascii="Arial" w:hAnsi="Arial" w:cs="Arial"/>
          <w:b/>
        </w:rPr>
        <w:t xml:space="preserve">AO PREGOEIRO DO MUNICÍPIO DE </w:t>
      </w:r>
      <w:r w:rsidR="005136CC">
        <w:rPr>
          <w:rFonts w:ascii="Arial" w:hAnsi="Arial" w:cs="Arial"/>
          <w:b/>
        </w:rPr>
        <w:t>MACAPÁ/AP</w:t>
      </w:r>
    </w:p>
    <w:p w14:paraId="1AA8D1EF" w14:textId="77777777" w:rsidR="00D26748" w:rsidRDefault="00D26748" w:rsidP="002C4902">
      <w:pPr>
        <w:ind w:firstLine="0"/>
        <w:rPr>
          <w:rFonts w:ascii="Arial" w:hAnsi="Arial" w:cs="Arial"/>
          <w:b/>
        </w:rPr>
      </w:pPr>
    </w:p>
    <w:p w14:paraId="7C5C4DF9" w14:textId="77777777" w:rsidR="005136CC" w:rsidRDefault="005136CC" w:rsidP="002C4902">
      <w:pPr>
        <w:ind w:firstLine="0"/>
        <w:rPr>
          <w:rFonts w:ascii="Arial" w:hAnsi="Arial" w:cs="Arial"/>
          <w:b/>
        </w:rPr>
      </w:pPr>
    </w:p>
    <w:p w14:paraId="0DC519B3" w14:textId="77777777" w:rsidR="005136CC" w:rsidRDefault="005136CC" w:rsidP="002C4902">
      <w:pPr>
        <w:ind w:firstLine="0"/>
        <w:rPr>
          <w:rFonts w:ascii="Arial" w:hAnsi="Arial" w:cs="Arial"/>
          <w:b/>
        </w:rPr>
      </w:pPr>
    </w:p>
    <w:p w14:paraId="6108F173" w14:textId="5964DED3" w:rsidR="00D26748" w:rsidRDefault="00D26748" w:rsidP="002C4902">
      <w:pPr>
        <w:ind w:firstLine="0"/>
        <w:rPr>
          <w:rFonts w:ascii="Arial" w:hAnsi="Arial" w:cs="Arial"/>
        </w:rPr>
      </w:pPr>
      <w:r>
        <w:rPr>
          <w:rFonts w:ascii="Arial" w:hAnsi="Arial" w:cs="Arial"/>
          <w:b/>
        </w:rPr>
        <w:t xml:space="preserve">LICITAÇÃO: </w:t>
      </w:r>
      <w:r w:rsidR="005136CC">
        <w:rPr>
          <w:rFonts w:ascii="Arial" w:hAnsi="Arial" w:cs="Arial"/>
        </w:rPr>
        <w:t>CONCORRÊNCIA ELETRÔNICA</w:t>
      </w:r>
      <w:r w:rsidR="00993B34">
        <w:rPr>
          <w:rFonts w:ascii="Arial" w:hAnsi="Arial" w:cs="Arial"/>
        </w:rPr>
        <w:t xml:space="preserve"> </w:t>
      </w:r>
      <w:r w:rsidRPr="00D26748">
        <w:rPr>
          <w:rFonts w:ascii="Arial" w:hAnsi="Arial" w:cs="Arial"/>
        </w:rPr>
        <w:t xml:space="preserve">Nº </w:t>
      </w:r>
      <w:r w:rsidR="005136CC">
        <w:rPr>
          <w:rFonts w:ascii="Arial" w:hAnsi="Arial" w:cs="Arial"/>
        </w:rPr>
        <w:t>001</w:t>
      </w:r>
      <w:r w:rsidR="00993B34">
        <w:rPr>
          <w:rFonts w:ascii="Arial" w:hAnsi="Arial" w:cs="Arial"/>
        </w:rPr>
        <w:t>/2024</w:t>
      </w:r>
      <w:r w:rsidR="005136CC">
        <w:rPr>
          <w:rFonts w:ascii="Arial" w:hAnsi="Arial" w:cs="Arial"/>
        </w:rPr>
        <w:t>.</w:t>
      </w:r>
    </w:p>
    <w:p w14:paraId="51840ACD" w14:textId="6D097925" w:rsidR="005136CC" w:rsidRDefault="005136CC" w:rsidP="005136CC">
      <w:pPr>
        <w:ind w:firstLine="0"/>
        <w:rPr>
          <w:rFonts w:ascii="Arial" w:hAnsi="Arial" w:cs="Arial"/>
        </w:rPr>
      </w:pPr>
      <w:r>
        <w:rPr>
          <w:rFonts w:ascii="Arial" w:hAnsi="Arial" w:cs="Arial"/>
          <w:b/>
        </w:rPr>
        <w:t xml:space="preserve">OBJETO: </w:t>
      </w:r>
      <w:r w:rsidRPr="005136CC">
        <w:rPr>
          <w:rFonts w:ascii="Arial" w:hAnsi="Arial" w:cs="Arial"/>
        </w:rPr>
        <w:t>CONTRATAÇÃO DE EMPRESA ESPECIALIZADA PARA EXECUTAR SERVIÇOS DE TOPOGRAFIA NO MUNICÍPIO DE MACAPÁ/AP.</w:t>
      </w:r>
    </w:p>
    <w:p w14:paraId="1956464F" w14:textId="77777777" w:rsidR="005136CC" w:rsidRDefault="005136CC" w:rsidP="002C4902">
      <w:pPr>
        <w:ind w:firstLine="0"/>
        <w:rPr>
          <w:rFonts w:ascii="Arial" w:hAnsi="Arial" w:cs="Arial"/>
        </w:rPr>
      </w:pPr>
    </w:p>
    <w:p w14:paraId="3824A16C" w14:textId="70518911" w:rsidR="00D26748" w:rsidRDefault="00D26748" w:rsidP="002C4902">
      <w:pPr>
        <w:ind w:firstLine="0"/>
        <w:rPr>
          <w:rFonts w:ascii="Arial" w:hAnsi="Arial" w:cs="Arial"/>
          <w:b/>
        </w:rPr>
      </w:pPr>
    </w:p>
    <w:p w14:paraId="0AABFCE3" w14:textId="38122A0C" w:rsidR="005E31CF" w:rsidRDefault="00993B34" w:rsidP="002C4902">
      <w:pPr>
        <w:ind w:firstLine="708"/>
        <w:rPr>
          <w:rFonts w:ascii="Arial" w:hAnsi="Arial" w:cs="Arial"/>
        </w:rPr>
      </w:pPr>
      <w:r>
        <w:rPr>
          <w:rFonts w:ascii="Arial" w:hAnsi="Arial" w:cs="Arial"/>
        </w:rPr>
        <w:t xml:space="preserve">A empresa </w:t>
      </w:r>
      <w:r w:rsidR="00A812ED" w:rsidRPr="00E22996">
        <w:rPr>
          <w:rFonts w:ascii="Arial" w:hAnsi="Arial" w:cs="Arial"/>
        </w:rPr>
        <w:t xml:space="preserve">D. DOS SANTOS PEREIRA </w:t>
      </w:r>
      <w:r w:rsidR="007C547A">
        <w:rPr>
          <w:rFonts w:ascii="Arial" w:hAnsi="Arial" w:cs="Arial"/>
        </w:rPr>
        <w:t>LTDA</w:t>
      </w:r>
      <w:r w:rsidR="00A812ED" w:rsidRPr="00E22996">
        <w:rPr>
          <w:rFonts w:ascii="Arial" w:hAnsi="Arial" w:cs="Arial"/>
        </w:rPr>
        <w:t xml:space="preserve"> - EPP</w:t>
      </w:r>
      <w:r w:rsidR="00761CF8" w:rsidRPr="00E22996">
        <w:rPr>
          <w:rFonts w:ascii="Arial" w:hAnsi="Arial" w:cs="Arial"/>
        </w:rPr>
        <w:t>, inscrita no CNPJ/MF sob o nº</w:t>
      </w:r>
      <w:r w:rsidR="002F2473" w:rsidRPr="00E22996">
        <w:rPr>
          <w:rFonts w:ascii="Arial" w:hAnsi="Arial" w:cs="Arial"/>
        </w:rPr>
        <w:t xml:space="preserve"> </w:t>
      </w:r>
      <w:r w:rsidR="002F2473" w:rsidRPr="00E22996">
        <w:rPr>
          <w:rFonts w:ascii="Arial" w:eastAsia="Calibri" w:hAnsi="Arial" w:cs="Arial"/>
        </w:rPr>
        <w:t>18.713.845/0001-90</w:t>
      </w:r>
      <w:r w:rsidR="00761CF8" w:rsidRPr="00E22996">
        <w:rPr>
          <w:rFonts w:ascii="Arial" w:hAnsi="Arial" w:cs="Arial"/>
        </w:rPr>
        <w:t xml:space="preserve">, estabelecida na </w:t>
      </w:r>
      <w:r>
        <w:rPr>
          <w:rFonts w:ascii="Arial" w:eastAsia="Calibri" w:hAnsi="Arial" w:cs="Arial"/>
        </w:rPr>
        <w:t>A</w:t>
      </w:r>
      <w:r w:rsidRPr="00E22996">
        <w:rPr>
          <w:rFonts w:ascii="Arial" w:eastAsia="Calibri" w:hAnsi="Arial" w:cs="Arial"/>
        </w:rPr>
        <w:t xml:space="preserve">v. </w:t>
      </w:r>
      <w:r>
        <w:rPr>
          <w:rFonts w:ascii="Arial" w:eastAsia="Calibri" w:hAnsi="Arial" w:cs="Arial"/>
        </w:rPr>
        <w:t>E</w:t>
      </w:r>
      <w:r w:rsidRPr="00E22996">
        <w:rPr>
          <w:rFonts w:ascii="Arial" w:eastAsia="Calibri" w:hAnsi="Arial" w:cs="Arial"/>
        </w:rPr>
        <w:t xml:space="preserve">duardo </w:t>
      </w:r>
      <w:r>
        <w:rPr>
          <w:rFonts w:ascii="Arial" w:eastAsia="Calibri" w:hAnsi="Arial" w:cs="Arial"/>
        </w:rPr>
        <w:t>E</w:t>
      </w:r>
      <w:r w:rsidRPr="00E22996">
        <w:rPr>
          <w:rFonts w:ascii="Arial" w:eastAsia="Calibri" w:hAnsi="Arial" w:cs="Arial"/>
        </w:rPr>
        <w:t xml:space="preserve">lias </w:t>
      </w:r>
      <w:r>
        <w:rPr>
          <w:rFonts w:ascii="Arial" w:eastAsia="Calibri" w:hAnsi="Arial" w:cs="Arial"/>
        </w:rPr>
        <w:t>Z</w:t>
      </w:r>
      <w:r w:rsidRPr="00E22996">
        <w:rPr>
          <w:rFonts w:ascii="Arial" w:eastAsia="Calibri" w:hAnsi="Arial" w:cs="Arial"/>
        </w:rPr>
        <w:t>arhan,</w:t>
      </w:r>
      <w:r w:rsidRPr="00E22996">
        <w:rPr>
          <w:rFonts w:ascii="Arial" w:hAnsi="Arial" w:cs="Arial"/>
        </w:rPr>
        <w:t xml:space="preserve"> nº 3032, bairro </w:t>
      </w:r>
      <w:r>
        <w:rPr>
          <w:rFonts w:ascii="Arial" w:hAnsi="Arial" w:cs="Arial"/>
        </w:rPr>
        <w:t>J</w:t>
      </w:r>
      <w:r w:rsidRPr="00E22996">
        <w:rPr>
          <w:rFonts w:ascii="Arial" w:eastAsia="Calibri" w:hAnsi="Arial" w:cs="Arial"/>
        </w:rPr>
        <w:t xml:space="preserve">ardim </w:t>
      </w:r>
      <w:r>
        <w:rPr>
          <w:rFonts w:ascii="Arial" w:eastAsia="Calibri" w:hAnsi="Arial" w:cs="Arial"/>
        </w:rPr>
        <w:t>S</w:t>
      </w:r>
      <w:r w:rsidRPr="00E22996">
        <w:rPr>
          <w:rFonts w:ascii="Arial" w:eastAsia="Calibri" w:hAnsi="Arial" w:cs="Arial"/>
        </w:rPr>
        <w:t xml:space="preserve">ão </w:t>
      </w:r>
      <w:r>
        <w:rPr>
          <w:rFonts w:ascii="Arial" w:eastAsia="Calibri" w:hAnsi="Arial" w:cs="Arial"/>
        </w:rPr>
        <w:t>L</w:t>
      </w:r>
      <w:r w:rsidRPr="00E22996">
        <w:rPr>
          <w:rFonts w:ascii="Arial" w:eastAsia="Calibri" w:hAnsi="Arial" w:cs="Arial"/>
        </w:rPr>
        <w:t>ourenço</w:t>
      </w:r>
      <w:r w:rsidRPr="00E22996">
        <w:rPr>
          <w:rFonts w:ascii="Arial" w:hAnsi="Arial" w:cs="Arial"/>
        </w:rPr>
        <w:t xml:space="preserve">, na cidade de </w:t>
      </w:r>
      <w:r>
        <w:rPr>
          <w:rFonts w:ascii="Arial" w:hAnsi="Arial" w:cs="Arial"/>
        </w:rPr>
        <w:t>C</w:t>
      </w:r>
      <w:r w:rsidRPr="00E22996">
        <w:rPr>
          <w:rFonts w:ascii="Arial" w:hAnsi="Arial" w:cs="Arial"/>
        </w:rPr>
        <w:t xml:space="preserve">ampo </w:t>
      </w:r>
      <w:r>
        <w:rPr>
          <w:rFonts w:ascii="Arial" w:hAnsi="Arial" w:cs="Arial"/>
        </w:rPr>
        <w:t>G</w:t>
      </w:r>
      <w:r w:rsidRPr="00E22996">
        <w:rPr>
          <w:rFonts w:ascii="Arial" w:hAnsi="Arial" w:cs="Arial"/>
        </w:rPr>
        <w:t>rande</w:t>
      </w:r>
      <w:r>
        <w:rPr>
          <w:rFonts w:ascii="Arial" w:hAnsi="Arial" w:cs="Arial"/>
        </w:rPr>
        <w:t>/</w:t>
      </w:r>
      <w:r w:rsidR="00463CD4" w:rsidRPr="00E22996">
        <w:rPr>
          <w:rFonts w:ascii="Arial" w:hAnsi="Arial" w:cs="Arial"/>
        </w:rPr>
        <w:t>MS</w:t>
      </w:r>
      <w:r w:rsidR="00761CF8" w:rsidRPr="00E22996">
        <w:rPr>
          <w:rFonts w:ascii="Arial" w:hAnsi="Arial" w:cs="Arial"/>
        </w:rPr>
        <w:t>, e-mail</w:t>
      </w:r>
      <w:r w:rsidR="00CA2CBE" w:rsidRPr="00E22996">
        <w:rPr>
          <w:rFonts w:ascii="Arial" w:hAnsi="Arial" w:cs="Arial"/>
        </w:rPr>
        <w:t xml:space="preserve"> </w:t>
      </w:r>
      <w:r>
        <w:rPr>
          <w:rFonts w:ascii="Arial" w:hAnsi="Arial" w:cs="Arial"/>
        </w:rPr>
        <w:t>cadastro</w:t>
      </w:r>
      <w:r w:rsidR="00CA2CBE" w:rsidRPr="00E22996">
        <w:rPr>
          <w:rFonts w:ascii="Arial" w:hAnsi="Arial" w:cs="Arial"/>
        </w:rPr>
        <w:t>@</w:t>
      </w:r>
      <w:r>
        <w:rPr>
          <w:rFonts w:ascii="Arial" w:hAnsi="Arial" w:cs="Arial"/>
        </w:rPr>
        <w:t>licitacaogc</w:t>
      </w:r>
      <w:r w:rsidR="00CA2CBE" w:rsidRPr="00E22996">
        <w:rPr>
          <w:rFonts w:ascii="Arial" w:hAnsi="Arial" w:cs="Arial"/>
        </w:rPr>
        <w:t>.com.br</w:t>
      </w:r>
      <w:r w:rsidR="00761CF8" w:rsidRPr="00E22996">
        <w:rPr>
          <w:rFonts w:ascii="Arial" w:hAnsi="Arial" w:cs="Arial"/>
        </w:rPr>
        <w:t>, T</w:t>
      </w:r>
      <w:r w:rsidRPr="00E22996">
        <w:rPr>
          <w:rFonts w:ascii="Arial" w:hAnsi="Arial" w:cs="Arial"/>
        </w:rPr>
        <w:t>elefone</w:t>
      </w:r>
      <w:r w:rsidR="00761CF8" w:rsidRPr="00E22996">
        <w:rPr>
          <w:rFonts w:ascii="Arial" w:hAnsi="Arial" w:cs="Arial"/>
        </w:rPr>
        <w:t>/FAX</w:t>
      </w:r>
      <w:r w:rsidR="00693A8A" w:rsidRPr="00E22996">
        <w:rPr>
          <w:rFonts w:ascii="Arial" w:hAnsi="Arial" w:cs="Arial"/>
        </w:rPr>
        <w:t xml:space="preserve"> </w:t>
      </w:r>
      <w:r w:rsidR="00F4065A" w:rsidRPr="00E22996">
        <w:rPr>
          <w:rFonts w:ascii="Arial" w:hAnsi="Arial" w:cs="Arial"/>
        </w:rPr>
        <w:t>: (67) 3042-1263</w:t>
      </w:r>
      <w:r w:rsidR="00761CF8" w:rsidRPr="00E22996">
        <w:rPr>
          <w:rFonts w:ascii="Arial" w:hAnsi="Arial" w:cs="Arial"/>
        </w:rPr>
        <w:t xml:space="preserve">, </w:t>
      </w:r>
      <w:r w:rsidR="006F2F26">
        <w:rPr>
          <w:rFonts w:ascii="Arial" w:hAnsi="Arial" w:cs="Arial"/>
        </w:rPr>
        <w:t>por intermédio de seu representante legal</w:t>
      </w:r>
      <w:r w:rsidR="00FA0D75" w:rsidRPr="00FA0D75">
        <w:rPr>
          <w:rFonts w:ascii="Arial" w:hAnsi="Arial" w:cs="Arial"/>
        </w:rPr>
        <w:t xml:space="preserve">, </w:t>
      </w:r>
      <w:r w:rsidR="007C7885" w:rsidRPr="00B46070">
        <w:rPr>
          <w:rFonts w:ascii="Arial" w:hAnsi="Arial" w:cs="Arial"/>
          <w:color w:val="000000" w:themeColor="text1"/>
        </w:rPr>
        <w:t xml:space="preserve">vem, respeitosamente, apresentar </w:t>
      </w:r>
      <w:r w:rsidR="007C7885" w:rsidRPr="00B46070">
        <w:rPr>
          <w:rFonts w:ascii="Arial" w:hAnsi="Arial" w:cs="Arial"/>
          <w:color w:val="000000" w:themeColor="text1"/>
          <w:u w:val="single"/>
        </w:rPr>
        <w:t>RECURSO ADMINISTRATIVO</w:t>
      </w:r>
      <w:r w:rsidR="007C7885" w:rsidRPr="00B46070">
        <w:rPr>
          <w:rFonts w:ascii="Arial" w:hAnsi="Arial" w:cs="Arial"/>
          <w:color w:val="000000" w:themeColor="text1"/>
        </w:rPr>
        <w:t>, passando a ser mencionada com RECORRENTE, com fulcro nos fatos e argumentos a seguir anotados.</w:t>
      </w:r>
    </w:p>
    <w:p w14:paraId="394EE1D4" w14:textId="77777777" w:rsidR="00F42E44" w:rsidRDefault="00F42E44" w:rsidP="002C4902">
      <w:pPr>
        <w:ind w:firstLine="1701"/>
        <w:rPr>
          <w:rFonts w:ascii="Arial" w:hAnsi="Arial" w:cs="Arial"/>
        </w:rPr>
      </w:pPr>
    </w:p>
    <w:p w14:paraId="2916BF67" w14:textId="77777777" w:rsidR="005136CC" w:rsidRDefault="005136CC" w:rsidP="007C7885">
      <w:pPr>
        <w:autoSpaceDE w:val="0"/>
        <w:autoSpaceDN w:val="0"/>
        <w:adjustRightInd w:val="0"/>
        <w:spacing w:after="60"/>
        <w:ind w:firstLine="0"/>
        <w:rPr>
          <w:rFonts w:ascii="Arial" w:hAnsi="Arial" w:cs="Arial"/>
          <w:b/>
          <w:color w:val="000000" w:themeColor="text1"/>
        </w:rPr>
      </w:pPr>
    </w:p>
    <w:p w14:paraId="4D8BE0AE" w14:textId="1B97C96B" w:rsidR="007C7885" w:rsidRPr="00B46070" w:rsidRDefault="007C7885" w:rsidP="007C7885">
      <w:pPr>
        <w:autoSpaceDE w:val="0"/>
        <w:autoSpaceDN w:val="0"/>
        <w:adjustRightInd w:val="0"/>
        <w:spacing w:after="60"/>
        <w:ind w:firstLine="0"/>
        <w:rPr>
          <w:rFonts w:ascii="Arial" w:hAnsi="Arial" w:cs="Arial"/>
          <w:b/>
          <w:color w:val="000000" w:themeColor="text1"/>
        </w:rPr>
      </w:pPr>
      <w:r w:rsidRPr="00B46070">
        <w:rPr>
          <w:rFonts w:ascii="Arial" w:hAnsi="Arial" w:cs="Arial"/>
          <w:b/>
          <w:color w:val="000000" w:themeColor="text1"/>
        </w:rPr>
        <w:t xml:space="preserve">I. </w:t>
      </w:r>
      <w:r>
        <w:rPr>
          <w:rFonts w:ascii="Arial" w:hAnsi="Arial" w:cs="Arial"/>
          <w:b/>
          <w:color w:val="000000" w:themeColor="text1"/>
        </w:rPr>
        <w:tab/>
      </w:r>
      <w:r w:rsidRPr="00B46070">
        <w:rPr>
          <w:rFonts w:ascii="Arial" w:hAnsi="Arial" w:cs="Arial"/>
          <w:b/>
          <w:color w:val="000000" w:themeColor="text1"/>
        </w:rPr>
        <w:t xml:space="preserve">DO CABIMENTO E TEMPESTIVIDADE </w:t>
      </w:r>
    </w:p>
    <w:p w14:paraId="05CA8674" w14:textId="1AE625F2" w:rsidR="007C7885" w:rsidRPr="00B46070" w:rsidRDefault="007C7885" w:rsidP="007C7885">
      <w:pPr>
        <w:autoSpaceDE w:val="0"/>
        <w:autoSpaceDN w:val="0"/>
        <w:adjustRightInd w:val="0"/>
        <w:spacing w:after="60"/>
        <w:ind w:firstLine="708"/>
        <w:rPr>
          <w:rFonts w:ascii="Arial" w:hAnsi="Arial" w:cs="Arial"/>
          <w:color w:val="000000" w:themeColor="text1"/>
        </w:rPr>
      </w:pPr>
      <w:r w:rsidRPr="00B46070">
        <w:rPr>
          <w:rFonts w:ascii="Arial" w:hAnsi="Arial" w:cs="Arial"/>
          <w:color w:val="000000" w:themeColor="text1"/>
        </w:rPr>
        <w:t xml:space="preserve">Nos termos da Lei 14.133/21, em conformidade com a previsão editalícia em </w:t>
      </w:r>
      <w:r w:rsidR="005136CC">
        <w:rPr>
          <w:rFonts w:ascii="Arial" w:hAnsi="Arial" w:cs="Arial"/>
          <w:color w:val="000000" w:themeColor="text1"/>
        </w:rPr>
        <w:t>seu item 13 e subitens subordinados</w:t>
      </w:r>
      <w:r w:rsidRPr="00B46070">
        <w:rPr>
          <w:rFonts w:ascii="Arial" w:hAnsi="Arial" w:cs="Arial"/>
          <w:color w:val="000000" w:themeColor="text1"/>
        </w:rPr>
        <w:t>, vejamos:</w:t>
      </w:r>
    </w:p>
    <w:p w14:paraId="4594B0BC" w14:textId="77777777" w:rsidR="007C7885" w:rsidRPr="00B46070" w:rsidRDefault="007C7885" w:rsidP="007C7885">
      <w:pPr>
        <w:autoSpaceDE w:val="0"/>
        <w:autoSpaceDN w:val="0"/>
        <w:adjustRightInd w:val="0"/>
        <w:spacing w:after="60"/>
        <w:ind w:firstLine="851"/>
        <w:rPr>
          <w:rFonts w:ascii="Arial" w:hAnsi="Arial" w:cs="Arial"/>
          <w:color w:val="000000" w:themeColor="text1"/>
          <w:sz w:val="20"/>
          <w:szCs w:val="20"/>
        </w:rPr>
      </w:pPr>
    </w:p>
    <w:p w14:paraId="422413DB" w14:textId="77777777" w:rsidR="005136CC" w:rsidRDefault="005136CC" w:rsidP="005136CC">
      <w:pPr>
        <w:autoSpaceDE w:val="0"/>
        <w:autoSpaceDN w:val="0"/>
        <w:adjustRightInd w:val="0"/>
        <w:spacing w:after="60"/>
        <w:ind w:left="2268" w:firstLine="0"/>
        <w:rPr>
          <w:rFonts w:ascii="Arial" w:hAnsi="Arial" w:cs="Arial"/>
          <w:color w:val="000000" w:themeColor="text1"/>
          <w:sz w:val="20"/>
          <w:szCs w:val="20"/>
        </w:rPr>
      </w:pPr>
      <w:r w:rsidRPr="005136CC">
        <w:rPr>
          <w:rFonts w:ascii="Arial" w:hAnsi="Arial" w:cs="Arial"/>
          <w:color w:val="000000" w:themeColor="text1"/>
          <w:sz w:val="20"/>
          <w:szCs w:val="20"/>
        </w:rPr>
        <w:t>13.1. A interposição de recurso referente ao julgamento das propostas, à habilitação ou inabilitação de</w:t>
      </w:r>
      <w:r>
        <w:rPr>
          <w:rFonts w:ascii="Arial" w:hAnsi="Arial" w:cs="Arial"/>
          <w:color w:val="000000" w:themeColor="text1"/>
          <w:sz w:val="20"/>
          <w:szCs w:val="20"/>
        </w:rPr>
        <w:t xml:space="preserve"> </w:t>
      </w:r>
      <w:r w:rsidRPr="005136CC">
        <w:rPr>
          <w:rFonts w:ascii="Arial" w:hAnsi="Arial" w:cs="Arial"/>
          <w:color w:val="000000" w:themeColor="text1"/>
          <w:sz w:val="20"/>
          <w:szCs w:val="20"/>
        </w:rPr>
        <w:t>licitantes, à anulação ou revogação da licitação, observará o disposto no art. 165 da Lei nº 14.133, de 2021.</w:t>
      </w:r>
    </w:p>
    <w:p w14:paraId="3E9FD89D" w14:textId="77777777" w:rsidR="005136CC" w:rsidRDefault="005136CC" w:rsidP="005136CC">
      <w:pPr>
        <w:autoSpaceDE w:val="0"/>
        <w:autoSpaceDN w:val="0"/>
        <w:adjustRightInd w:val="0"/>
        <w:spacing w:after="60"/>
        <w:ind w:left="2268" w:firstLine="0"/>
        <w:rPr>
          <w:rFonts w:ascii="Arial" w:hAnsi="Arial" w:cs="Arial"/>
          <w:color w:val="000000" w:themeColor="text1"/>
          <w:sz w:val="20"/>
          <w:szCs w:val="20"/>
        </w:rPr>
      </w:pPr>
      <w:r w:rsidRPr="005136CC">
        <w:rPr>
          <w:rFonts w:ascii="Arial" w:hAnsi="Arial" w:cs="Arial"/>
          <w:color w:val="000000" w:themeColor="text1"/>
          <w:sz w:val="20"/>
          <w:szCs w:val="20"/>
        </w:rPr>
        <w:t>13.2. O prazo recursal é de 3 (três) dias úteis, contados da data de intimação ou de lavratura da ata.</w:t>
      </w:r>
    </w:p>
    <w:p w14:paraId="59A33886" w14:textId="77777777" w:rsidR="005136CC" w:rsidRDefault="005136CC" w:rsidP="005136CC">
      <w:pPr>
        <w:autoSpaceDE w:val="0"/>
        <w:autoSpaceDN w:val="0"/>
        <w:adjustRightInd w:val="0"/>
        <w:spacing w:after="60"/>
        <w:ind w:left="2268" w:firstLine="0"/>
        <w:rPr>
          <w:rFonts w:ascii="Arial" w:hAnsi="Arial" w:cs="Arial"/>
          <w:color w:val="000000" w:themeColor="text1"/>
          <w:sz w:val="20"/>
          <w:szCs w:val="20"/>
        </w:rPr>
      </w:pPr>
      <w:r w:rsidRPr="005136CC">
        <w:rPr>
          <w:rFonts w:ascii="Arial" w:hAnsi="Arial" w:cs="Arial"/>
          <w:color w:val="000000" w:themeColor="text1"/>
          <w:sz w:val="20"/>
          <w:szCs w:val="20"/>
        </w:rPr>
        <w:t>13.3. Quando o recurso apresentado impugnar o julgamento das propostas ou o ato de habilitação ou</w:t>
      </w:r>
      <w:r>
        <w:rPr>
          <w:rFonts w:ascii="Arial" w:hAnsi="Arial" w:cs="Arial"/>
          <w:color w:val="000000" w:themeColor="text1"/>
          <w:sz w:val="20"/>
          <w:szCs w:val="20"/>
        </w:rPr>
        <w:t xml:space="preserve"> </w:t>
      </w:r>
      <w:r w:rsidRPr="005136CC">
        <w:rPr>
          <w:rFonts w:ascii="Arial" w:hAnsi="Arial" w:cs="Arial"/>
          <w:color w:val="000000" w:themeColor="text1"/>
          <w:sz w:val="20"/>
          <w:szCs w:val="20"/>
        </w:rPr>
        <w:t>inabilitação do licitante:</w:t>
      </w:r>
    </w:p>
    <w:p w14:paraId="4F157F2A" w14:textId="77777777" w:rsidR="005136CC" w:rsidRDefault="005136CC" w:rsidP="005136CC">
      <w:pPr>
        <w:autoSpaceDE w:val="0"/>
        <w:autoSpaceDN w:val="0"/>
        <w:adjustRightInd w:val="0"/>
        <w:spacing w:after="60"/>
        <w:ind w:left="2268" w:firstLine="0"/>
        <w:rPr>
          <w:rFonts w:ascii="Arial" w:hAnsi="Arial" w:cs="Arial"/>
          <w:color w:val="000000" w:themeColor="text1"/>
          <w:sz w:val="20"/>
          <w:szCs w:val="20"/>
        </w:rPr>
      </w:pPr>
      <w:r w:rsidRPr="005136CC">
        <w:rPr>
          <w:rFonts w:ascii="Arial" w:hAnsi="Arial" w:cs="Arial"/>
          <w:color w:val="000000" w:themeColor="text1"/>
          <w:sz w:val="20"/>
          <w:szCs w:val="20"/>
        </w:rPr>
        <w:t>13.3.1. a intenção de recorrer deverá ser manifestada imediatamente, sob pena de preclusão;</w:t>
      </w:r>
    </w:p>
    <w:p w14:paraId="01C0A6C4" w14:textId="77777777" w:rsidR="005136CC" w:rsidRDefault="005136CC" w:rsidP="005136CC">
      <w:pPr>
        <w:autoSpaceDE w:val="0"/>
        <w:autoSpaceDN w:val="0"/>
        <w:adjustRightInd w:val="0"/>
        <w:spacing w:after="60"/>
        <w:ind w:left="2268" w:firstLine="0"/>
        <w:rPr>
          <w:rFonts w:ascii="Arial" w:hAnsi="Arial" w:cs="Arial"/>
          <w:color w:val="000000" w:themeColor="text1"/>
          <w:sz w:val="20"/>
          <w:szCs w:val="20"/>
        </w:rPr>
      </w:pPr>
      <w:r w:rsidRPr="005136CC">
        <w:rPr>
          <w:rFonts w:ascii="Arial" w:hAnsi="Arial" w:cs="Arial"/>
          <w:color w:val="000000" w:themeColor="text1"/>
          <w:sz w:val="20"/>
          <w:szCs w:val="20"/>
        </w:rPr>
        <w:t>13.3.2. o prazo para a manifestação da intenção de recorrer será de 15 (quinze) minutos.</w:t>
      </w:r>
    </w:p>
    <w:p w14:paraId="547AE04E" w14:textId="77777777" w:rsidR="005136CC" w:rsidRDefault="005136CC" w:rsidP="005136CC">
      <w:pPr>
        <w:autoSpaceDE w:val="0"/>
        <w:autoSpaceDN w:val="0"/>
        <w:adjustRightInd w:val="0"/>
        <w:spacing w:after="60"/>
        <w:ind w:left="2268" w:firstLine="0"/>
        <w:rPr>
          <w:rFonts w:ascii="Arial" w:hAnsi="Arial" w:cs="Arial"/>
          <w:color w:val="000000" w:themeColor="text1"/>
          <w:sz w:val="20"/>
          <w:szCs w:val="20"/>
        </w:rPr>
      </w:pPr>
      <w:r w:rsidRPr="005136CC">
        <w:rPr>
          <w:rFonts w:ascii="Arial" w:hAnsi="Arial" w:cs="Arial"/>
          <w:color w:val="000000" w:themeColor="text1"/>
          <w:sz w:val="20"/>
          <w:szCs w:val="20"/>
        </w:rPr>
        <w:t>13.3.3. o prazo para apresentação das razões recursais será iniciado na data de intimação ou de</w:t>
      </w:r>
      <w:r>
        <w:rPr>
          <w:rFonts w:ascii="Arial" w:hAnsi="Arial" w:cs="Arial"/>
          <w:color w:val="000000" w:themeColor="text1"/>
          <w:sz w:val="20"/>
          <w:szCs w:val="20"/>
        </w:rPr>
        <w:t xml:space="preserve"> </w:t>
      </w:r>
      <w:r w:rsidRPr="005136CC">
        <w:rPr>
          <w:rFonts w:ascii="Arial" w:hAnsi="Arial" w:cs="Arial"/>
          <w:color w:val="000000" w:themeColor="text1"/>
          <w:sz w:val="20"/>
          <w:szCs w:val="20"/>
        </w:rPr>
        <w:t>lavratura da ata de habilitação ou inabilitação;</w:t>
      </w:r>
    </w:p>
    <w:p w14:paraId="74637C07" w14:textId="77777777" w:rsidR="005136CC" w:rsidRDefault="005136CC" w:rsidP="005136CC">
      <w:pPr>
        <w:autoSpaceDE w:val="0"/>
        <w:autoSpaceDN w:val="0"/>
        <w:adjustRightInd w:val="0"/>
        <w:spacing w:after="60"/>
        <w:ind w:left="2268" w:firstLine="0"/>
        <w:rPr>
          <w:rFonts w:ascii="Arial" w:hAnsi="Arial" w:cs="Arial"/>
          <w:color w:val="000000" w:themeColor="text1"/>
          <w:sz w:val="20"/>
          <w:szCs w:val="20"/>
        </w:rPr>
      </w:pPr>
      <w:r w:rsidRPr="005136CC">
        <w:rPr>
          <w:rFonts w:ascii="Arial" w:hAnsi="Arial" w:cs="Arial"/>
          <w:color w:val="000000" w:themeColor="text1"/>
          <w:sz w:val="20"/>
          <w:szCs w:val="20"/>
        </w:rPr>
        <w:t>13.3.4. na hipótese de adoção da inversão de fases prevista no § 1º do art. 17 da Lei nº 14.133, de</w:t>
      </w:r>
      <w:r>
        <w:rPr>
          <w:rFonts w:ascii="Arial" w:hAnsi="Arial" w:cs="Arial"/>
          <w:color w:val="000000" w:themeColor="text1"/>
          <w:sz w:val="20"/>
          <w:szCs w:val="20"/>
        </w:rPr>
        <w:t xml:space="preserve"> </w:t>
      </w:r>
      <w:r w:rsidRPr="005136CC">
        <w:rPr>
          <w:rFonts w:ascii="Arial" w:hAnsi="Arial" w:cs="Arial"/>
          <w:color w:val="000000" w:themeColor="text1"/>
          <w:sz w:val="20"/>
          <w:szCs w:val="20"/>
        </w:rPr>
        <w:t>2021, o prazo para apresentação das razões recursais será iniciado na data de intimação da ata de</w:t>
      </w:r>
      <w:r>
        <w:rPr>
          <w:rFonts w:ascii="Arial" w:hAnsi="Arial" w:cs="Arial"/>
          <w:color w:val="000000" w:themeColor="text1"/>
          <w:sz w:val="20"/>
          <w:szCs w:val="20"/>
        </w:rPr>
        <w:t xml:space="preserve"> </w:t>
      </w:r>
      <w:r w:rsidRPr="005136CC">
        <w:rPr>
          <w:rFonts w:ascii="Arial" w:hAnsi="Arial" w:cs="Arial"/>
          <w:color w:val="000000" w:themeColor="text1"/>
          <w:sz w:val="20"/>
          <w:szCs w:val="20"/>
        </w:rPr>
        <w:t>julgamento.</w:t>
      </w:r>
    </w:p>
    <w:p w14:paraId="487DF063" w14:textId="77777777" w:rsidR="005136CC" w:rsidRDefault="005136CC" w:rsidP="005136CC">
      <w:pPr>
        <w:autoSpaceDE w:val="0"/>
        <w:autoSpaceDN w:val="0"/>
        <w:adjustRightInd w:val="0"/>
        <w:spacing w:after="60"/>
        <w:ind w:left="2268" w:firstLine="0"/>
        <w:rPr>
          <w:rFonts w:ascii="Arial" w:hAnsi="Arial" w:cs="Arial"/>
          <w:color w:val="000000" w:themeColor="text1"/>
          <w:sz w:val="20"/>
          <w:szCs w:val="20"/>
        </w:rPr>
      </w:pPr>
      <w:r w:rsidRPr="005136CC">
        <w:rPr>
          <w:rFonts w:ascii="Arial" w:hAnsi="Arial" w:cs="Arial"/>
          <w:color w:val="000000" w:themeColor="text1"/>
          <w:sz w:val="20"/>
          <w:szCs w:val="20"/>
        </w:rPr>
        <w:t>13.4. Os recursos deverão ser encaminhados em campo próprio do sistema.</w:t>
      </w:r>
    </w:p>
    <w:p w14:paraId="44BDA3BF" w14:textId="28C122CD" w:rsidR="007C7885" w:rsidRDefault="005136CC" w:rsidP="005136CC">
      <w:pPr>
        <w:autoSpaceDE w:val="0"/>
        <w:autoSpaceDN w:val="0"/>
        <w:adjustRightInd w:val="0"/>
        <w:spacing w:after="60"/>
        <w:ind w:left="2268" w:firstLine="0"/>
        <w:rPr>
          <w:rFonts w:ascii="Arial" w:hAnsi="Arial" w:cs="Arial"/>
          <w:color w:val="000000" w:themeColor="text1"/>
          <w:sz w:val="20"/>
          <w:szCs w:val="20"/>
        </w:rPr>
      </w:pPr>
      <w:r w:rsidRPr="005136CC">
        <w:rPr>
          <w:rFonts w:ascii="Arial" w:hAnsi="Arial" w:cs="Arial"/>
          <w:color w:val="000000" w:themeColor="text1"/>
          <w:sz w:val="20"/>
          <w:szCs w:val="20"/>
        </w:rPr>
        <w:t>13.5. O recurso será dirigido à autoridade que tiver editado o ato ou proferido a decisão recorrida, a qual</w:t>
      </w:r>
      <w:r>
        <w:rPr>
          <w:rFonts w:ascii="Arial" w:hAnsi="Arial" w:cs="Arial"/>
          <w:color w:val="000000" w:themeColor="text1"/>
          <w:sz w:val="20"/>
          <w:szCs w:val="20"/>
        </w:rPr>
        <w:t xml:space="preserve"> </w:t>
      </w:r>
      <w:r w:rsidRPr="005136CC">
        <w:rPr>
          <w:rFonts w:ascii="Arial" w:hAnsi="Arial" w:cs="Arial"/>
          <w:color w:val="000000" w:themeColor="text1"/>
          <w:sz w:val="20"/>
          <w:szCs w:val="20"/>
        </w:rPr>
        <w:t>poderá reconsiderar sua decisão no prazo de 3 (três) dias úteis, ou, nesse mesmo prazo, encaminhar</w:t>
      </w:r>
      <w:r>
        <w:rPr>
          <w:rFonts w:ascii="Arial" w:hAnsi="Arial" w:cs="Arial"/>
          <w:color w:val="000000" w:themeColor="text1"/>
          <w:sz w:val="20"/>
          <w:szCs w:val="20"/>
        </w:rPr>
        <w:t xml:space="preserve"> </w:t>
      </w:r>
      <w:r w:rsidRPr="005136CC">
        <w:rPr>
          <w:rFonts w:ascii="Arial" w:hAnsi="Arial" w:cs="Arial"/>
          <w:color w:val="000000" w:themeColor="text1"/>
          <w:sz w:val="20"/>
          <w:szCs w:val="20"/>
        </w:rPr>
        <w:t>recurso para a autoridade superior, a qual deverá proferir sua decisão no prazo de 10 (dez) dias úteis,</w:t>
      </w:r>
      <w:r>
        <w:rPr>
          <w:rFonts w:ascii="Arial" w:hAnsi="Arial" w:cs="Arial"/>
          <w:color w:val="000000" w:themeColor="text1"/>
          <w:sz w:val="20"/>
          <w:szCs w:val="20"/>
        </w:rPr>
        <w:t xml:space="preserve"> </w:t>
      </w:r>
      <w:r w:rsidRPr="005136CC">
        <w:rPr>
          <w:rFonts w:ascii="Arial" w:hAnsi="Arial" w:cs="Arial"/>
          <w:color w:val="000000" w:themeColor="text1"/>
          <w:sz w:val="20"/>
          <w:szCs w:val="20"/>
        </w:rPr>
        <w:t>contado do recebimento dos autos.</w:t>
      </w:r>
    </w:p>
    <w:p w14:paraId="3A3FABF5" w14:textId="2D471C15" w:rsidR="007C7885" w:rsidRPr="00B46070" w:rsidRDefault="0078556A" w:rsidP="007C7885">
      <w:pPr>
        <w:autoSpaceDE w:val="0"/>
        <w:autoSpaceDN w:val="0"/>
        <w:adjustRightInd w:val="0"/>
        <w:spacing w:after="60"/>
        <w:ind w:firstLine="851"/>
        <w:rPr>
          <w:rFonts w:ascii="Arial" w:hAnsi="Arial" w:cs="Arial"/>
          <w:color w:val="000000" w:themeColor="text1"/>
        </w:rPr>
      </w:pPr>
      <w:r>
        <w:rPr>
          <w:rFonts w:ascii="Arial" w:hAnsi="Arial" w:cs="Arial"/>
          <w:color w:val="000000" w:themeColor="text1"/>
        </w:rPr>
        <w:t>O Encerramento da sessão se deu em 22 de fevereiro de 2025, momento em que o pregoeiro encerrou o</w:t>
      </w:r>
      <w:r w:rsidR="007C7885" w:rsidRPr="00B46070">
        <w:rPr>
          <w:rFonts w:ascii="Arial" w:hAnsi="Arial" w:cs="Arial"/>
          <w:color w:val="000000" w:themeColor="text1"/>
        </w:rPr>
        <w:t>. Portanto, o presente recurso administrativo é tempestivo e merece ser acolhido.</w:t>
      </w:r>
    </w:p>
    <w:p w14:paraId="75BC0A07" w14:textId="77777777" w:rsidR="002606C0" w:rsidRDefault="002606C0" w:rsidP="002C4902">
      <w:pPr>
        <w:ind w:firstLine="0"/>
        <w:rPr>
          <w:rFonts w:ascii="Arial" w:hAnsi="Arial" w:cs="Arial"/>
        </w:rPr>
      </w:pPr>
    </w:p>
    <w:p w14:paraId="1F71BD54" w14:textId="77777777" w:rsidR="00BD6941" w:rsidRDefault="00BD6941" w:rsidP="002C4902">
      <w:pPr>
        <w:ind w:firstLine="0"/>
        <w:rPr>
          <w:rFonts w:ascii="Arial" w:hAnsi="Arial" w:cs="Arial"/>
        </w:rPr>
      </w:pPr>
    </w:p>
    <w:p w14:paraId="5B802958" w14:textId="62E26D8C" w:rsidR="00014415" w:rsidRDefault="00014415" w:rsidP="002C4902">
      <w:pPr>
        <w:ind w:firstLine="0"/>
        <w:rPr>
          <w:rFonts w:ascii="Arial" w:hAnsi="Arial" w:cs="Arial"/>
          <w:b/>
        </w:rPr>
      </w:pPr>
      <w:r>
        <w:rPr>
          <w:rFonts w:ascii="Arial" w:hAnsi="Arial" w:cs="Arial"/>
          <w:b/>
        </w:rPr>
        <w:t>I</w:t>
      </w:r>
      <w:r w:rsidR="000B6823">
        <w:rPr>
          <w:rFonts w:ascii="Arial" w:hAnsi="Arial" w:cs="Arial"/>
          <w:b/>
        </w:rPr>
        <w:t>.</w:t>
      </w:r>
      <w:r w:rsidR="000B6823">
        <w:rPr>
          <w:rFonts w:ascii="Arial" w:hAnsi="Arial" w:cs="Arial"/>
          <w:b/>
        </w:rPr>
        <w:tab/>
      </w:r>
      <w:r>
        <w:rPr>
          <w:rFonts w:ascii="Arial" w:hAnsi="Arial" w:cs="Arial"/>
          <w:b/>
        </w:rPr>
        <w:t>DOS FATOS</w:t>
      </w:r>
    </w:p>
    <w:p w14:paraId="7C25B507" w14:textId="77777777" w:rsidR="0078556A" w:rsidRDefault="00F35C38" w:rsidP="002C4902">
      <w:pPr>
        <w:ind w:firstLine="708"/>
        <w:rPr>
          <w:rFonts w:ascii="Arial" w:hAnsi="Arial" w:cs="Arial"/>
        </w:rPr>
      </w:pPr>
      <w:r>
        <w:rPr>
          <w:rFonts w:ascii="Arial" w:hAnsi="Arial" w:cs="Arial"/>
        </w:rPr>
        <w:lastRenderedPageBreak/>
        <w:t>Esta licitante participou d</w:t>
      </w:r>
      <w:r w:rsidR="005136CC">
        <w:rPr>
          <w:rFonts w:ascii="Arial" w:hAnsi="Arial" w:cs="Arial"/>
        </w:rPr>
        <w:t>a Concorrência Eletrônica 001/2024</w:t>
      </w:r>
      <w:r>
        <w:rPr>
          <w:rFonts w:ascii="Arial" w:hAnsi="Arial" w:cs="Arial"/>
        </w:rPr>
        <w:t xml:space="preserve"> e a</w:t>
      </w:r>
      <w:r w:rsidR="004E56FA">
        <w:rPr>
          <w:rFonts w:ascii="Arial" w:hAnsi="Arial" w:cs="Arial"/>
        </w:rPr>
        <w:t xml:space="preserve">pós </w:t>
      </w:r>
      <w:r w:rsidR="00623D77">
        <w:rPr>
          <w:rFonts w:ascii="Arial" w:hAnsi="Arial" w:cs="Arial"/>
        </w:rPr>
        <w:t xml:space="preserve">a </w:t>
      </w:r>
      <w:r w:rsidR="004E56FA">
        <w:rPr>
          <w:rFonts w:ascii="Arial" w:hAnsi="Arial" w:cs="Arial"/>
        </w:rPr>
        <w:t xml:space="preserve">desclassificação/inabilitação do(s) primeiro(s) colocado(s) se viu arrematante do certame pelo valor ofertado </w:t>
      </w:r>
      <w:proofErr w:type="spellStart"/>
      <w:r w:rsidR="004E56FA">
        <w:rPr>
          <w:rFonts w:ascii="Arial" w:hAnsi="Arial" w:cs="Arial"/>
        </w:rPr>
        <w:t>d</w:t>
      </w:r>
      <w:r w:rsidR="0078556A">
        <w:rPr>
          <w:rFonts w:ascii="Arial" w:hAnsi="Arial" w:cs="Arial"/>
        </w:rPr>
        <w:t>d</w:t>
      </w:r>
      <w:proofErr w:type="spellEnd"/>
    </w:p>
    <w:p w14:paraId="6130BF95" w14:textId="77777777" w:rsidR="0078556A" w:rsidRDefault="0078556A" w:rsidP="002C4902">
      <w:pPr>
        <w:ind w:firstLine="708"/>
        <w:rPr>
          <w:rFonts w:ascii="Arial" w:hAnsi="Arial" w:cs="Arial"/>
        </w:rPr>
      </w:pPr>
    </w:p>
    <w:p w14:paraId="22243BF8" w14:textId="77777777" w:rsidR="0078556A" w:rsidRDefault="0078556A" w:rsidP="002C4902">
      <w:pPr>
        <w:ind w:firstLine="708"/>
        <w:rPr>
          <w:rFonts w:ascii="Arial" w:hAnsi="Arial" w:cs="Arial"/>
        </w:rPr>
      </w:pPr>
      <w:r>
        <w:rPr>
          <w:rFonts w:ascii="Arial" w:hAnsi="Arial" w:cs="Arial"/>
        </w:rPr>
        <w:t xml:space="preserve">Está licitante participou </w:t>
      </w:r>
      <w:proofErr w:type="spellStart"/>
      <w:r>
        <w:rPr>
          <w:rFonts w:ascii="Arial" w:hAnsi="Arial" w:cs="Arial"/>
        </w:rPr>
        <w:t>nnaconcorrencia</w:t>
      </w:r>
      <w:proofErr w:type="spellEnd"/>
      <w:r>
        <w:rPr>
          <w:rFonts w:ascii="Arial" w:hAnsi="Arial" w:cs="Arial"/>
        </w:rPr>
        <w:t xml:space="preserve"> eletrônica 0//2024, e após a </w:t>
      </w:r>
      <w:proofErr w:type="spellStart"/>
      <w:r>
        <w:rPr>
          <w:rFonts w:ascii="Arial" w:hAnsi="Arial" w:cs="Arial"/>
        </w:rPr>
        <w:t>deslassificacao</w:t>
      </w:r>
      <w:proofErr w:type="spellEnd"/>
    </w:p>
    <w:p w14:paraId="12676E28" w14:textId="3908BCC7" w:rsidR="00AA5CE5" w:rsidRDefault="0078556A" w:rsidP="002C4902">
      <w:pPr>
        <w:ind w:firstLine="708"/>
        <w:rPr>
          <w:rFonts w:ascii="Arial" w:hAnsi="Arial" w:cs="Arial"/>
        </w:rPr>
      </w:pPr>
      <w:r>
        <w:rPr>
          <w:rFonts w:ascii="Arial" w:hAnsi="Arial" w:cs="Arial"/>
        </w:rPr>
        <w:t xml:space="preserve">Houve a primeira colocada que chegou no menor valor, ou seja, </w:t>
      </w:r>
      <w:proofErr w:type="spellStart"/>
      <w:r>
        <w:rPr>
          <w:rFonts w:ascii="Arial" w:hAnsi="Arial" w:cs="Arial"/>
        </w:rPr>
        <w:t>ganhamos</w:t>
      </w:r>
      <w:r w:rsidR="004E56FA">
        <w:rPr>
          <w:rFonts w:ascii="Arial" w:hAnsi="Arial" w:cs="Arial"/>
        </w:rPr>
        <w:t>e</w:t>
      </w:r>
      <w:proofErr w:type="spellEnd"/>
      <w:r w:rsidR="004E56FA">
        <w:rPr>
          <w:rFonts w:ascii="Arial" w:hAnsi="Arial" w:cs="Arial"/>
        </w:rPr>
        <w:t xml:space="preserve"> R$ </w:t>
      </w:r>
      <w:r w:rsidR="00ED4686" w:rsidRPr="00ED4686">
        <w:rPr>
          <w:rFonts w:ascii="Arial" w:hAnsi="Arial" w:cs="Arial"/>
        </w:rPr>
        <w:t>1.962.961,14</w:t>
      </w:r>
      <w:r w:rsidR="00F35C38">
        <w:rPr>
          <w:rFonts w:ascii="Arial" w:hAnsi="Arial" w:cs="Arial"/>
        </w:rPr>
        <w:t>. Após análise da proposta e documentos de habilitação</w:t>
      </w:r>
      <w:r w:rsidR="00D36366">
        <w:rPr>
          <w:rFonts w:ascii="Arial" w:hAnsi="Arial" w:cs="Arial"/>
        </w:rPr>
        <w:t xml:space="preserve"> </w:t>
      </w:r>
      <w:r w:rsidR="00677AFA">
        <w:rPr>
          <w:rFonts w:ascii="Arial" w:hAnsi="Arial" w:cs="Arial"/>
        </w:rPr>
        <w:t>essa empresa se viu desclassificada do certame</w:t>
      </w:r>
      <w:r w:rsidR="00AA5CE5" w:rsidRPr="00AA5CE5">
        <w:rPr>
          <w:rFonts w:ascii="Arial" w:hAnsi="Arial" w:cs="Arial"/>
        </w:rPr>
        <w:t>.</w:t>
      </w:r>
    </w:p>
    <w:p w14:paraId="70FCB355" w14:textId="1DEE4DA2" w:rsidR="00623D77" w:rsidRDefault="00677AFA" w:rsidP="00623D77">
      <w:pPr>
        <w:ind w:firstLine="708"/>
        <w:rPr>
          <w:rFonts w:ascii="Arial" w:hAnsi="Arial" w:cs="Arial"/>
        </w:rPr>
      </w:pPr>
      <w:r>
        <w:rPr>
          <w:rFonts w:ascii="Arial" w:hAnsi="Arial" w:cs="Arial"/>
        </w:rPr>
        <w:t>Conforme o Parecer Técnico, assinado pelo Engenheiro Civil Paulo de Lima Chuce, CREA 99 – D/AP, esta empresa se viu desclassificação por supostamente ter apresentado proposta inexequível para a licitação.</w:t>
      </w:r>
    </w:p>
    <w:p w14:paraId="3A903A48" w14:textId="78CDE3D8" w:rsidR="00D36366" w:rsidRDefault="00677AFA" w:rsidP="002C4902">
      <w:pPr>
        <w:ind w:firstLine="708"/>
        <w:rPr>
          <w:rFonts w:ascii="Arial" w:hAnsi="Arial" w:cs="Arial"/>
        </w:rPr>
      </w:pPr>
      <w:r>
        <w:rPr>
          <w:rFonts w:ascii="Arial" w:hAnsi="Arial" w:cs="Arial"/>
        </w:rPr>
        <w:t>Por óbvia discordância da decisão dessa comissão manifestamos nossas razões recursais, as quais seguem assistidas pela lei e jurisprudência da Corte de Contas, a qual baliza o entendimento correto quanto ao disposto no art. 59, §4º, da Lei 14.133/21.</w:t>
      </w:r>
    </w:p>
    <w:p w14:paraId="68185CE7" w14:textId="1A053703" w:rsidR="00014415" w:rsidRDefault="00014415" w:rsidP="002C4902">
      <w:pPr>
        <w:ind w:firstLine="0"/>
        <w:rPr>
          <w:rFonts w:ascii="Arial" w:hAnsi="Arial" w:cs="Arial"/>
        </w:rPr>
      </w:pPr>
    </w:p>
    <w:p w14:paraId="06D2A760" w14:textId="6978F1CA" w:rsidR="00BD6941" w:rsidRDefault="00BD6941" w:rsidP="002C4902">
      <w:pPr>
        <w:ind w:firstLine="1701"/>
        <w:rPr>
          <w:rFonts w:ascii="Arial" w:hAnsi="Arial" w:cs="Arial"/>
        </w:rPr>
      </w:pPr>
      <w:r>
        <w:rPr>
          <w:rFonts w:ascii="Arial" w:hAnsi="Arial" w:cs="Arial"/>
        </w:rPr>
        <w:tab/>
      </w:r>
    </w:p>
    <w:p w14:paraId="26456ED3" w14:textId="1E19FCE5" w:rsidR="00E36FF0" w:rsidRDefault="00E36FF0" w:rsidP="002C4902">
      <w:pPr>
        <w:ind w:firstLine="0"/>
        <w:rPr>
          <w:rFonts w:ascii="Arial" w:hAnsi="Arial" w:cs="Arial"/>
          <w:b/>
        </w:rPr>
      </w:pPr>
      <w:r>
        <w:rPr>
          <w:rFonts w:ascii="Arial" w:hAnsi="Arial" w:cs="Arial"/>
          <w:b/>
        </w:rPr>
        <w:t>II</w:t>
      </w:r>
      <w:r w:rsidR="000B6823">
        <w:rPr>
          <w:rFonts w:ascii="Arial" w:hAnsi="Arial" w:cs="Arial"/>
          <w:b/>
        </w:rPr>
        <w:t>.</w:t>
      </w:r>
      <w:r w:rsidR="000B6823">
        <w:rPr>
          <w:rFonts w:ascii="Arial" w:hAnsi="Arial" w:cs="Arial"/>
          <w:b/>
        </w:rPr>
        <w:tab/>
      </w:r>
      <w:r>
        <w:rPr>
          <w:rFonts w:ascii="Arial" w:hAnsi="Arial" w:cs="Arial"/>
          <w:b/>
        </w:rPr>
        <w:t>DA RAZÕES</w:t>
      </w:r>
      <w:r w:rsidR="00A277F1">
        <w:rPr>
          <w:rFonts w:ascii="Arial" w:hAnsi="Arial" w:cs="Arial"/>
          <w:b/>
        </w:rPr>
        <w:t xml:space="preserve"> E DO DIREITO</w:t>
      </w:r>
    </w:p>
    <w:p w14:paraId="3CFEFE62" w14:textId="5A3A0B22" w:rsidR="00375DE2" w:rsidRPr="00375DE2" w:rsidRDefault="00375DE2" w:rsidP="002C4902">
      <w:pPr>
        <w:ind w:firstLine="708"/>
        <w:rPr>
          <w:rFonts w:ascii="Arial" w:hAnsi="Arial" w:cs="Arial"/>
        </w:rPr>
      </w:pPr>
      <w:r w:rsidRPr="00375DE2">
        <w:rPr>
          <w:rFonts w:ascii="Arial" w:hAnsi="Arial" w:cs="Arial"/>
        </w:rPr>
        <w:t xml:space="preserve">Esta </w:t>
      </w:r>
      <w:r w:rsidR="00677AFA">
        <w:rPr>
          <w:rFonts w:ascii="Arial" w:hAnsi="Arial" w:cs="Arial"/>
        </w:rPr>
        <w:t>manifestação</w:t>
      </w:r>
      <w:r w:rsidRPr="00375DE2">
        <w:rPr>
          <w:rFonts w:ascii="Arial" w:hAnsi="Arial" w:cs="Arial"/>
        </w:rPr>
        <w:t xml:space="preserve">, inicia-se originalmente pelo previsto no art. </w:t>
      </w:r>
      <w:r w:rsidR="00BD6941">
        <w:rPr>
          <w:rFonts w:ascii="Arial" w:hAnsi="Arial" w:cs="Arial"/>
        </w:rPr>
        <w:t>5</w:t>
      </w:r>
      <w:r w:rsidRPr="00375DE2">
        <w:rPr>
          <w:rFonts w:ascii="Arial" w:hAnsi="Arial" w:cs="Arial"/>
        </w:rPr>
        <w:t xml:space="preserve">º, da Lei </w:t>
      </w:r>
      <w:r w:rsidR="00BD6941">
        <w:rPr>
          <w:rFonts w:ascii="Arial" w:hAnsi="Arial" w:cs="Arial"/>
        </w:rPr>
        <w:t>14.133/21</w:t>
      </w:r>
      <w:r w:rsidRPr="00375DE2">
        <w:rPr>
          <w:rFonts w:ascii="Arial" w:hAnsi="Arial" w:cs="Arial"/>
        </w:rPr>
        <w:t>, a qual o legislador teve cuidado de deixar bem evidente logo no início da lei, vejamos:</w:t>
      </w:r>
    </w:p>
    <w:p w14:paraId="4CBCBB2A" w14:textId="77777777" w:rsidR="00BD6941" w:rsidRDefault="00BD6941" w:rsidP="002C4902">
      <w:pPr>
        <w:ind w:firstLine="0"/>
        <w:rPr>
          <w:rFonts w:ascii="Arial" w:hAnsi="Arial" w:cs="Arial"/>
        </w:rPr>
      </w:pPr>
    </w:p>
    <w:p w14:paraId="44D0C8C8" w14:textId="0F5F0E85" w:rsidR="00BD6941" w:rsidRPr="00BD6941" w:rsidRDefault="00BD6941" w:rsidP="002C4902">
      <w:pPr>
        <w:ind w:left="2268" w:firstLine="0"/>
        <w:rPr>
          <w:rFonts w:ascii="Arial" w:hAnsi="Arial" w:cs="Arial"/>
          <w:sz w:val="20"/>
          <w:szCs w:val="20"/>
        </w:rPr>
      </w:pPr>
      <w:r w:rsidRPr="00BD6941">
        <w:rPr>
          <w:rFonts w:ascii="Arial" w:hAnsi="Arial" w:cs="Arial"/>
          <w:sz w:val="20"/>
          <w:szCs w:val="20"/>
        </w:rPr>
        <w:t>Art. 5º Na aplicação desta Lei, serão observados os princípios da legalidade, da impessoalidade, da moralidade, da publicidade, da eficiência, do interesse público, da probidade administrativa, da igualdade, do planejamento, da transparência, da eficácia, da segregação de funções, da motivação, da vinculação ao edital, do julgamento objetivo, da segurança jurídica, da razoabilidade, da competitividade, da proporcionalidade, da celeridade, da economicidade e do desenvolvimento nacional sustentável, assim como as disposições do Decreto-Lei nº 4.657, de 4 de setembro de 1942 (Lei de Introdução às Normas do Direito Brasileiro).</w:t>
      </w:r>
    </w:p>
    <w:p w14:paraId="4F9A2E5D" w14:textId="77777777" w:rsidR="00375DE2" w:rsidRDefault="00375DE2" w:rsidP="002C4902">
      <w:pPr>
        <w:ind w:firstLine="0"/>
        <w:rPr>
          <w:rFonts w:ascii="Arial" w:hAnsi="Arial" w:cs="Arial"/>
        </w:rPr>
      </w:pPr>
    </w:p>
    <w:p w14:paraId="15FBB4CE" w14:textId="77777777" w:rsidR="00375DE2" w:rsidRDefault="00375DE2" w:rsidP="002C4902">
      <w:pPr>
        <w:ind w:firstLine="0"/>
        <w:rPr>
          <w:rFonts w:ascii="Arial" w:hAnsi="Arial" w:cs="Arial"/>
        </w:rPr>
      </w:pPr>
    </w:p>
    <w:p w14:paraId="31ABB9AC" w14:textId="68F18EAF" w:rsidR="00375DE2" w:rsidRPr="00375DE2" w:rsidRDefault="00375DE2" w:rsidP="002C4902">
      <w:pPr>
        <w:ind w:firstLine="708"/>
        <w:rPr>
          <w:rFonts w:ascii="Arial" w:hAnsi="Arial" w:cs="Arial"/>
        </w:rPr>
      </w:pPr>
      <w:r w:rsidRPr="00375DE2">
        <w:rPr>
          <w:rFonts w:ascii="Arial" w:hAnsi="Arial" w:cs="Arial"/>
        </w:rPr>
        <w:t>Neste diapasão, esclarece o renomado doutrinador Marçal Justen Filho, que diz:</w:t>
      </w:r>
    </w:p>
    <w:p w14:paraId="5664B27B" w14:textId="77777777" w:rsidR="00375DE2" w:rsidRDefault="00375DE2" w:rsidP="002C4902">
      <w:pPr>
        <w:ind w:firstLine="0"/>
        <w:rPr>
          <w:rFonts w:ascii="Arial" w:hAnsi="Arial" w:cs="Arial"/>
        </w:rPr>
      </w:pPr>
    </w:p>
    <w:p w14:paraId="23FED2A1" w14:textId="7E5DB945" w:rsidR="00375DE2" w:rsidRPr="00BD6941" w:rsidRDefault="00375DE2" w:rsidP="002C4902">
      <w:pPr>
        <w:ind w:left="2268" w:firstLine="0"/>
        <w:rPr>
          <w:rFonts w:ascii="Arial" w:hAnsi="Arial" w:cs="Arial"/>
          <w:sz w:val="20"/>
          <w:szCs w:val="20"/>
        </w:rPr>
      </w:pPr>
      <w:r w:rsidRPr="00BD6941">
        <w:rPr>
          <w:rFonts w:ascii="Arial" w:hAnsi="Arial" w:cs="Arial"/>
          <w:sz w:val="20"/>
          <w:szCs w:val="20"/>
        </w:rPr>
        <w:t xml:space="preserve">“é um procedimento administrativo disciplinado por lei e por um ato administrativo prévio, que determina critérios objetivos de seleção da proposta mais vantajosa, com observância do princípio da isonomia, conduzido por um órgão dotado de competência específica” </w:t>
      </w:r>
    </w:p>
    <w:p w14:paraId="15B60433" w14:textId="77777777" w:rsidR="00375DE2" w:rsidRDefault="00375DE2" w:rsidP="002C4902">
      <w:pPr>
        <w:ind w:firstLine="0"/>
        <w:rPr>
          <w:rFonts w:ascii="Arial" w:hAnsi="Arial" w:cs="Arial"/>
        </w:rPr>
      </w:pPr>
    </w:p>
    <w:p w14:paraId="01E3277C" w14:textId="701FF990" w:rsidR="00375DE2" w:rsidRPr="00375DE2" w:rsidRDefault="00375DE2" w:rsidP="002C4902">
      <w:pPr>
        <w:ind w:firstLine="708"/>
        <w:rPr>
          <w:rFonts w:ascii="Arial" w:hAnsi="Arial" w:cs="Arial"/>
        </w:rPr>
      </w:pPr>
      <w:r w:rsidRPr="00375DE2">
        <w:rPr>
          <w:rFonts w:ascii="Arial" w:hAnsi="Arial" w:cs="Arial"/>
        </w:rPr>
        <w:t>Concorda também, como objetivo da licitação, Hely Lopes Meirelles, que relata:</w:t>
      </w:r>
    </w:p>
    <w:p w14:paraId="5EBD1B47" w14:textId="77777777" w:rsidR="00375DE2" w:rsidRDefault="00375DE2" w:rsidP="002C4902">
      <w:pPr>
        <w:ind w:firstLine="0"/>
        <w:rPr>
          <w:rFonts w:ascii="Arial" w:hAnsi="Arial" w:cs="Arial"/>
        </w:rPr>
      </w:pPr>
    </w:p>
    <w:p w14:paraId="3573787D" w14:textId="6607A50C" w:rsidR="00FC5272" w:rsidRPr="00DD4417" w:rsidRDefault="00375DE2" w:rsidP="002C4902">
      <w:pPr>
        <w:ind w:left="2268" w:firstLine="0"/>
        <w:rPr>
          <w:rFonts w:ascii="Arial" w:hAnsi="Arial" w:cs="Arial"/>
          <w:bCs/>
          <w:sz w:val="20"/>
          <w:szCs w:val="20"/>
        </w:rPr>
      </w:pPr>
      <w:r w:rsidRPr="00DD4417">
        <w:rPr>
          <w:rFonts w:ascii="Arial" w:hAnsi="Arial" w:cs="Arial"/>
          <w:sz w:val="20"/>
          <w:szCs w:val="20"/>
        </w:rPr>
        <w:t xml:space="preserve">“licitação é o procedimento administrativo mediante o qual a Administração Pública seleciona a proposta mais vantajosa para o contrato de seu interesse. Como procedimento desenvolve-se através de uma sucessão ordenada de atos vinculantes para a </w:t>
      </w:r>
    </w:p>
    <w:p w14:paraId="61FDA3CE" w14:textId="5A81F4C5" w:rsidR="00FC5272" w:rsidRDefault="00FC5272" w:rsidP="002C4902">
      <w:pPr>
        <w:ind w:firstLine="0"/>
        <w:rPr>
          <w:rFonts w:ascii="Arial" w:hAnsi="Arial" w:cs="Arial"/>
          <w:bCs/>
        </w:rPr>
      </w:pPr>
    </w:p>
    <w:p w14:paraId="07FCAEFD" w14:textId="023F9AF3" w:rsidR="00DD4417" w:rsidRDefault="00DD4417" w:rsidP="002C4902">
      <w:pPr>
        <w:ind w:firstLine="708"/>
        <w:rPr>
          <w:rFonts w:ascii="Arial" w:hAnsi="Arial" w:cs="Arial"/>
        </w:rPr>
      </w:pPr>
      <w:r>
        <w:rPr>
          <w:rFonts w:ascii="Arial" w:hAnsi="Arial" w:cs="Arial"/>
        </w:rPr>
        <w:t>Como pode ser observado, a lei trouxe em seu dispositivo os princípios licitatórios, os quais caminham de mãos dadas em direção ao objetivo da licitação que é a obtenção da proposta mais vantajosa para a administração.</w:t>
      </w:r>
    </w:p>
    <w:p w14:paraId="61DD9439" w14:textId="2B53F9A3" w:rsidR="00DD4417" w:rsidRDefault="00DD4417" w:rsidP="002C4902">
      <w:pPr>
        <w:ind w:firstLine="708"/>
        <w:rPr>
          <w:rFonts w:ascii="Arial" w:hAnsi="Arial" w:cs="Arial"/>
        </w:rPr>
      </w:pPr>
      <w:r>
        <w:rPr>
          <w:rFonts w:ascii="Arial" w:hAnsi="Arial" w:cs="Arial"/>
        </w:rPr>
        <w:t xml:space="preserve">Não se vislumbra a aplicação isolada dos dispositivos da lei ou do edital para que ao rigor formal seja julgado a proposta e </w:t>
      </w:r>
      <w:r w:rsidR="00373601">
        <w:rPr>
          <w:rFonts w:ascii="Arial" w:hAnsi="Arial" w:cs="Arial"/>
        </w:rPr>
        <w:t xml:space="preserve">os </w:t>
      </w:r>
      <w:r>
        <w:rPr>
          <w:rFonts w:ascii="Arial" w:hAnsi="Arial" w:cs="Arial"/>
        </w:rPr>
        <w:t>documentos de habilitação da licitante, mas as regras editalícias em consonância com a lei</w:t>
      </w:r>
      <w:r w:rsidR="00373601">
        <w:rPr>
          <w:rFonts w:ascii="Arial" w:hAnsi="Arial" w:cs="Arial"/>
        </w:rPr>
        <w:t xml:space="preserve"> </w:t>
      </w:r>
      <w:r>
        <w:rPr>
          <w:rFonts w:ascii="Arial" w:hAnsi="Arial" w:cs="Arial"/>
        </w:rPr>
        <w:t xml:space="preserve">são interpretadas no sentido do formalismo </w:t>
      </w:r>
      <w:r>
        <w:rPr>
          <w:rFonts w:ascii="Arial" w:hAnsi="Arial" w:cs="Arial"/>
        </w:rPr>
        <w:lastRenderedPageBreak/>
        <w:t xml:space="preserve">moderado em busca da melhor proposta, </w:t>
      </w:r>
      <w:r w:rsidR="00373601">
        <w:rPr>
          <w:rFonts w:ascii="Arial" w:hAnsi="Arial" w:cs="Arial"/>
        </w:rPr>
        <w:t>o que é diferente da</w:t>
      </w:r>
      <w:r>
        <w:rPr>
          <w:rFonts w:ascii="Arial" w:hAnsi="Arial" w:cs="Arial"/>
        </w:rPr>
        <w:t xml:space="preserve"> busca </w:t>
      </w:r>
      <w:r w:rsidR="00373601">
        <w:rPr>
          <w:rFonts w:ascii="Arial" w:hAnsi="Arial" w:cs="Arial"/>
        </w:rPr>
        <w:t>pelo</w:t>
      </w:r>
      <w:r>
        <w:rPr>
          <w:rFonts w:ascii="Arial" w:hAnsi="Arial" w:cs="Arial"/>
        </w:rPr>
        <w:t xml:space="preserve"> licitante mais bem adestrado.</w:t>
      </w:r>
    </w:p>
    <w:p w14:paraId="0D2177B2" w14:textId="6014DFFA" w:rsidR="00DD4417" w:rsidRDefault="00DD4417" w:rsidP="002C4902">
      <w:pPr>
        <w:ind w:firstLine="708"/>
        <w:rPr>
          <w:rFonts w:ascii="Arial" w:hAnsi="Arial" w:cs="Arial"/>
        </w:rPr>
      </w:pPr>
      <w:r>
        <w:rPr>
          <w:rFonts w:ascii="Arial" w:hAnsi="Arial" w:cs="Arial"/>
        </w:rPr>
        <w:t>Há pacificado o entendimento nas Cortes de Contas e Tribunais de que o formalismo exagerado deve ser superado pelo moderado, a fim de que não se cometa ato contra o erário em desclassificar a melhor proposta</w:t>
      </w:r>
      <w:r w:rsidR="008C0C84">
        <w:rPr>
          <w:rFonts w:ascii="Arial" w:hAnsi="Arial" w:cs="Arial"/>
        </w:rPr>
        <w:t xml:space="preserve"> e mais econômica</w:t>
      </w:r>
      <w:r w:rsidR="00006595">
        <w:rPr>
          <w:rFonts w:ascii="Arial" w:hAnsi="Arial" w:cs="Arial"/>
        </w:rPr>
        <w:t xml:space="preserve"> para a administração</w:t>
      </w:r>
      <w:r>
        <w:rPr>
          <w:rFonts w:ascii="Arial" w:hAnsi="Arial" w:cs="Arial"/>
        </w:rPr>
        <w:t xml:space="preserve"> por meras divergências formais, as quais podem </w:t>
      </w:r>
      <w:r w:rsidR="00006595">
        <w:rPr>
          <w:rFonts w:ascii="Arial" w:hAnsi="Arial" w:cs="Arial"/>
        </w:rPr>
        <w:t xml:space="preserve"> e devem </w:t>
      </w:r>
      <w:r>
        <w:rPr>
          <w:rFonts w:ascii="Arial" w:hAnsi="Arial" w:cs="Arial"/>
        </w:rPr>
        <w:t xml:space="preserve">ser </w:t>
      </w:r>
      <w:r w:rsidR="00006595">
        <w:rPr>
          <w:rFonts w:ascii="Arial" w:hAnsi="Arial" w:cs="Arial"/>
        </w:rPr>
        <w:t>sanadas por meio de</w:t>
      </w:r>
      <w:r>
        <w:rPr>
          <w:rFonts w:ascii="Arial" w:hAnsi="Arial" w:cs="Arial"/>
        </w:rPr>
        <w:t xml:space="preserve"> diligências.</w:t>
      </w:r>
      <w:r w:rsidR="00006595">
        <w:rPr>
          <w:rFonts w:ascii="Arial" w:hAnsi="Arial" w:cs="Arial"/>
        </w:rPr>
        <w:t xml:space="preserve"> Neste sentido, segue nossas manifestações.</w:t>
      </w:r>
    </w:p>
    <w:p w14:paraId="265EEF57" w14:textId="77777777" w:rsidR="00DD4417" w:rsidRDefault="00DD4417" w:rsidP="002C4902">
      <w:pPr>
        <w:ind w:firstLine="708"/>
        <w:rPr>
          <w:rFonts w:ascii="Arial" w:hAnsi="Arial" w:cs="Arial"/>
        </w:rPr>
      </w:pPr>
    </w:p>
    <w:p w14:paraId="697C5D72" w14:textId="0EDBBDED" w:rsidR="00204525" w:rsidRPr="00006595" w:rsidRDefault="0045172E" w:rsidP="002C4902">
      <w:pPr>
        <w:ind w:firstLine="0"/>
        <w:rPr>
          <w:rFonts w:ascii="Arial" w:hAnsi="Arial" w:cs="Arial"/>
          <w:b/>
          <w:bCs/>
        </w:rPr>
      </w:pPr>
      <w:r>
        <w:rPr>
          <w:rFonts w:ascii="Arial" w:hAnsi="Arial" w:cs="Arial"/>
        </w:rPr>
        <w:t xml:space="preserve"> </w:t>
      </w:r>
      <w:r w:rsidR="00204525" w:rsidRPr="00006595">
        <w:rPr>
          <w:rFonts w:ascii="Arial" w:hAnsi="Arial" w:cs="Arial"/>
          <w:b/>
          <w:bCs/>
        </w:rPr>
        <w:t xml:space="preserve">II. </w:t>
      </w:r>
      <w:r w:rsidR="007C7885">
        <w:rPr>
          <w:rFonts w:ascii="Arial" w:hAnsi="Arial" w:cs="Arial"/>
          <w:b/>
          <w:bCs/>
        </w:rPr>
        <w:t>a</w:t>
      </w:r>
      <w:r w:rsidR="00204525" w:rsidRPr="00006595">
        <w:rPr>
          <w:rFonts w:ascii="Arial" w:hAnsi="Arial" w:cs="Arial"/>
          <w:b/>
          <w:bCs/>
        </w:rPr>
        <w:t xml:space="preserve">) </w:t>
      </w:r>
      <w:r w:rsidR="00204525" w:rsidRPr="00006595">
        <w:rPr>
          <w:rFonts w:ascii="Arial" w:hAnsi="Arial" w:cs="Arial"/>
          <w:b/>
          <w:bCs/>
        </w:rPr>
        <w:tab/>
        <w:t xml:space="preserve">DA </w:t>
      </w:r>
      <w:r w:rsidR="00204525">
        <w:rPr>
          <w:rFonts w:ascii="Arial" w:hAnsi="Arial" w:cs="Arial"/>
          <w:b/>
          <w:bCs/>
        </w:rPr>
        <w:t>EXEQUIBILIDADE DA PROPOSTA</w:t>
      </w:r>
    </w:p>
    <w:p w14:paraId="6319C7C3" w14:textId="77777777" w:rsidR="00204525" w:rsidRDefault="00204525" w:rsidP="002C4902">
      <w:pPr>
        <w:ind w:firstLine="0"/>
        <w:rPr>
          <w:rFonts w:ascii="Arial" w:hAnsi="Arial" w:cs="Arial"/>
        </w:rPr>
      </w:pPr>
    </w:p>
    <w:p w14:paraId="7B870CFB" w14:textId="6162C8A5" w:rsidR="001E3D86" w:rsidRDefault="00204525" w:rsidP="002C4902">
      <w:pPr>
        <w:ind w:firstLine="0"/>
        <w:rPr>
          <w:rFonts w:ascii="Arial" w:hAnsi="Arial" w:cs="Arial"/>
        </w:rPr>
      </w:pPr>
      <w:r>
        <w:rPr>
          <w:rFonts w:ascii="Arial" w:hAnsi="Arial" w:cs="Arial"/>
        </w:rPr>
        <w:tab/>
      </w:r>
      <w:r w:rsidR="00677AFA">
        <w:rPr>
          <w:rFonts w:ascii="Arial" w:hAnsi="Arial" w:cs="Arial"/>
        </w:rPr>
        <w:t>O Parecer Técnico assinado pelo Engenheiro Civil Paulo de Lima Chuce, CREA 99 – D/AP</w:t>
      </w:r>
      <w:r w:rsidRPr="00006595">
        <w:rPr>
          <w:rFonts w:ascii="Arial" w:hAnsi="Arial" w:cs="Arial"/>
        </w:rPr>
        <w:t>,</w:t>
      </w:r>
      <w:r>
        <w:rPr>
          <w:rFonts w:ascii="Arial" w:hAnsi="Arial" w:cs="Arial"/>
        </w:rPr>
        <w:t xml:space="preserve"> alega que esta empresa </w:t>
      </w:r>
      <w:r w:rsidR="001E3D86">
        <w:rPr>
          <w:rFonts w:ascii="Arial" w:hAnsi="Arial" w:cs="Arial"/>
        </w:rPr>
        <w:t>apresentou proposta manifestamente inexequível par</w:t>
      </w:r>
      <w:r w:rsidR="00677AFA">
        <w:rPr>
          <w:rFonts w:ascii="Arial" w:hAnsi="Arial" w:cs="Arial"/>
        </w:rPr>
        <w:t xml:space="preserve">a </w:t>
      </w:r>
      <w:r w:rsidR="001E3D86">
        <w:rPr>
          <w:rFonts w:ascii="Arial" w:hAnsi="Arial" w:cs="Arial"/>
        </w:rPr>
        <w:t>o certame, nos termos do</w:t>
      </w:r>
      <w:r w:rsidR="00677AFA">
        <w:rPr>
          <w:rFonts w:ascii="Arial" w:hAnsi="Arial" w:cs="Arial"/>
        </w:rPr>
        <w:t xml:space="preserve"> subitem 7.10.3 do Edital e </w:t>
      </w:r>
      <w:r w:rsidR="001E3D86">
        <w:rPr>
          <w:rFonts w:ascii="Arial" w:hAnsi="Arial" w:cs="Arial"/>
        </w:rPr>
        <w:t>art</w:t>
      </w:r>
      <w:r w:rsidR="001E3D86" w:rsidRPr="001E3D86">
        <w:rPr>
          <w:rFonts w:ascii="Arial" w:hAnsi="Arial" w:cs="Arial"/>
        </w:rPr>
        <w:t>. 59, §4º</w:t>
      </w:r>
      <w:r w:rsidR="001E3D86">
        <w:rPr>
          <w:rFonts w:ascii="Arial" w:hAnsi="Arial" w:cs="Arial"/>
        </w:rPr>
        <w:t>, da Lei</w:t>
      </w:r>
      <w:r w:rsidR="001E3D86" w:rsidRPr="001E3D86">
        <w:rPr>
          <w:rFonts w:ascii="Arial" w:hAnsi="Arial" w:cs="Arial"/>
        </w:rPr>
        <w:t xml:space="preserve"> 14.133/2021</w:t>
      </w:r>
      <w:r w:rsidR="001E3D86">
        <w:rPr>
          <w:rFonts w:ascii="Arial" w:hAnsi="Arial" w:cs="Arial"/>
        </w:rPr>
        <w:t xml:space="preserve">, </w:t>
      </w:r>
      <w:bookmarkStart w:id="0" w:name="_Hlk164798197"/>
      <w:r w:rsidR="00677AFA">
        <w:rPr>
          <w:rFonts w:ascii="Arial" w:hAnsi="Arial" w:cs="Arial"/>
        </w:rPr>
        <w:t>vejamos:</w:t>
      </w:r>
    </w:p>
    <w:p w14:paraId="284A5FC0" w14:textId="77777777" w:rsidR="00677AFA" w:rsidRDefault="00677AFA" w:rsidP="002C4902">
      <w:pPr>
        <w:ind w:firstLine="0"/>
        <w:rPr>
          <w:rFonts w:ascii="Arial" w:hAnsi="Arial" w:cs="Arial"/>
        </w:rPr>
      </w:pPr>
    </w:p>
    <w:p w14:paraId="7F92A17C" w14:textId="4279677B" w:rsidR="00677AFA" w:rsidRDefault="00677AFA" w:rsidP="00677AFA">
      <w:pPr>
        <w:ind w:firstLine="0"/>
        <w:jc w:val="center"/>
        <w:rPr>
          <w:rFonts w:ascii="Arial" w:hAnsi="Arial" w:cs="Arial"/>
        </w:rPr>
      </w:pPr>
      <w:r w:rsidRPr="00677AFA">
        <w:rPr>
          <w:rFonts w:ascii="Arial" w:hAnsi="Arial" w:cs="Arial"/>
          <w:noProof/>
        </w:rPr>
        <w:drawing>
          <wp:inline distT="0" distB="0" distL="0" distR="0" wp14:anchorId="4683C1C2" wp14:editId="4D15F3BE">
            <wp:extent cx="5772956" cy="924054"/>
            <wp:effectExtent l="0" t="0" r="0" b="9525"/>
            <wp:docPr id="127649873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98732" name="Imagem 1" descr="Interface gráfica do usuário, Texto&#10;&#10;Descrição gerada automaticamente"/>
                    <pic:cNvPicPr/>
                  </pic:nvPicPr>
                  <pic:blipFill>
                    <a:blip r:embed="rId11"/>
                    <a:stretch>
                      <a:fillRect/>
                    </a:stretch>
                  </pic:blipFill>
                  <pic:spPr>
                    <a:xfrm>
                      <a:off x="0" y="0"/>
                      <a:ext cx="5772956" cy="924054"/>
                    </a:xfrm>
                    <a:prstGeom prst="rect">
                      <a:avLst/>
                    </a:prstGeom>
                  </pic:spPr>
                </pic:pic>
              </a:graphicData>
            </a:graphic>
          </wp:inline>
        </w:drawing>
      </w:r>
    </w:p>
    <w:p w14:paraId="7A3D4C23" w14:textId="77777777" w:rsidR="00677AFA" w:rsidRDefault="00677AFA" w:rsidP="002C4902">
      <w:pPr>
        <w:ind w:firstLine="0"/>
        <w:rPr>
          <w:rFonts w:ascii="Arial" w:hAnsi="Arial" w:cs="Arial"/>
        </w:rPr>
      </w:pPr>
    </w:p>
    <w:bookmarkEnd w:id="0"/>
    <w:p w14:paraId="1488D348" w14:textId="5770FEB4" w:rsidR="001E3D86" w:rsidRDefault="001E3D86" w:rsidP="002C4902">
      <w:pPr>
        <w:ind w:firstLine="0"/>
        <w:rPr>
          <w:rFonts w:ascii="Arial" w:hAnsi="Arial" w:cs="Arial"/>
        </w:rPr>
      </w:pPr>
      <w:r>
        <w:rPr>
          <w:rFonts w:ascii="Arial" w:hAnsi="Arial" w:cs="Arial"/>
        </w:rPr>
        <w:tab/>
        <w:t>No entanto, essa matéria já em muito discutido no âmbito do mundo licitatório, já possui entendimento majoritário de que não se pode alegar inexequibilidade presumida da proposta, pois cada empresa possui características individuais que incidem em sua capacidade operacional para a execução de determinado serviço e obra, não cabendo uma “régua” geral para determinar a exequibilidade da proposta de todas as licitantes de forma linear.</w:t>
      </w:r>
    </w:p>
    <w:p w14:paraId="416888D9" w14:textId="757B5057" w:rsidR="00FC349E" w:rsidRDefault="001E3D86" w:rsidP="002C4902">
      <w:pPr>
        <w:rPr>
          <w:rFonts w:ascii="Arial" w:hAnsi="Arial" w:cs="Arial"/>
        </w:rPr>
      </w:pPr>
      <w:r>
        <w:rPr>
          <w:rFonts w:ascii="Arial" w:hAnsi="Arial" w:cs="Arial"/>
        </w:rPr>
        <w:t>Para melhor definição d</w:t>
      </w:r>
      <w:r w:rsidR="002C4902">
        <w:rPr>
          <w:rFonts w:ascii="Arial" w:hAnsi="Arial" w:cs="Arial"/>
        </w:rPr>
        <w:t>a exequibilidade dos preços praticados por esta empresa no respectivo certame</w:t>
      </w:r>
      <w:r w:rsidR="00981EDF">
        <w:rPr>
          <w:rFonts w:ascii="Arial" w:hAnsi="Arial" w:cs="Arial"/>
        </w:rPr>
        <w:t>,</w:t>
      </w:r>
      <w:r w:rsidR="00FC349E">
        <w:rPr>
          <w:rFonts w:ascii="Arial" w:hAnsi="Arial" w:cs="Arial"/>
        </w:rPr>
        <w:t xml:space="preserve"> cabe avaliação particular das características e condições desta empresa para poder determinar sua capacidade operacional. O disposto no art. </w:t>
      </w:r>
      <w:r w:rsidR="00FC349E" w:rsidRPr="001E3D86">
        <w:rPr>
          <w:rFonts w:ascii="Arial" w:hAnsi="Arial" w:cs="Arial"/>
        </w:rPr>
        <w:t>59, §4º</w:t>
      </w:r>
      <w:r w:rsidR="00FC349E">
        <w:rPr>
          <w:rFonts w:ascii="Arial" w:hAnsi="Arial" w:cs="Arial"/>
        </w:rPr>
        <w:t>, da Lei</w:t>
      </w:r>
      <w:r w:rsidR="00FC349E" w:rsidRPr="001E3D86">
        <w:rPr>
          <w:rFonts w:ascii="Arial" w:hAnsi="Arial" w:cs="Arial"/>
        </w:rPr>
        <w:t xml:space="preserve"> 14.133/2021</w:t>
      </w:r>
      <w:r w:rsidR="00FC349E">
        <w:rPr>
          <w:rFonts w:ascii="Arial" w:hAnsi="Arial" w:cs="Arial"/>
        </w:rPr>
        <w:t>, é um parâmetro comparativo, pois nele não há avaliação particular das peculiaridades de cada empresa e suas condições operacionais.</w:t>
      </w:r>
    </w:p>
    <w:p w14:paraId="33ACA86A" w14:textId="6C0B3C6B" w:rsidR="00FC349E" w:rsidRDefault="00FC349E" w:rsidP="00FC349E">
      <w:pPr>
        <w:rPr>
          <w:rFonts w:ascii="Arial" w:hAnsi="Arial" w:cs="Arial"/>
        </w:rPr>
      </w:pPr>
      <w:r>
        <w:rPr>
          <w:rFonts w:ascii="Arial" w:hAnsi="Arial" w:cs="Arial"/>
        </w:rPr>
        <w:t>Nesse diapasão, os parâmetros da lei para determinar uma possível inexequibilidade de proposta não constituem afirmação absoluta, cabendo a licitante apresentar suas demonstrações em contrário, pois há de considerar condições particulares e a estratégica comercial da empresa. Neste esteio, quando há possível indício de inexequibilidade da proposta, tem decidido majoritariamente a jurisprudência do TCU no seguinte sentido:</w:t>
      </w:r>
    </w:p>
    <w:p w14:paraId="01C5B298" w14:textId="77777777" w:rsidR="00FC349E" w:rsidRDefault="00FC349E" w:rsidP="00FC349E">
      <w:pPr>
        <w:rPr>
          <w:rFonts w:ascii="Arial" w:hAnsi="Arial" w:cs="Arial"/>
        </w:rPr>
      </w:pPr>
    </w:p>
    <w:p w14:paraId="03B29CF4" w14:textId="0B8789C9" w:rsidR="002F52C2" w:rsidRDefault="002F52C2" w:rsidP="00FC349E">
      <w:pPr>
        <w:ind w:left="2268" w:firstLine="0"/>
        <w:rPr>
          <w:rFonts w:ascii="Arial" w:hAnsi="Arial" w:cs="Arial"/>
          <w:sz w:val="20"/>
          <w:szCs w:val="20"/>
        </w:rPr>
      </w:pPr>
      <w:r>
        <w:rPr>
          <w:rFonts w:ascii="Arial" w:hAnsi="Arial" w:cs="Arial"/>
          <w:sz w:val="20"/>
          <w:szCs w:val="20"/>
        </w:rPr>
        <w:t>“</w:t>
      </w:r>
      <w:r w:rsidRPr="002F52C2">
        <w:rPr>
          <w:rFonts w:ascii="Arial" w:hAnsi="Arial" w:cs="Arial"/>
          <w:sz w:val="20"/>
          <w:szCs w:val="20"/>
        </w:rPr>
        <w:t>SÚMULA TCU 262: O critério definido no art. 48, inciso II, § 1º, alíneas "a" e "b", da Lei 8.666/1993 conduz a uma presunção relativa de inexequibilidade de preços, devendo a Administração dar à licitante a oportunidade de demonstrar a exequibilidade da sua proposta.</w:t>
      </w:r>
      <w:r>
        <w:rPr>
          <w:rFonts w:ascii="Arial" w:hAnsi="Arial" w:cs="Arial"/>
          <w:sz w:val="20"/>
          <w:szCs w:val="20"/>
        </w:rPr>
        <w:t>”</w:t>
      </w:r>
    </w:p>
    <w:p w14:paraId="17A05F67" w14:textId="77777777" w:rsidR="002F52C2" w:rsidRDefault="002F52C2" w:rsidP="002F52C2">
      <w:pPr>
        <w:ind w:left="2268" w:firstLine="0"/>
        <w:rPr>
          <w:rFonts w:ascii="Arial" w:hAnsi="Arial" w:cs="Arial"/>
          <w:sz w:val="20"/>
          <w:szCs w:val="20"/>
        </w:rPr>
      </w:pPr>
    </w:p>
    <w:p w14:paraId="2452D6CB" w14:textId="77777777" w:rsidR="00824DD0" w:rsidRDefault="00824DD0" w:rsidP="002F52C2">
      <w:pPr>
        <w:ind w:left="2268" w:firstLine="0"/>
        <w:rPr>
          <w:rFonts w:ascii="Arial" w:hAnsi="Arial" w:cs="Arial"/>
          <w:sz w:val="20"/>
          <w:szCs w:val="20"/>
        </w:rPr>
      </w:pPr>
    </w:p>
    <w:p w14:paraId="24E77ED0" w14:textId="64112CB4" w:rsidR="002F52C2" w:rsidRPr="002F52C2" w:rsidRDefault="002F52C2" w:rsidP="002F52C2">
      <w:pPr>
        <w:ind w:left="2268" w:firstLine="0"/>
        <w:rPr>
          <w:rFonts w:ascii="Arial" w:hAnsi="Arial" w:cs="Arial"/>
          <w:sz w:val="20"/>
          <w:szCs w:val="20"/>
        </w:rPr>
      </w:pPr>
      <w:r>
        <w:rPr>
          <w:rFonts w:ascii="Arial" w:hAnsi="Arial" w:cs="Arial"/>
          <w:sz w:val="20"/>
          <w:szCs w:val="20"/>
        </w:rPr>
        <w:t>“</w:t>
      </w:r>
      <w:r w:rsidRPr="002F52C2">
        <w:rPr>
          <w:rFonts w:ascii="Arial" w:hAnsi="Arial" w:cs="Arial"/>
          <w:sz w:val="20"/>
          <w:szCs w:val="20"/>
        </w:rPr>
        <w:t>ENUNCIADO</w:t>
      </w:r>
    </w:p>
    <w:p w14:paraId="5855118F" w14:textId="3F763225" w:rsidR="002F52C2" w:rsidRDefault="002F52C2" w:rsidP="002F52C2">
      <w:pPr>
        <w:ind w:left="2268" w:firstLine="0"/>
        <w:rPr>
          <w:rFonts w:ascii="Arial" w:hAnsi="Arial" w:cs="Arial"/>
          <w:sz w:val="20"/>
          <w:szCs w:val="20"/>
        </w:rPr>
      </w:pPr>
      <w:r w:rsidRPr="002F52C2">
        <w:rPr>
          <w:rFonts w:ascii="Arial" w:hAnsi="Arial" w:cs="Arial"/>
          <w:sz w:val="20"/>
          <w:szCs w:val="20"/>
        </w:rPr>
        <w:t xml:space="preserve">O </w:t>
      </w:r>
      <w:r w:rsidRPr="00824DD0">
        <w:rPr>
          <w:rFonts w:ascii="Arial" w:hAnsi="Arial" w:cs="Arial"/>
          <w:b/>
          <w:bCs/>
          <w:sz w:val="20"/>
          <w:szCs w:val="20"/>
        </w:rPr>
        <w:t>critério definido no art. 59, § 4º, da Lei 14.133/2021 conduz a uma presunção relativa de inexequibilidade de preços</w:t>
      </w:r>
      <w:r w:rsidRPr="002F52C2">
        <w:rPr>
          <w:rFonts w:ascii="Arial" w:hAnsi="Arial" w:cs="Arial"/>
          <w:sz w:val="20"/>
          <w:szCs w:val="20"/>
        </w:rPr>
        <w:t xml:space="preserve">, devendo a Administração, nos termos do art. 59, § 2º, da referida lei, </w:t>
      </w:r>
      <w:r w:rsidRPr="00824DD0">
        <w:rPr>
          <w:rFonts w:ascii="Arial" w:hAnsi="Arial" w:cs="Arial"/>
          <w:b/>
          <w:bCs/>
          <w:sz w:val="20"/>
          <w:szCs w:val="20"/>
        </w:rPr>
        <w:t>dar à licitante a oportunidade de demonstrar a exequibilidade de sua proposta</w:t>
      </w:r>
      <w:r w:rsidRPr="002F52C2">
        <w:rPr>
          <w:rFonts w:ascii="Arial" w:hAnsi="Arial" w:cs="Arial"/>
          <w:sz w:val="20"/>
          <w:szCs w:val="20"/>
        </w:rPr>
        <w:t>.</w:t>
      </w:r>
      <w:r>
        <w:rPr>
          <w:rFonts w:ascii="Arial" w:hAnsi="Arial" w:cs="Arial"/>
          <w:sz w:val="20"/>
          <w:szCs w:val="20"/>
        </w:rPr>
        <w:t xml:space="preserve"> (</w:t>
      </w:r>
      <w:r w:rsidRPr="002F52C2">
        <w:rPr>
          <w:rFonts w:ascii="Arial" w:hAnsi="Arial" w:cs="Arial"/>
          <w:sz w:val="20"/>
          <w:szCs w:val="20"/>
        </w:rPr>
        <w:t>Acórdão 465/2024-Plenário</w:t>
      </w:r>
      <w:r>
        <w:rPr>
          <w:rFonts w:ascii="Arial" w:hAnsi="Arial" w:cs="Arial"/>
          <w:sz w:val="20"/>
          <w:szCs w:val="20"/>
        </w:rPr>
        <w:t xml:space="preserve">, rel. </w:t>
      </w:r>
      <w:r w:rsidRPr="009865CB">
        <w:rPr>
          <w:rFonts w:ascii="Arial" w:hAnsi="Arial" w:cs="Arial"/>
          <w:sz w:val="20"/>
          <w:szCs w:val="20"/>
        </w:rPr>
        <w:t>Min. Augusto Sherman Cavalcanti</w:t>
      </w:r>
      <w:r>
        <w:rPr>
          <w:rFonts w:ascii="Arial" w:hAnsi="Arial" w:cs="Arial"/>
          <w:sz w:val="20"/>
          <w:szCs w:val="20"/>
        </w:rPr>
        <w:t>)</w:t>
      </w:r>
      <w:r w:rsidR="00824DD0">
        <w:rPr>
          <w:rFonts w:ascii="Arial" w:hAnsi="Arial" w:cs="Arial"/>
          <w:sz w:val="20"/>
          <w:szCs w:val="20"/>
        </w:rPr>
        <w:t xml:space="preserve"> (grifo nosso)</w:t>
      </w:r>
    </w:p>
    <w:p w14:paraId="7A44E6D9" w14:textId="77777777" w:rsidR="002F52C2" w:rsidRDefault="002F52C2" w:rsidP="00FC349E">
      <w:pPr>
        <w:ind w:left="2268" w:firstLine="0"/>
        <w:rPr>
          <w:rFonts w:ascii="Arial" w:hAnsi="Arial" w:cs="Arial"/>
          <w:sz w:val="20"/>
          <w:szCs w:val="20"/>
        </w:rPr>
      </w:pPr>
    </w:p>
    <w:p w14:paraId="18611AA8" w14:textId="4645AE84" w:rsidR="00FC349E" w:rsidRPr="009865CB" w:rsidRDefault="00FC349E" w:rsidP="00FC349E">
      <w:pPr>
        <w:ind w:left="2268" w:firstLine="0"/>
        <w:rPr>
          <w:rFonts w:ascii="Arial" w:hAnsi="Arial" w:cs="Arial"/>
          <w:sz w:val="20"/>
          <w:szCs w:val="20"/>
        </w:rPr>
      </w:pPr>
      <w:r>
        <w:rPr>
          <w:rFonts w:ascii="Arial" w:hAnsi="Arial" w:cs="Arial"/>
          <w:sz w:val="20"/>
          <w:szCs w:val="20"/>
        </w:rPr>
        <w:lastRenderedPageBreak/>
        <w:t>“</w:t>
      </w:r>
      <w:r w:rsidRPr="009865CB">
        <w:rPr>
          <w:rFonts w:ascii="Arial" w:hAnsi="Arial" w:cs="Arial"/>
          <w:sz w:val="20"/>
          <w:szCs w:val="20"/>
        </w:rPr>
        <w:t xml:space="preserve">18. Não bastasse essa grave falha, verificou-se que não foi dada ao licitante desclassificado por inexequibilidade a oportunidade de demonstrar a viabilidade de sua oferta. Essa impropriedade também se afigura grave porque, como firmado na doutrina afeta à matéria e na jurisprudência desta Corte (vide relatório supra), </w:t>
      </w:r>
      <w:r w:rsidRPr="009865CB">
        <w:rPr>
          <w:rFonts w:ascii="Arial" w:hAnsi="Arial" w:cs="Arial"/>
          <w:b/>
          <w:bCs/>
          <w:sz w:val="20"/>
          <w:szCs w:val="20"/>
        </w:rPr>
        <w:t>o juízo de inexequibilidade de uma proposta não é absoluto, mas admite demonstração em contrário</w:t>
      </w:r>
      <w:r w:rsidRPr="009865CB">
        <w:rPr>
          <w:rFonts w:ascii="Arial" w:hAnsi="Arial" w:cs="Arial"/>
          <w:sz w:val="20"/>
          <w:szCs w:val="20"/>
        </w:rPr>
        <w:t>. Isso, porque não se pode descartar a possibilidade de que o licitante seja detentor de uma situação peculiar que lhe permita ofertar preço inferior ao limite de exequibilidade estimado pelo contratante. Por exemplo, é perfeitamente possível que uma empresa, em especial de maior porte, partilhe custos – como infraestrutura, pessoal etc., entre os diversos clientes, resultando em redução nos preços de seus serviços. Também não se pode descartar que, muitas vezes, a estimação da exequibilidade pelo contratante</w:t>
      </w:r>
      <w:r>
        <w:rPr>
          <w:rFonts w:ascii="Arial" w:hAnsi="Arial" w:cs="Arial"/>
          <w:sz w:val="20"/>
          <w:szCs w:val="20"/>
        </w:rPr>
        <w:t xml:space="preserve"> </w:t>
      </w:r>
      <w:r w:rsidRPr="009865CB">
        <w:rPr>
          <w:rFonts w:ascii="Arial" w:hAnsi="Arial" w:cs="Arial"/>
          <w:sz w:val="20"/>
          <w:szCs w:val="20"/>
        </w:rPr>
        <w:t>possa apresentar deficiências, visto que sua visão de mercado não tem abrangência e precisão comparáveis às da empresa que atua no ramo.</w:t>
      </w:r>
    </w:p>
    <w:p w14:paraId="604863AB" w14:textId="77777777" w:rsidR="00FC349E" w:rsidRDefault="00FC349E" w:rsidP="00FC349E">
      <w:pPr>
        <w:ind w:left="2268" w:firstLine="0"/>
        <w:rPr>
          <w:rFonts w:ascii="Arial" w:hAnsi="Arial" w:cs="Arial"/>
          <w:sz w:val="20"/>
          <w:szCs w:val="20"/>
        </w:rPr>
      </w:pPr>
      <w:r w:rsidRPr="009865CB">
        <w:rPr>
          <w:rFonts w:ascii="Arial" w:hAnsi="Arial" w:cs="Arial"/>
          <w:sz w:val="20"/>
          <w:szCs w:val="20"/>
        </w:rPr>
        <w:t>19. Em vista dessas ocorrências, restou prejudicado o contratante que poderia ter obtido melhor preço e, consequentemente, uma proposta mais vantajosa.</w:t>
      </w:r>
      <w:r>
        <w:rPr>
          <w:rFonts w:ascii="Arial" w:hAnsi="Arial" w:cs="Arial"/>
          <w:sz w:val="20"/>
          <w:szCs w:val="20"/>
        </w:rPr>
        <w:t>”</w:t>
      </w:r>
      <w:r w:rsidRPr="009865CB">
        <w:rPr>
          <w:rFonts w:ascii="Arial" w:hAnsi="Arial" w:cs="Arial"/>
          <w:sz w:val="20"/>
          <w:szCs w:val="20"/>
        </w:rPr>
        <w:t xml:space="preserve"> (Acórdão 1.248/2009 Plenário, rel. Min. Augusto Sherman Cavalcanti).</w:t>
      </w:r>
    </w:p>
    <w:p w14:paraId="47B978E1" w14:textId="77777777" w:rsidR="00981EDF" w:rsidRDefault="00981EDF" w:rsidP="00FC349E">
      <w:pPr>
        <w:ind w:left="2268" w:firstLine="0"/>
        <w:rPr>
          <w:rFonts w:ascii="Arial" w:hAnsi="Arial" w:cs="Arial"/>
          <w:sz w:val="20"/>
          <w:szCs w:val="20"/>
        </w:rPr>
      </w:pPr>
    </w:p>
    <w:p w14:paraId="54247049" w14:textId="77777777" w:rsidR="00FC349E" w:rsidRPr="00B47CD0" w:rsidRDefault="00FC349E" w:rsidP="00FC349E">
      <w:pPr>
        <w:ind w:left="2268"/>
        <w:rPr>
          <w:rFonts w:ascii="Arial" w:hAnsi="Arial" w:cs="Arial"/>
          <w:sz w:val="10"/>
          <w:szCs w:val="10"/>
        </w:rPr>
      </w:pPr>
    </w:p>
    <w:p w14:paraId="14F48035" w14:textId="026F5B29" w:rsidR="00FC349E" w:rsidRDefault="00FC349E" w:rsidP="00FC349E">
      <w:pPr>
        <w:ind w:left="2268" w:firstLine="0"/>
        <w:rPr>
          <w:rFonts w:ascii="Arial" w:hAnsi="Arial" w:cs="Arial"/>
          <w:sz w:val="20"/>
          <w:szCs w:val="20"/>
        </w:rPr>
      </w:pPr>
      <w:r w:rsidRPr="00421219">
        <w:rPr>
          <w:rFonts w:ascii="Arial" w:hAnsi="Arial" w:cs="Arial"/>
          <w:sz w:val="20"/>
          <w:szCs w:val="20"/>
        </w:rPr>
        <w:t>“</w:t>
      </w:r>
      <w:r w:rsidRPr="00421219">
        <w:rPr>
          <w:rFonts w:ascii="Arial" w:hAnsi="Arial" w:cs="Arial"/>
          <w:b/>
          <w:sz w:val="20"/>
          <w:szCs w:val="20"/>
        </w:rPr>
        <w:t>A eventual inexequibilidade da proposta vencedora do procedimento licitatório não pode ser presumida</w:t>
      </w:r>
      <w:r w:rsidRPr="00421219">
        <w:rPr>
          <w:rFonts w:ascii="Arial" w:hAnsi="Arial" w:cs="Arial"/>
          <w:sz w:val="20"/>
          <w:szCs w:val="20"/>
        </w:rPr>
        <w:t>. É necessário que a parte interessada demonstre cabalmente que o preço cotado não corresponde à realidade dos custos. (TRF - 1ª Região, AMS nº 2001.34.00.018039-0/DF – Sexta Turma, Relator: Des. Souza Prudente; Data do Julgamento: 25/08/2003)</w:t>
      </w:r>
      <w:r>
        <w:rPr>
          <w:rFonts w:ascii="Arial" w:hAnsi="Arial" w:cs="Arial"/>
          <w:sz w:val="20"/>
          <w:szCs w:val="20"/>
        </w:rPr>
        <w:t xml:space="preserve"> </w:t>
      </w:r>
      <w:r w:rsidR="00824DD0">
        <w:rPr>
          <w:rFonts w:ascii="Arial" w:hAnsi="Arial" w:cs="Arial"/>
          <w:sz w:val="20"/>
          <w:szCs w:val="20"/>
        </w:rPr>
        <w:t>(grifo nosso)</w:t>
      </w:r>
    </w:p>
    <w:p w14:paraId="02E72303" w14:textId="77777777" w:rsidR="00FC349E" w:rsidRPr="00B47CD0" w:rsidRDefault="00FC349E" w:rsidP="00FC349E">
      <w:pPr>
        <w:ind w:left="2268"/>
        <w:rPr>
          <w:rFonts w:ascii="Arial" w:hAnsi="Arial" w:cs="Arial"/>
          <w:sz w:val="10"/>
          <w:szCs w:val="10"/>
        </w:rPr>
      </w:pPr>
    </w:p>
    <w:p w14:paraId="7836CE94" w14:textId="66DB8DDB" w:rsidR="00FC349E" w:rsidRDefault="00FC349E" w:rsidP="00FC349E">
      <w:pPr>
        <w:ind w:left="2268" w:firstLine="0"/>
        <w:rPr>
          <w:rFonts w:ascii="Arial" w:hAnsi="Arial" w:cs="Arial"/>
          <w:sz w:val="20"/>
          <w:szCs w:val="20"/>
        </w:rPr>
      </w:pPr>
      <w:r w:rsidRPr="00A67D36">
        <w:rPr>
          <w:rFonts w:ascii="Arial" w:hAnsi="Arial" w:cs="Arial"/>
          <w:sz w:val="20"/>
          <w:szCs w:val="20"/>
        </w:rPr>
        <w:t>“Alertar ao SENAI/RJ quanto à constatação das seguintes impropriedades</w:t>
      </w:r>
      <w:r>
        <w:rPr>
          <w:rFonts w:ascii="Arial" w:hAnsi="Arial" w:cs="Arial"/>
          <w:sz w:val="20"/>
          <w:szCs w:val="20"/>
        </w:rPr>
        <w:t xml:space="preserve"> </w:t>
      </w:r>
      <w:r w:rsidRPr="00A67D36">
        <w:rPr>
          <w:rFonts w:ascii="Arial" w:hAnsi="Arial" w:cs="Arial"/>
          <w:sz w:val="20"/>
          <w:szCs w:val="20"/>
        </w:rPr>
        <w:t>verificadas na condução de um convite: (...)</w:t>
      </w:r>
      <w:r>
        <w:rPr>
          <w:rFonts w:ascii="Arial" w:hAnsi="Arial" w:cs="Arial"/>
          <w:sz w:val="20"/>
          <w:szCs w:val="20"/>
        </w:rPr>
        <w:t xml:space="preserve"> </w:t>
      </w:r>
      <w:r w:rsidRPr="00A67D36">
        <w:rPr>
          <w:rFonts w:ascii="Arial" w:hAnsi="Arial" w:cs="Arial"/>
          <w:sz w:val="20"/>
          <w:szCs w:val="20"/>
        </w:rPr>
        <w:t>b) aferição da inexequibilidade da proposta de uma empresa</w:t>
      </w:r>
      <w:r>
        <w:rPr>
          <w:rFonts w:ascii="Arial" w:hAnsi="Arial" w:cs="Arial"/>
          <w:sz w:val="20"/>
          <w:szCs w:val="20"/>
        </w:rPr>
        <w:t xml:space="preserve"> </w:t>
      </w:r>
      <w:r w:rsidRPr="00A67D36">
        <w:rPr>
          <w:rFonts w:ascii="Arial" w:hAnsi="Arial" w:cs="Arial"/>
          <w:sz w:val="20"/>
          <w:szCs w:val="20"/>
        </w:rPr>
        <w:t>licitante privada de extintores, ao convite, que encerrava a oferta menos onerosa</w:t>
      </w:r>
      <w:r>
        <w:rPr>
          <w:rFonts w:ascii="Arial" w:hAnsi="Arial" w:cs="Arial"/>
          <w:sz w:val="20"/>
          <w:szCs w:val="20"/>
        </w:rPr>
        <w:t xml:space="preserve"> </w:t>
      </w:r>
      <w:r w:rsidRPr="00A67D36">
        <w:rPr>
          <w:rFonts w:ascii="Arial" w:hAnsi="Arial" w:cs="Arial"/>
          <w:sz w:val="20"/>
          <w:szCs w:val="20"/>
        </w:rPr>
        <w:t>para o SENAI/RJ, em caráter sumário e baseada em restrito referencial de preços,</w:t>
      </w:r>
      <w:r>
        <w:rPr>
          <w:rFonts w:ascii="Arial" w:hAnsi="Arial" w:cs="Arial"/>
          <w:sz w:val="20"/>
          <w:szCs w:val="20"/>
        </w:rPr>
        <w:t xml:space="preserve"> </w:t>
      </w:r>
      <w:r w:rsidRPr="00A67D36">
        <w:rPr>
          <w:rFonts w:ascii="Arial" w:hAnsi="Arial" w:cs="Arial"/>
          <w:sz w:val="20"/>
          <w:szCs w:val="20"/>
        </w:rPr>
        <w:t xml:space="preserve">e com base no orçamento em vez do valor médio das propostas, bem assim, </w:t>
      </w:r>
      <w:r w:rsidRPr="00B45E2B">
        <w:rPr>
          <w:rFonts w:ascii="Arial" w:hAnsi="Arial" w:cs="Arial"/>
          <w:b/>
          <w:sz w:val="20"/>
          <w:szCs w:val="20"/>
        </w:rPr>
        <w:t>sem propiciar a oportunidade de demonstração da exequibilidade da proposta</w:t>
      </w:r>
      <w:r w:rsidRPr="00A67D36">
        <w:rPr>
          <w:rFonts w:ascii="Arial" w:hAnsi="Arial" w:cs="Arial"/>
          <w:sz w:val="20"/>
          <w:szCs w:val="20"/>
        </w:rPr>
        <w:t>,</w:t>
      </w:r>
      <w:r>
        <w:rPr>
          <w:rFonts w:ascii="Arial" w:hAnsi="Arial" w:cs="Arial"/>
          <w:sz w:val="20"/>
          <w:szCs w:val="20"/>
        </w:rPr>
        <w:t xml:space="preserve"> </w:t>
      </w:r>
      <w:r w:rsidRPr="00D66CF6">
        <w:rPr>
          <w:rFonts w:ascii="Arial" w:hAnsi="Arial" w:cs="Arial"/>
          <w:b/>
          <w:sz w:val="20"/>
          <w:szCs w:val="20"/>
        </w:rPr>
        <w:t>contrariando a finalidade precípua da licitação, que é a obtenção da proposta mais vantajosa para a administração</w:t>
      </w:r>
      <w:r w:rsidRPr="00A67D36">
        <w:rPr>
          <w:rFonts w:ascii="Arial" w:hAnsi="Arial" w:cs="Arial"/>
          <w:sz w:val="20"/>
          <w:szCs w:val="20"/>
        </w:rPr>
        <w:t>. (TCU - Acórdão nº 6.439/2011-1ª Câmara).</w:t>
      </w:r>
      <w:r>
        <w:rPr>
          <w:rFonts w:ascii="Arial" w:hAnsi="Arial" w:cs="Arial"/>
          <w:sz w:val="20"/>
          <w:szCs w:val="20"/>
        </w:rPr>
        <w:t xml:space="preserve"> (</w:t>
      </w:r>
      <w:r w:rsidR="00824DD0">
        <w:rPr>
          <w:rFonts w:ascii="Arial" w:hAnsi="Arial" w:cs="Arial"/>
          <w:sz w:val="20"/>
          <w:szCs w:val="20"/>
        </w:rPr>
        <w:t>grifo nosso</w:t>
      </w:r>
      <w:r>
        <w:rPr>
          <w:rFonts w:ascii="Arial" w:hAnsi="Arial" w:cs="Arial"/>
          <w:sz w:val="20"/>
          <w:szCs w:val="20"/>
        </w:rPr>
        <w:t>)</w:t>
      </w:r>
    </w:p>
    <w:p w14:paraId="2A498A42" w14:textId="77777777" w:rsidR="00981EDF" w:rsidRDefault="00981EDF" w:rsidP="00FC349E">
      <w:pPr>
        <w:ind w:left="2268" w:firstLine="0"/>
        <w:rPr>
          <w:rFonts w:ascii="Arial" w:hAnsi="Arial" w:cs="Arial"/>
          <w:sz w:val="20"/>
          <w:szCs w:val="20"/>
        </w:rPr>
      </w:pPr>
    </w:p>
    <w:p w14:paraId="699FEF37" w14:textId="77777777" w:rsidR="00FC349E" w:rsidRPr="00B47CD0" w:rsidRDefault="00FC349E" w:rsidP="00FC349E">
      <w:pPr>
        <w:ind w:left="2268"/>
        <w:rPr>
          <w:rFonts w:ascii="Arial" w:hAnsi="Arial" w:cs="Arial"/>
          <w:sz w:val="10"/>
          <w:szCs w:val="10"/>
        </w:rPr>
      </w:pPr>
    </w:p>
    <w:p w14:paraId="37A8EDAB" w14:textId="74B4EF8B" w:rsidR="00FC349E" w:rsidRPr="00421219" w:rsidRDefault="00FC349E" w:rsidP="00FC349E">
      <w:pPr>
        <w:ind w:left="2268" w:firstLine="0"/>
        <w:rPr>
          <w:rFonts w:ascii="Arial" w:hAnsi="Arial" w:cs="Arial"/>
          <w:sz w:val="20"/>
          <w:szCs w:val="20"/>
        </w:rPr>
      </w:pPr>
      <w:r w:rsidRPr="00A67D36">
        <w:rPr>
          <w:rFonts w:ascii="Arial" w:hAnsi="Arial" w:cs="Arial"/>
          <w:sz w:val="20"/>
          <w:szCs w:val="20"/>
        </w:rPr>
        <w:t>“</w:t>
      </w:r>
      <w:r w:rsidRPr="00B45E2B">
        <w:rPr>
          <w:rFonts w:ascii="Arial" w:hAnsi="Arial" w:cs="Arial"/>
          <w:b/>
          <w:sz w:val="20"/>
          <w:szCs w:val="20"/>
        </w:rPr>
        <w:t>A proposta de licitante com margem de lucro mínima ou sem margem de lucro não conduz, necessariamente, à inexequibilidade</w:t>
      </w:r>
      <w:r w:rsidRPr="00A67D36">
        <w:rPr>
          <w:rFonts w:ascii="Arial" w:hAnsi="Arial" w:cs="Arial"/>
          <w:sz w:val="20"/>
          <w:szCs w:val="20"/>
        </w:rPr>
        <w:t xml:space="preserve">, </w:t>
      </w:r>
      <w:r w:rsidRPr="005602CF">
        <w:rPr>
          <w:rFonts w:ascii="Arial" w:hAnsi="Arial" w:cs="Arial"/>
          <w:b/>
          <w:sz w:val="20"/>
          <w:szCs w:val="20"/>
        </w:rPr>
        <w:t>pois tal fato depende da estratégia comercial da empresa.</w:t>
      </w:r>
      <w:r w:rsidRPr="00A67D36">
        <w:rPr>
          <w:rFonts w:ascii="Arial" w:hAnsi="Arial" w:cs="Arial"/>
          <w:sz w:val="20"/>
          <w:szCs w:val="20"/>
        </w:rPr>
        <w:t xml:space="preserve"> A desclassificação por inexequibilidade deve ser</w:t>
      </w:r>
      <w:r>
        <w:rPr>
          <w:rFonts w:ascii="Arial" w:hAnsi="Arial" w:cs="Arial"/>
          <w:sz w:val="20"/>
          <w:szCs w:val="20"/>
        </w:rPr>
        <w:t xml:space="preserve"> </w:t>
      </w:r>
      <w:r w:rsidRPr="00A67D36">
        <w:rPr>
          <w:rFonts w:ascii="Arial" w:hAnsi="Arial" w:cs="Arial"/>
          <w:sz w:val="20"/>
          <w:szCs w:val="20"/>
        </w:rPr>
        <w:t>objetivamente demonstrada, a partir de critérios previamente publicados, após dar</w:t>
      </w:r>
      <w:r>
        <w:rPr>
          <w:rFonts w:ascii="Arial" w:hAnsi="Arial" w:cs="Arial"/>
          <w:sz w:val="20"/>
          <w:szCs w:val="20"/>
        </w:rPr>
        <w:t xml:space="preserve"> </w:t>
      </w:r>
      <w:r w:rsidRPr="00A67D36">
        <w:rPr>
          <w:rFonts w:ascii="Arial" w:hAnsi="Arial" w:cs="Arial"/>
          <w:sz w:val="20"/>
          <w:szCs w:val="20"/>
        </w:rPr>
        <w:t>à licitante a oportunidade de demonstrar a exequibilidade de sua proposta.(TCU -</w:t>
      </w:r>
      <w:r>
        <w:rPr>
          <w:rFonts w:ascii="Arial" w:hAnsi="Arial" w:cs="Arial"/>
          <w:sz w:val="20"/>
          <w:szCs w:val="20"/>
        </w:rPr>
        <w:t xml:space="preserve"> </w:t>
      </w:r>
      <w:r w:rsidRPr="00A67D36">
        <w:rPr>
          <w:rFonts w:ascii="Arial" w:hAnsi="Arial" w:cs="Arial"/>
          <w:sz w:val="20"/>
          <w:szCs w:val="20"/>
        </w:rPr>
        <w:t>Acórdão nº 3.092/2014, Plenário. Rel. Min. Bruno Dantas, data da Sessão:</w:t>
      </w:r>
      <w:r>
        <w:rPr>
          <w:rFonts w:ascii="Arial" w:hAnsi="Arial" w:cs="Arial"/>
          <w:sz w:val="20"/>
          <w:szCs w:val="20"/>
        </w:rPr>
        <w:t xml:space="preserve"> 12/11/2014) </w:t>
      </w:r>
      <w:r w:rsidR="00824DD0">
        <w:rPr>
          <w:rFonts w:ascii="Arial" w:hAnsi="Arial" w:cs="Arial"/>
          <w:sz w:val="20"/>
          <w:szCs w:val="20"/>
        </w:rPr>
        <w:t>(grifo nosso)</w:t>
      </w:r>
    </w:p>
    <w:p w14:paraId="1ABE2EBB" w14:textId="77777777" w:rsidR="00FC349E" w:rsidRDefault="00FC349E" w:rsidP="00FC349E">
      <w:pPr>
        <w:rPr>
          <w:rFonts w:ascii="Arial" w:hAnsi="Arial" w:cs="Arial"/>
        </w:rPr>
      </w:pPr>
    </w:p>
    <w:p w14:paraId="66B2870B" w14:textId="5DC62865" w:rsidR="00FC349E" w:rsidRDefault="00FC349E" w:rsidP="00FC349E">
      <w:pPr>
        <w:rPr>
          <w:rFonts w:ascii="Arial" w:hAnsi="Arial" w:cs="Arial"/>
        </w:rPr>
      </w:pPr>
      <w:r>
        <w:rPr>
          <w:rFonts w:ascii="Arial" w:hAnsi="Arial" w:cs="Arial"/>
        </w:rPr>
        <w:t>Em suma, temos o entendimento majoritário de que não se pode presumir a inexequibilidade da proposta, ou ainda, a inexecução do contrato, sendo que a manifestação da empresa licitante em reforçar que seus preços atendem ao contrato, somados aos preços já praticados anteriormente, devem satisfazer a administração da exequibilidade da proposta.</w:t>
      </w:r>
    </w:p>
    <w:p w14:paraId="14A6C5DC" w14:textId="367865D0" w:rsidR="003F6CEC" w:rsidRDefault="00981EDF" w:rsidP="003F6CEC">
      <w:pPr>
        <w:rPr>
          <w:rFonts w:ascii="Arial" w:hAnsi="Arial" w:cs="Arial"/>
        </w:rPr>
      </w:pPr>
      <w:r>
        <w:rPr>
          <w:rFonts w:ascii="Arial" w:hAnsi="Arial" w:cs="Arial"/>
        </w:rPr>
        <w:t xml:space="preserve">Temos  inclusive a decisão recente do TCU por meio do </w:t>
      </w:r>
      <w:r w:rsidRPr="00981EDF">
        <w:rPr>
          <w:rFonts w:ascii="Arial" w:hAnsi="Arial" w:cs="Arial"/>
        </w:rPr>
        <w:t>Acórdão 465/2024-Plenário</w:t>
      </w:r>
      <w:r>
        <w:rPr>
          <w:rFonts w:ascii="Arial" w:hAnsi="Arial" w:cs="Arial"/>
        </w:rPr>
        <w:t xml:space="preserve">, conforme já citado, </w:t>
      </w:r>
      <w:r w:rsidR="002F52C2">
        <w:rPr>
          <w:rFonts w:ascii="Arial" w:hAnsi="Arial" w:cs="Arial"/>
        </w:rPr>
        <w:t xml:space="preserve"> o qual afirma que o</w:t>
      </w:r>
      <w:r w:rsidR="002F52C2" w:rsidRPr="002F52C2">
        <w:rPr>
          <w:rFonts w:ascii="Arial" w:hAnsi="Arial" w:cs="Arial"/>
        </w:rPr>
        <w:t xml:space="preserve"> critério definido no art. 59, § 4º, da Lei 14.133/2021 </w:t>
      </w:r>
      <w:bookmarkStart w:id="1" w:name="_Hlk164801758"/>
      <w:r w:rsidR="002F52C2" w:rsidRPr="002F52C2">
        <w:rPr>
          <w:rFonts w:ascii="Arial" w:hAnsi="Arial" w:cs="Arial"/>
        </w:rPr>
        <w:t>conduz a uma presunção relativa de inexequibilidade de preços, devendo a Administração, nos termos do art. 59, § 2º, da referida lei, dar à licitante a oportunidade de demonstrar a exequibilidade de sua proposta</w:t>
      </w:r>
      <w:bookmarkEnd w:id="1"/>
      <w:r w:rsidR="002F52C2">
        <w:rPr>
          <w:rFonts w:ascii="Arial" w:hAnsi="Arial" w:cs="Arial"/>
        </w:rPr>
        <w:t>.</w:t>
      </w:r>
      <w:r w:rsidR="003F6CEC">
        <w:rPr>
          <w:rFonts w:ascii="Arial" w:hAnsi="Arial" w:cs="Arial"/>
        </w:rPr>
        <w:t xml:space="preserve"> Vejamos o disposto no </w:t>
      </w:r>
      <w:r w:rsidR="003F6CEC" w:rsidRPr="002F52C2">
        <w:rPr>
          <w:rFonts w:ascii="Arial" w:hAnsi="Arial" w:cs="Arial"/>
        </w:rPr>
        <w:t>art. 59, § 2º</w:t>
      </w:r>
      <w:r w:rsidR="003F6CEC">
        <w:rPr>
          <w:rFonts w:ascii="Arial" w:hAnsi="Arial" w:cs="Arial"/>
        </w:rPr>
        <w:t>, da lei 14.133/21:</w:t>
      </w:r>
    </w:p>
    <w:p w14:paraId="63DA54BE" w14:textId="77777777" w:rsidR="003F6CEC" w:rsidRDefault="003F6CEC" w:rsidP="003F6CEC">
      <w:pPr>
        <w:rPr>
          <w:rFonts w:ascii="Arial" w:hAnsi="Arial" w:cs="Arial"/>
        </w:rPr>
      </w:pPr>
    </w:p>
    <w:p w14:paraId="1AF2E3A3" w14:textId="77777777" w:rsidR="003F6CEC" w:rsidRPr="003F6CEC" w:rsidRDefault="003F6CEC" w:rsidP="003F6CEC">
      <w:pPr>
        <w:ind w:left="2268" w:firstLine="0"/>
        <w:rPr>
          <w:rFonts w:ascii="Arial" w:hAnsi="Arial" w:cs="Arial"/>
          <w:sz w:val="20"/>
          <w:szCs w:val="20"/>
        </w:rPr>
      </w:pPr>
      <w:r w:rsidRPr="003F6CEC">
        <w:rPr>
          <w:rFonts w:ascii="Arial" w:hAnsi="Arial" w:cs="Arial"/>
          <w:sz w:val="20"/>
          <w:szCs w:val="20"/>
        </w:rPr>
        <w:t>§ 2º A Administração poderá realizar diligências para aferir a exequibilidade das propostas ou exigir dos licitantes que ela seja demonstrada, conforme disposto no inciso IV do caput deste artigo.</w:t>
      </w:r>
    </w:p>
    <w:p w14:paraId="060BC28C" w14:textId="77777777" w:rsidR="003F6CEC" w:rsidRDefault="003F6CEC" w:rsidP="003F6CEC">
      <w:pPr>
        <w:rPr>
          <w:rFonts w:ascii="Arial" w:hAnsi="Arial" w:cs="Arial"/>
        </w:rPr>
      </w:pPr>
    </w:p>
    <w:p w14:paraId="4C8D7717" w14:textId="200C06C5" w:rsidR="002F52C2" w:rsidRDefault="002F52C2" w:rsidP="00FC349E">
      <w:pPr>
        <w:rPr>
          <w:rFonts w:ascii="Arial" w:hAnsi="Arial" w:cs="Arial"/>
        </w:rPr>
      </w:pPr>
      <w:r>
        <w:rPr>
          <w:rFonts w:ascii="Arial" w:hAnsi="Arial" w:cs="Arial"/>
        </w:rPr>
        <w:t>Portanto, caso a administração tenha dúvidas da exequibilidade da proposta apresentada por esta licitante, que aplique as devidas diligências para sanar as dúvidas, e somente após determinar a exequibilidade ou não da proposta.</w:t>
      </w:r>
    </w:p>
    <w:p w14:paraId="7ACFCDF4" w14:textId="4D018ED5" w:rsidR="003F6CEC" w:rsidRDefault="003F6CEC" w:rsidP="00FC349E">
      <w:pPr>
        <w:rPr>
          <w:rFonts w:ascii="Arial" w:hAnsi="Arial" w:cs="Arial"/>
        </w:rPr>
      </w:pPr>
      <w:r>
        <w:rPr>
          <w:rFonts w:ascii="Arial" w:hAnsi="Arial" w:cs="Arial"/>
        </w:rPr>
        <w:t>Resta evidente que</w:t>
      </w:r>
      <w:r w:rsidR="00DC5BB6">
        <w:rPr>
          <w:rFonts w:ascii="Arial" w:hAnsi="Arial" w:cs="Arial"/>
        </w:rPr>
        <w:t>,</w:t>
      </w:r>
      <w:r>
        <w:rPr>
          <w:rFonts w:ascii="Arial" w:hAnsi="Arial" w:cs="Arial"/>
        </w:rPr>
        <w:t xml:space="preserve"> não cabe presunção sumária de inexequibilidade da proposta</w:t>
      </w:r>
      <w:r w:rsidR="00DC5BB6">
        <w:rPr>
          <w:rFonts w:ascii="Arial" w:hAnsi="Arial" w:cs="Arial"/>
        </w:rPr>
        <w:t>,</w:t>
      </w:r>
      <w:r>
        <w:rPr>
          <w:rFonts w:ascii="Arial" w:hAnsi="Arial" w:cs="Arial"/>
        </w:rPr>
        <w:t xml:space="preserve"> assim como tenta propor a recorrente com narrativas vazias e desconexas do sentido saudável do objetivo e princípios licitatórios.</w:t>
      </w:r>
      <w:r w:rsidR="00DC5BB6">
        <w:rPr>
          <w:rFonts w:ascii="Arial" w:hAnsi="Arial" w:cs="Arial"/>
        </w:rPr>
        <w:t xml:space="preserve"> Se há possíveis indícios e dúvidas sobre o a exequibilidade da proposta, então que se aplique as devidas diligências para complementar a instrução processual.</w:t>
      </w:r>
    </w:p>
    <w:p w14:paraId="00265DD1" w14:textId="55753D43" w:rsidR="001E3D86" w:rsidRDefault="00FC349E" w:rsidP="002C4902">
      <w:pPr>
        <w:rPr>
          <w:rFonts w:ascii="Arial" w:hAnsi="Arial" w:cs="Arial"/>
        </w:rPr>
      </w:pPr>
      <w:r>
        <w:rPr>
          <w:rFonts w:ascii="Arial" w:hAnsi="Arial" w:cs="Arial"/>
        </w:rPr>
        <w:t>Nesse sentido, e</w:t>
      </w:r>
      <w:r w:rsidR="001E3D86">
        <w:rPr>
          <w:rFonts w:ascii="Arial" w:hAnsi="Arial" w:cs="Arial"/>
        </w:rPr>
        <w:t>sta empresa atual com estratégia comercial, buscamos expansão territorial da região Centro Oeste</w:t>
      </w:r>
      <w:r w:rsidR="009F5E3D">
        <w:rPr>
          <w:rFonts w:ascii="Arial" w:hAnsi="Arial" w:cs="Arial"/>
        </w:rPr>
        <w:t>, Sudeste</w:t>
      </w:r>
      <w:r w:rsidR="0037328A">
        <w:rPr>
          <w:rFonts w:ascii="Arial" w:hAnsi="Arial" w:cs="Arial"/>
        </w:rPr>
        <w:t xml:space="preserve">, Norte e </w:t>
      </w:r>
      <w:r w:rsidR="001E3D86">
        <w:rPr>
          <w:rFonts w:ascii="Arial" w:hAnsi="Arial" w:cs="Arial"/>
        </w:rPr>
        <w:t>Nordeste</w:t>
      </w:r>
      <w:r w:rsidR="009F5E3D">
        <w:rPr>
          <w:rFonts w:ascii="Arial" w:hAnsi="Arial" w:cs="Arial"/>
        </w:rPr>
        <w:t>. E</w:t>
      </w:r>
      <w:r w:rsidR="0037328A">
        <w:rPr>
          <w:rFonts w:ascii="Arial" w:hAnsi="Arial" w:cs="Arial"/>
        </w:rPr>
        <w:t xml:space="preserve">m especial temos diversos contratos com a </w:t>
      </w:r>
      <w:r w:rsidR="009F5E3D">
        <w:rPr>
          <w:rFonts w:ascii="Arial" w:hAnsi="Arial" w:cs="Arial"/>
        </w:rPr>
        <w:t>CODEVASF</w:t>
      </w:r>
      <w:r w:rsidR="0037328A">
        <w:rPr>
          <w:rFonts w:ascii="Arial" w:hAnsi="Arial" w:cs="Arial"/>
        </w:rPr>
        <w:t xml:space="preserve"> e suas diversas sedes distribuídas pelo país, o que tem permitido esta empresa, além dos diversos contratos executados e existentes, ampliar ainda mais nosso posicionamento operacional e geográfico,</w:t>
      </w:r>
      <w:r w:rsidR="009F5E3D">
        <w:rPr>
          <w:rFonts w:ascii="Arial" w:hAnsi="Arial" w:cs="Arial"/>
        </w:rPr>
        <w:t xml:space="preserve"> permitindo a disponibilidade de </w:t>
      </w:r>
      <w:r w:rsidR="0037328A">
        <w:rPr>
          <w:rFonts w:ascii="Arial" w:hAnsi="Arial" w:cs="Arial"/>
        </w:rPr>
        <w:t xml:space="preserve">toda uma </w:t>
      </w:r>
      <w:r w:rsidR="009F5E3D">
        <w:rPr>
          <w:rFonts w:ascii="Arial" w:hAnsi="Arial" w:cs="Arial"/>
        </w:rPr>
        <w:t>estrutura</w:t>
      </w:r>
      <w:r w:rsidR="0037328A">
        <w:rPr>
          <w:rFonts w:ascii="Arial" w:hAnsi="Arial" w:cs="Arial"/>
        </w:rPr>
        <w:t xml:space="preserve"> logística e com mão de obra já inserida em nosso centro de custo</w:t>
      </w:r>
      <w:r w:rsidR="001E3D86">
        <w:rPr>
          <w:rFonts w:ascii="Arial" w:hAnsi="Arial" w:cs="Arial"/>
        </w:rPr>
        <w:t>.</w:t>
      </w:r>
    </w:p>
    <w:p w14:paraId="562CB752" w14:textId="028A8E2F" w:rsidR="001E3D86" w:rsidRDefault="001E3D86" w:rsidP="002C4902">
      <w:pPr>
        <w:rPr>
          <w:rFonts w:ascii="Arial" w:hAnsi="Arial" w:cs="Arial"/>
        </w:rPr>
      </w:pPr>
      <w:r>
        <w:rPr>
          <w:rFonts w:ascii="Arial" w:hAnsi="Arial" w:cs="Arial"/>
        </w:rPr>
        <w:t>Para maiores demonstrativos de nossa estrut</w:t>
      </w:r>
      <w:r w:rsidR="002872C5">
        <w:rPr>
          <w:rFonts w:ascii="Arial" w:hAnsi="Arial" w:cs="Arial"/>
        </w:rPr>
        <w:t>ura</w:t>
      </w:r>
      <w:r>
        <w:rPr>
          <w:rFonts w:ascii="Arial" w:hAnsi="Arial" w:cs="Arial"/>
        </w:rPr>
        <w:t>, vejamos abaixo alguns dos contratos em execução e Atas de Registro de Preços de futuras contratações.:</w:t>
      </w:r>
    </w:p>
    <w:p w14:paraId="0C81AC7E" w14:textId="77777777" w:rsidR="001E3D86" w:rsidRDefault="001E3D86" w:rsidP="002C4902">
      <w:pPr>
        <w:ind w:firstLine="0"/>
        <w:rPr>
          <w:rFonts w:ascii="Arial" w:hAnsi="Arial" w:cs="Arial"/>
        </w:rPr>
      </w:pPr>
      <w:r>
        <w:rPr>
          <w:rFonts w:ascii="Arial" w:hAnsi="Arial" w:cs="Arial"/>
        </w:rPr>
        <w:t>Quadro 01</w:t>
      </w:r>
    </w:p>
    <w:tbl>
      <w:tblPr>
        <w:tblStyle w:val="Tabelacomgrade"/>
        <w:tblW w:w="0" w:type="auto"/>
        <w:tblLook w:val="04A0" w:firstRow="1" w:lastRow="0" w:firstColumn="1" w:lastColumn="0" w:noHBand="0" w:noVBand="1"/>
      </w:tblPr>
      <w:tblGrid>
        <w:gridCol w:w="2949"/>
        <w:gridCol w:w="5126"/>
        <w:gridCol w:w="1553"/>
      </w:tblGrid>
      <w:tr w:rsidR="001E3D86" w:rsidRPr="000B4022" w14:paraId="03D53A68" w14:textId="77777777" w:rsidTr="007E3D58">
        <w:tc>
          <w:tcPr>
            <w:tcW w:w="2949" w:type="dxa"/>
          </w:tcPr>
          <w:p w14:paraId="65C3203C" w14:textId="77777777" w:rsidR="001E3D86" w:rsidRPr="000B4022" w:rsidRDefault="001E3D86" w:rsidP="002C4902">
            <w:pPr>
              <w:ind w:firstLine="0"/>
              <w:jc w:val="center"/>
              <w:rPr>
                <w:rFonts w:ascii="Arial" w:hAnsi="Arial" w:cs="Arial"/>
                <w:sz w:val="20"/>
                <w:szCs w:val="20"/>
              </w:rPr>
            </w:pPr>
            <w:r w:rsidRPr="000B4022">
              <w:rPr>
                <w:rFonts w:ascii="Arial" w:hAnsi="Arial" w:cs="Arial"/>
                <w:sz w:val="20"/>
                <w:szCs w:val="20"/>
              </w:rPr>
              <w:t>LICITAÇÃO/CONTRATO</w:t>
            </w:r>
          </w:p>
        </w:tc>
        <w:tc>
          <w:tcPr>
            <w:tcW w:w="5126" w:type="dxa"/>
          </w:tcPr>
          <w:p w14:paraId="09B87C0F" w14:textId="77777777" w:rsidR="001E3D86" w:rsidRPr="000B4022" w:rsidRDefault="001E3D86" w:rsidP="002C4902">
            <w:pPr>
              <w:ind w:firstLine="0"/>
              <w:jc w:val="center"/>
              <w:rPr>
                <w:rFonts w:ascii="Arial" w:hAnsi="Arial" w:cs="Arial"/>
                <w:sz w:val="20"/>
                <w:szCs w:val="20"/>
              </w:rPr>
            </w:pPr>
            <w:r w:rsidRPr="000B4022">
              <w:rPr>
                <w:rFonts w:ascii="Arial" w:hAnsi="Arial" w:cs="Arial"/>
                <w:sz w:val="20"/>
                <w:szCs w:val="20"/>
              </w:rPr>
              <w:t>DESCRIÇÃO DO OBJETO</w:t>
            </w:r>
          </w:p>
        </w:tc>
        <w:tc>
          <w:tcPr>
            <w:tcW w:w="1553" w:type="dxa"/>
          </w:tcPr>
          <w:p w14:paraId="057C1243" w14:textId="77777777" w:rsidR="001E3D86" w:rsidRPr="000B4022" w:rsidRDefault="001E3D86" w:rsidP="002C4902">
            <w:pPr>
              <w:ind w:firstLine="0"/>
              <w:jc w:val="center"/>
              <w:rPr>
                <w:rFonts w:ascii="Arial" w:hAnsi="Arial" w:cs="Arial"/>
                <w:sz w:val="20"/>
                <w:szCs w:val="20"/>
              </w:rPr>
            </w:pPr>
            <w:r w:rsidRPr="000B4022">
              <w:rPr>
                <w:rFonts w:ascii="Arial" w:hAnsi="Arial" w:cs="Arial"/>
                <w:sz w:val="20"/>
                <w:szCs w:val="20"/>
              </w:rPr>
              <w:t>Valor R$</w:t>
            </w:r>
          </w:p>
        </w:tc>
      </w:tr>
      <w:tr w:rsidR="002F5220" w:rsidRPr="000B4022" w14:paraId="4C1A253D" w14:textId="77777777" w:rsidTr="007E3D58">
        <w:trPr>
          <w:trHeight w:val="1078"/>
        </w:trPr>
        <w:tc>
          <w:tcPr>
            <w:tcW w:w="2949" w:type="dxa"/>
          </w:tcPr>
          <w:p w14:paraId="262E65C0" w14:textId="67FDFC4C" w:rsidR="002F5220" w:rsidRPr="000B4022" w:rsidRDefault="002F5220" w:rsidP="002F5220">
            <w:pPr>
              <w:ind w:firstLine="0"/>
              <w:rPr>
                <w:rFonts w:ascii="Arial" w:hAnsi="Arial" w:cs="Arial"/>
                <w:sz w:val="20"/>
                <w:szCs w:val="20"/>
              </w:rPr>
            </w:pPr>
            <w:r w:rsidRPr="000B4022">
              <w:rPr>
                <w:rFonts w:ascii="Arial" w:hAnsi="Arial" w:cs="Arial"/>
                <w:sz w:val="20"/>
                <w:szCs w:val="20"/>
              </w:rPr>
              <w:t xml:space="preserve">Contrato nº </w:t>
            </w:r>
            <w:r w:rsidRPr="002F5220">
              <w:rPr>
                <w:rFonts w:ascii="Arial" w:hAnsi="Arial" w:cs="Arial"/>
                <w:sz w:val="20"/>
                <w:szCs w:val="20"/>
              </w:rPr>
              <w:t>1.1238.00/2023</w:t>
            </w:r>
            <w:r w:rsidRPr="000B4022">
              <w:rPr>
                <w:rFonts w:ascii="Arial" w:hAnsi="Arial" w:cs="Arial"/>
                <w:sz w:val="20"/>
                <w:szCs w:val="20"/>
              </w:rPr>
              <w:t xml:space="preserve"> – CODEVASF </w:t>
            </w:r>
            <w:r>
              <w:rPr>
                <w:rFonts w:ascii="Arial" w:hAnsi="Arial" w:cs="Arial"/>
                <w:sz w:val="20"/>
                <w:szCs w:val="20"/>
              </w:rPr>
              <w:t>1</w:t>
            </w:r>
            <w:r w:rsidRPr="000B4022">
              <w:rPr>
                <w:rFonts w:ascii="Arial" w:hAnsi="Arial" w:cs="Arial"/>
                <w:sz w:val="20"/>
                <w:szCs w:val="20"/>
              </w:rPr>
              <w:t>ª/S</w:t>
            </w:r>
            <w:r>
              <w:rPr>
                <w:rFonts w:ascii="Arial" w:hAnsi="Arial" w:cs="Arial"/>
                <w:sz w:val="20"/>
                <w:szCs w:val="20"/>
              </w:rPr>
              <w:t>L</w:t>
            </w:r>
          </w:p>
          <w:p w14:paraId="5D02328B" w14:textId="77777777" w:rsidR="002F5220" w:rsidRPr="000B4022" w:rsidRDefault="002F5220" w:rsidP="002F5220">
            <w:pPr>
              <w:ind w:firstLine="0"/>
              <w:rPr>
                <w:rFonts w:ascii="Arial" w:hAnsi="Arial" w:cs="Arial"/>
                <w:sz w:val="20"/>
                <w:szCs w:val="20"/>
              </w:rPr>
            </w:pPr>
          </w:p>
        </w:tc>
        <w:tc>
          <w:tcPr>
            <w:tcW w:w="5126" w:type="dxa"/>
          </w:tcPr>
          <w:p w14:paraId="3859D663" w14:textId="49B4B063" w:rsidR="002F5220" w:rsidRPr="000B4022" w:rsidRDefault="002F5220" w:rsidP="002F5220">
            <w:pPr>
              <w:ind w:firstLine="0"/>
              <w:rPr>
                <w:rFonts w:ascii="Arial" w:hAnsi="Arial" w:cs="Arial"/>
                <w:sz w:val="20"/>
                <w:szCs w:val="20"/>
              </w:rPr>
            </w:pPr>
            <w:r>
              <w:rPr>
                <w:rFonts w:ascii="Arial" w:hAnsi="Arial" w:cs="Arial"/>
                <w:sz w:val="20"/>
                <w:szCs w:val="20"/>
              </w:rPr>
              <w:t>S</w:t>
            </w:r>
            <w:r w:rsidRPr="002D62D6">
              <w:rPr>
                <w:rFonts w:ascii="Arial" w:hAnsi="Arial" w:cs="Arial"/>
                <w:sz w:val="20"/>
                <w:szCs w:val="20"/>
              </w:rPr>
              <w:t>erviços para supervisão e apoio à fiscalização de</w:t>
            </w:r>
            <w:r>
              <w:rPr>
                <w:rFonts w:ascii="Arial" w:hAnsi="Arial" w:cs="Arial"/>
                <w:sz w:val="20"/>
                <w:szCs w:val="20"/>
              </w:rPr>
              <w:t xml:space="preserve"> </w:t>
            </w:r>
            <w:r w:rsidRPr="002D62D6">
              <w:rPr>
                <w:rFonts w:ascii="Arial" w:hAnsi="Arial" w:cs="Arial"/>
                <w:sz w:val="20"/>
                <w:szCs w:val="20"/>
              </w:rPr>
              <w:t>obras e serviços de pavimentações na área de atuação da Codevasf, no estado de</w:t>
            </w:r>
            <w:r>
              <w:rPr>
                <w:rFonts w:ascii="Arial" w:hAnsi="Arial" w:cs="Arial"/>
                <w:sz w:val="20"/>
                <w:szCs w:val="20"/>
              </w:rPr>
              <w:t xml:space="preserve"> </w:t>
            </w:r>
            <w:r w:rsidRPr="002D62D6">
              <w:rPr>
                <w:rFonts w:ascii="Arial" w:hAnsi="Arial" w:cs="Arial"/>
                <w:sz w:val="20"/>
                <w:szCs w:val="20"/>
              </w:rPr>
              <w:t>Minas Gerais.</w:t>
            </w:r>
          </w:p>
        </w:tc>
        <w:tc>
          <w:tcPr>
            <w:tcW w:w="1553" w:type="dxa"/>
          </w:tcPr>
          <w:p w14:paraId="69827046" w14:textId="2AA86BC3" w:rsidR="002F5220" w:rsidRPr="000B4022" w:rsidRDefault="002F5220" w:rsidP="002F5220">
            <w:pPr>
              <w:ind w:firstLine="0"/>
              <w:jc w:val="right"/>
              <w:rPr>
                <w:rFonts w:ascii="Arial" w:hAnsi="Arial" w:cs="Arial"/>
                <w:sz w:val="20"/>
                <w:szCs w:val="20"/>
              </w:rPr>
            </w:pPr>
            <w:r w:rsidRPr="002F5220">
              <w:rPr>
                <w:rFonts w:ascii="Arial" w:hAnsi="Arial" w:cs="Arial"/>
                <w:sz w:val="20"/>
                <w:szCs w:val="20"/>
              </w:rPr>
              <w:t>2</w:t>
            </w:r>
            <w:r>
              <w:rPr>
                <w:rFonts w:ascii="Arial" w:hAnsi="Arial" w:cs="Arial"/>
                <w:sz w:val="20"/>
                <w:szCs w:val="20"/>
              </w:rPr>
              <w:t>.</w:t>
            </w:r>
            <w:r w:rsidRPr="002F5220">
              <w:rPr>
                <w:rFonts w:ascii="Arial" w:hAnsi="Arial" w:cs="Arial"/>
                <w:sz w:val="20"/>
                <w:szCs w:val="20"/>
              </w:rPr>
              <w:t>437</w:t>
            </w:r>
            <w:r>
              <w:rPr>
                <w:rFonts w:ascii="Arial" w:hAnsi="Arial" w:cs="Arial"/>
                <w:sz w:val="20"/>
                <w:szCs w:val="20"/>
              </w:rPr>
              <w:t>.</w:t>
            </w:r>
            <w:r w:rsidRPr="002F5220">
              <w:rPr>
                <w:rFonts w:ascii="Arial" w:hAnsi="Arial" w:cs="Arial"/>
                <w:sz w:val="20"/>
                <w:szCs w:val="20"/>
              </w:rPr>
              <w:t>682,82</w:t>
            </w:r>
          </w:p>
        </w:tc>
      </w:tr>
      <w:tr w:rsidR="002F5220" w:rsidRPr="000B4022" w14:paraId="23542940" w14:textId="77777777" w:rsidTr="007E3D58">
        <w:trPr>
          <w:trHeight w:val="1078"/>
        </w:trPr>
        <w:tc>
          <w:tcPr>
            <w:tcW w:w="2949" w:type="dxa"/>
          </w:tcPr>
          <w:p w14:paraId="11413E50" w14:textId="77777777" w:rsidR="002F5220" w:rsidRPr="000B4022" w:rsidRDefault="002F5220" w:rsidP="002F5220">
            <w:pPr>
              <w:ind w:firstLine="0"/>
              <w:rPr>
                <w:rFonts w:ascii="Arial" w:hAnsi="Arial" w:cs="Arial"/>
                <w:sz w:val="20"/>
                <w:szCs w:val="20"/>
              </w:rPr>
            </w:pPr>
            <w:r w:rsidRPr="000B4022">
              <w:rPr>
                <w:rFonts w:ascii="Arial" w:hAnsi="Arial" w:cs="Arial"/>
                <w:sz w:val="20"/>
                <w:szCs w:val="20"/>
              </w:rPr>
              <w:t>Contrato nº 6.0488.00/2022 – CODEVASF 6ª/SR</w:t>
            </w:r>
          </w:p>
          <w:p w14:paraId="30D5CCC5" w14:textId="77777777" w:rsidR="002F5220" w:rsidRPr="000B4022" w:rsidRDefault="002F5220" w:rsidP="002F5220">
            <w:pPr>
              <w:ind w:firstLine="0"/>
              <w:rPr>
                <w:rFonts w:ascii="Arial" w:hAnsi="Arial" w:cs="Arial"/>
                <w:sz w:val="20"/>
                <w:szCs w:val="20"/>
              </w:rPr>
            </w:pPr>
          </w:p>
        </w:tc>
        <w:tc>
          <w:tcPr>
            <w:tcW w:w="5126" w:type="dxa"/>
          </w:tcPr>
          <w:p w14:paraId="151D78DC" w14:textId="0F002EC0" w:rsidR="002F5220" w:rsidRPr="000B4022" w:rsidRDefault="002F5220" w:rsidP="002F5220">
            <w:pPr>
              <w:ind w:firstLine="0"/>
              <w:rPr>
                <w:rFonts w:ascii="Arial" w:hAnsi="Arial" w:cs="Arial"/>
                <w:sz w:val="20"/>
                <w:szCs w:val="20"/>
              </w:rPr>
            </w:pPr>
            <w:r w:rsidRPr="000B4022">
              <w:rPr>
                <w:rFonts w:ascii="Arial" w:hAnsi="Arial" w:cs="Arial"/>
                <w:sz w:val="20"/>
                <w:szCs w:val="20"/>
              </w:rPr>
              <w:t>Prestação de serviços comuns de engenharia para apoio técnico à fiscalização e supervisão técnica na execução de contratos, convênios, termos de compromissos, de obras e serviços de engenharia e doações de máquinas e equipamentos, sendo tais serviços caracterizados como não continuados e com dedicação exclusiva de mão de obra, a serem prestados nos municípios sob área de abrangência da 6ª Superintendência Regional da Codevasf no Estado da Bahia.</w:t>
            </w:r>
          </w:p>
        </w:tc>
        <w:tc>
          <w:tcPr>
            <w:tcW w:w="1553" w:type="dxa"/>
          </w:tcPr>
          <w:p w14:paraId="26B25ADA" w14:textId="150E2B42" w:rsidR="002F5220" w:rsidRPr="000B4022" w:rsidRDefault="002F5220" w:rsidP="002F5220">
            <w:pPr>
              <w:ind w:firstLine="0"/>
              <w:jc w:val="right"/>
              <w:rPr>
                <w:rFonts w:ascii="Arial" w:hAnsi="Arial" w:cs="Arial"/>
                <w:sz w:val="20"/>
                <w:szCs w:val="20"/>
              </w:rPr>
            </w:pPr>
            <w:r w:rsidRPr="000B4022">
              <w:rPr>
                <w:rFonts w:ascii="Arial" w:hAnsi="Arial" w:cs="Arial"/>
                <w:sz w:val="20"/>
                <w:szCs w:val="20"/>
              </w:rPr>
              <w:t>4.200.000,93</w:t>
            </w:r>
          </w:p>
        </w:tc>
      </w:tr>
      <w:tr w:rsidR="001E3D86" w:rsidRPr="000B4022" w14:paraId="0479E677" w14:textId="77777777" w:rsidTr="007E3D58">
        <w:trPr>
          <w:trHeight w:val="1078"/>
        </w:trPr>
        <w:tc>
          <w:tcPr>
            <w:tcW w:w="2949" w:type="dxa"/>
          </w:tcPr>
          <w:p w14:paraId="22138003"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t>Contrato nº 1.1777.00/2022 – CODEVASF 1ª/SR</w:t>
            </w:r>
          </w:p>
          <w:p w14:paraId="6122A750" w14:textId="77777777" w:rsidR="001E3D86" w:rsidRPr="000B4022" w:rsidRDefault="001E3D86" w:rsidP="002C4902">
            <w:pPr>
              <w:ind w:firstLine="0"/>
              <w:rPr>
                <w:rFonts w:ascii="Arial" w:hAnsi="Arial" w:cs="Arial"/>
                <w:sz w:val="20"/>
                <w:szCs w:val="20"/>
              </w:rPr>
            </w:pPr>
          </w:p>
        </w:tc>
        <w:tc>
          <w:tcPr>
            <w:tcW w:w="5126" w:type="dxa"/>
          </w:tcPr>
          <w:p w14:paraId="0979990F"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t>Prestação de serviços comuns de engenharia para apoio técnico à fiscalização e supervisão técnica na execução de contratos, convênios, termos de compromissos, de obras e serviços de engenharia e doações de máquinas e equipamentos, sendo tais serviços caracterizados como não continuados e com dedicação exclusiva de mão de obra, a serem prestados nos municípios sob área de abrangência da 6ª Superintendência Regional da Codevasf no Estado da Bahia.</w:t>
            </w:r>
          </w:p>
        </w:tc>
        <w:tc>
          <w:tcPr>
            <w:tcW w:w="1553" w:type="dxa"/>
          </w:tcPr>
          <w:p w14:paraId="18F184A1" w14:textId="77777777" w:rsidR="001E3D86" w:rsidRPr="000B4022" w:rsidRDefault="001E3D86" w:rsidP="002C4902">
            <w:pPr>
              <w:ind w:firstLine="0"/>
              <w:jc w:val="right"/>
              <w:rPr>
                <w:rFonts w:ascii="Arial" w:hAnsi="Arial" w:cs="Arial"/>
                <w:sz w:val="20"/>
                <w:szCs w:val="20"/>
              </w:rPr>
            </w:pPr>
            <w:r w:rsidRPr="000B4022">
              <w:rPr>
                <w:rFonts w:ascii="Arial" w:hAnsi="Arial" w:cs="Arial"/>
                <w:sz w:val="20"/>
                <w:szCs w:val="20"/>
              </w:rPr>
              <w:t>1.400.000,31</w:t>
            </w:r>
          </w:p>
        </w:tc>
      </w:tr>
      <w:tr w:rsidR="00967721" w:rsidRPr="000B4022" w14:paraId="154DAF76" w14:textId="77777777" w:rsidTr="007E3D58">
        <w:trPr>
          <w:trHeight w:val="1078"/>
        </w:trPr>
        <w:tc>
          <w:tcPr>
            <w:tcW w:w="2949" w:type="dxa"/>
          </w:tcPr>
          <w:p w14:paraId="6DE96262" w14:textId="3F352871" w:rsidR="00967721" w:rsidRPr="000B4022" w:rsidRDefault="00967721" w:rsidP="00967721">
            <w:pPr>
              <w:ind w:firstLine="0"/>
              <w:rPr>
                <w:rFonts w:ascii="Arial" w:hAnsi="Arial" w:cs="Arial"/>
                <w:sz w:val="20"/>
                <w:szCs w:val="20"/>
              </w:rPr>
            </w:pPr>
            <w:r w:rsidRPr="000B4022">
              <w:rPr>
                <w:rFonts w:ascii="Arial" w:hAnsi="Arial" w:cs="Arial"/>
                <w:sz w:val="20"/>
                <w:szCs w:val="20"/>
              </w:rPr>
              <w:t xml:space="preserve">Contrato </w:t>
            </w:r>
            <w:r w:rsidRPr="00967721">
              <w:rPr>
                <w:rFonts w:ascii="Arial" w:hAnsi="Arial" w:cs="Arial"/>
                <w:sz w:val="20"/>
                <w:szCs w:val="20"/>
              </w:rPr>
              <w:t>Processo n.º 00092-00048305/2023-18</w:t>
            </w:r>
            <w:r>
              <w:rPr>
                <w:rFonts w:ascii="Arial" w:hAnsi="Arial" w:cs="Arial"/>
                <w:sz w:val="20"/>
                <w:szCs w:val="20"/>
              </w:rPr>
              <w:t xml:space="preserve"> </w:t>
            </w:r>
            <w:r w:rsidRPr="000B4022">
              <w:rPr>
                <w:rFonts w:ascii="Arial" w:hAnsi="Arial" w:cs="Arial"/>
                <w:sz w:val="20"/>
                <w:szCs w:val="20"/>
              </w:rPr>
              <w:t xml:space="preserve">– </w:t>
            </w:r>
            <w:r>
              <w:rPr>
                <w:rFonts w:ascii="Arial" w:hAnsi="Arial" w:cs="Arial"/>
                <w:sz w:val="20"/>
                <w:szCs w:val="20"/>
              </w:rPr>
              <w:t>CAESB</w:t>
            </w:r>
          </w:p>
          <w:p w14:paraId="5AFFAC29" w14:textId="77777777" w:rsidR="00967721" w:rsidRPr="000B4022" w:rsidRDefault="00967721" w:rsidP="00967721">
            <w:pPr>
              <w:ind w:firstLine="0"/>
              <w:rPr>
                <w:rFonts w:ascii="Arial" w:hAnsi="Arial" w:cs="Arial"/>
                <w:sz w:val="20"/>
                <w:szCs w:val="20"/>
              </w:rPr>
            </w:pPr>
          </w:p>
        </w:tc>
        <w:tc>
          <w:tcPr>
            <w:tcW w:w="5126" w:type="dxa"/>
          </w:tcPr>
          <w:p w14:paraId="757B8A7C" w14:textId="200DCC01" w:rsidR="00967721" w:rsidRPr="00967721" w:rsidRDefault="00967721" w:rsidP="00967721">
            <w:pPr>
              <w:ind w:firstLine="0"/>
              <w:rPr>
                <w:rFonts w:ascii="Arial" w:hAnsi="Arial" w:cs="Arial"/>
                <w:sz w:val="20"/>
                <w:szCs w:val="20"/>
              </w:rPr>
            </w:pPr>
            <w:r w:rsidRPr="000B4022">
              <w:rPr>
                <w:rFonts w:ascii="Arial" w:hAnsi="Arial" w:cs="Arial"/>
                <w:sz w:val="20"/>
                <w:szCs w:val="20"/>
              </w:rPr>
              <w:t>Prestação de</w:t>
            </w:r>
            <w:r>
              <w:rPr>
                <w:rFonts w:ascii="Arial" w:hAnsi="Arial" w:cs="Arial"/>
                <w:sz w:val="20"/>
                <w:szCs w:val="20"/>
              </w:rPr>
              <w:t xml:space="preserve"> </w:t>
            </w:r>
            <w:r w:rsidRPr="00967721">
              <w:rPr>
                <w:rFonts w:ascii="Arial" w:hAnsi="Arial" w:cs="Arial"/>
                <w:sz w:val="20"/>
                <w:szCs w:val="20"/>
              </w:rPr>
              <w:t>serviços de topografia e levantamento geotécnico necessários</w:t>
            </w:r>
          </w:p>
          <w:p w14:paraId="1D7C87C6" w14:textId="1F7CAD49" w:rsidR="00967721" w:rsidRPr="000B4022" w:rsidRDefault="00967721" w:rsidP="00967721">
            <w:pPr>
              <w:ind w:firstLine="0"/>
              <w:rPr>
                <w:rFonts w:ascii="Arial" w:hAnsi="Arial" w:cs="Arial"/>
                <w:sz w:val="20"/>
                <w:szCs w:val="20"/>
              </w:rPr>
            </w:pPr>
            <w:r w:rsidRPr="00967721">
              <w:rPr>
                <w:rFonts w:ascii="Arial" w:hAnsi="Arial" w:cs="Arial"/>
                <w:sz w:val="20"/>
                <w:szCs w:val="20"/>
              </w:rPr>
              <w:t>à elaboração de estudos, projetos e análises técnicas no âmbito de atuação da Caesb</w:t>
            </w:r>
          </w:p>
        </w:tc>
        <w:tc>
          <w:tcPr>
            <w:tcW w:w="1553" w:type="dxa"/>
          </w:tcPr>
          <w:p w14:paraId="4D717977" w14:textId="3EE8874A" w:rsidR="00967721" w:rsidRPr="000B4022" w:rsidRDefault="00967721" w:rsidP="00967721">
            <w:pPr>
              <w:ind w:firstLine="0"/>
              <w:jc w:val="right"/>
              <w:rPr>
                <w:rFonts w:ascii="Arial" w:hAnsi="Arial" w:cs="Arial"/>
                <w:sz w:val="20"/>
                <w:szCs w:val="20"/>
              </w:rPr>
            </w:pPr>
            <w:r>
              <w:rPr>
                <w:rFonts w:ascii="Arial" w:hAnsi="Arial" w:cs="Arial"/>
                <w:sz w:val="20"/>
                <w:szCs w:val="20"/>
              </w:rPr>
              <w:t>1.600.029,94</w:t>
            </w:r>
          </w:p>
        </w:tc>
      </w:tr>
      <w:tr w:rsidR="001E3D86" w:rsidRPr="000B4022" w14:paraId="734B5787" w14:textId="77777777" w:rsidTr="007E3D58">
        <w:trPr>
          <w:trHeight w:val="935"/>
        </w:trPr>
        <w:tc>
          <w:tcPr>
            <w:tcW w:w="2949" w:type="dxa"/>
          </w:tcPr>
          <w:p w14:paraId="538B0BC4"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t>Ata de Registro de Preços/Contrato nº 080/2023 – Prefeitura Campo Grande-MS.</w:t>
            </w:r>
          </w:p>
        </w:tc>
        <w:tc>
          <w:tcPr>
            <w:tcW w:w="5126" w:type="dxa"/>
          </w:tcPr>
          <w:p w14:paraId="184F424F"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t>Execução de levantamento topográfico planialtimétrico cadastral georreferenciado com imagens aéreas georreferenciadas (aerofotogrametria)</w:t>
            </w:r>
          </w:p>
        </w:tc>
        <w:tc>
          <w:tcPr>
            <w:tcW w:w="1553" w:type="dxa"/>
          </w:tcPr>
          <w:p w14:paraId="33AF9DF4" w14:textId="77777777" w:rsidR="001E3D86" w:rsidRPr="000B4022" w:rsidRDefault="001E3D86" w:rsidP="002C4902">
            <w:pPr>
              <w:ind w:firstLine="0"/>
              <w:jc w:val="right"/>
              <w:rPr>
                <w:rFonts w:ascii="Arial" w:hAnsi="Arial" w:cs="Arial"/>
                <w:sz w:val="20"/>
                <w:szCs w:val="20"/>
              </w:rPr>
            </w:pPr>
            <w:r w:rsidRPr="000B4022">
              <w:rPr>
                <w:rFonts w:ascii="Arial" w:hAnsi="Arial" w:cs="Arial"/>
                <w:sz w:val="20"/>
                <w:szCs w:val="20"/>
              </w:rPr>
              <w:t>791.100,00</w:t>
            </w:r>
          </w:p>
        </w:tc>
      </w:tr>
      <w:tr w:rsidR="001E3D86" w:rsidRPr="000B4022" w14:paraId="1730B060" w14:textId="77777777" w:rsidTr="007E3D58">
        <w:trPr>
          <w:trHeight w:val="935"/>
        </w:trPr>
        <w:tc>
          <w:tcPr>
            <w:tcW w:w="2949" w:type="dxa"/>
          </w:tcPr>
          <w:p w14:paraId="2C69D798"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lastRenderedPageBreak/>
              <w:t>Contrato nº 14/2019 - SANESUL</w:t>
            </w:r>
          </w:p>
        </w:tc>
        <w:tc>
          <w:tcPr>
            <w:tcW w:w="5126" w:type="dxa"/>
          </w:tcPr>
          <w:p w14:paraId="7380BE4E"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t>Execução de serviços topográficos planialtimétricos e cadastrais de ruas</w:t>
            </w:r>
          </w:p>
        </w:tc>
        <w:tc>
          <w:tcPr>
            <w:tcW w:w="1553" w:type="dxa"/>
          </w:tcPr>
          <w:p w14:paraId="2D11993E" w14:textId="77777777" w:rsidR="001E3D86" w:rsidRPr="000B4022" w:rsidRDefault="001E3D86" w:rsidP="002C4902">
            <w:pPr>
              <w:ind w:firstLine="0"/>
              <w:jc w:val="right"/>
              <w:rPr>
                <w:rFonts w:ascii="Arial" w:hAnsi="Arial" w:cs="Arial"/>
                <w:sz w:val="20"/>
                <w:szCs w:val="20"/>
              </w:rPr>
            </w:pPr>
            <w:r w:rsidRPr="000B4022">
              <w:rPr>
                <w:rFonts w:ascii="Arial" w:hAnsi="Arial" w:cs="Arial"/>
                <w:sz w:val="20"/>
                <w:szCs w:val="20"/>
              </w:rPr>
              <w:t>2.382.477,68</w:t>
            </w:r>
          </w:p>
        </w:tc>
      </w:tr>
      <w:tr w:rsidR="001E3D86" w:rsidRPr="000B4022" w14:paraId="206B1A59" w14:textId="77777777" w:rsidTr="007E3D58">
        <w:trPr>
          <w:trHeight w:val="935"/>
        </w:trPr>
        <w:tc>
          <w:tcPr>
            <w:tcW w:w="2949" w:type="dxa"/>
          </w:tcPr>
          <w:p w14:paraId="41EB05FA"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t>Contrato nº 162/2023 – Mata de São João-BA</w:t>
            </w:r>
          </w:p>
        </w:tc>
        <w:tc>
          <w:tcPr>
            <w:tcW w:w="5126" w:type="dxa"/>
          </w:tcPr>
          <w:p w14:paraId="70511D03"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t>Execução de projetos topográficos compreendendo levantamento planialtimétrico, cadastral georreferenciado, selagem, levantamento fundiário registral implantação de marco geodésico, elaboração dos mapas, planilhas, memoriais descritivos e demais documentos necessários para atender as necessidades da prefeitura municipal de Mata de São João/BA.</w:t>
            </w:r>
          </w:p>
        </w:tc>
        <w:tc>
          <w:tcPr>
            <w:tcW w:w="1553" w:type="dxa"/>
          </w:tcPr>
          <w:p w14:paraId="72D2EA15" w14:textId="77777777" w:rsidR="001E3D86" w:rsidRPr="000B4022" w:rsidRDefault="001E3D86" w:rsidP="002C4902">
            <w:pPr>
              <w:ind w:firstLine="0"/>
              <w:jc w:val="right"/>
              <w:rPr>
                <w:rFonts w:ascii="Arial" w:hAnsi="Arial" w:cs="Arial"/>
                <w:sz w:val="20"/>
                <w:szCs w:val="20"/>
              </w:rPr>
            </w:pPr>
            <w:r w:rsidRPr="000B4022">
              <w:rPr>
                <w:rFonts w:ascii="Arial" w:hAnsi="Arial" w:cs="Arial"/>
                <w:sz w:val="20"/>
                <w:szCs w:val="20"/>
              </w:rPr>
              <w:t>917.481,19</w:t>
            </w:r>
          </w:p>
        </w:tc>
      </w:tr>
      <w:tr w:rsidR="001E3D86" w:rsidRPr="000B4022" w14:paraId="6C2B6860" w14:textId="77777777" w:rsidTr="007E3D58">
        <w:trPr>
          <w:trHeight w:val="935"/>
        </w:trPr>
        <w:tc>
          <w:tcPr>
            <w:tcW w:w="2949" w:type="dxa"/>
          </w:tcPr>
          <w:p w14:paraId="47DE7F67"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t>Ata de Registro de Preços nº 30/2023</w:t>
            </w:r>
          </w:p>
        </w:tc>
        <w:tc>
          <w:tcPr>
            <w:tcW w:w="5126" w:type="dxa"/>
          </w:tcPr>
          <w:p w14:paraId="3DCA7FAA"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t>Prestação de serviços topográficos ou geodésicos em atendimento a demanda dos municípios consorciados ao CONDER</w:t>
            </w:r>
          </w:p>
        </w:tc>
        <w:tc>
          <w:tcPr>
            <w:tcW w:w="1553" w:type="dxa"/>
          </w:tcPr>
          <w:p w14:paraId="1C907028" w14:textId="77777777" w:rsidR="001E3D86" w:rsidRPr="000B4022" w:rsidRDefault="001E3D86" w:rsidP="002C4902">
            <w:pPr>
              <w:ind w:firstLine="0"/>
              <w:jc w:val="right"/>
              <w:rPr>
                <w:rFonts w:ascii="Arial" w:hAnsi="Arial" w:cs="Arial"/>
                <w:sz w:val="20"/>
                <w:szCs w:val="20"/>
              </w:rPr>
            </w:pPr>
            <w:r w:rsidRPr="000B4022">
              <w:rPr>
                <w:rFonts w:ascii="Arial" w:hAnsi="Arial" w:cs="Arial"/>
                <w:sz w:val="20"/>
                <w:szCs w:val="20"/>
              </w:rPr>
              <w:t>227.297,00</w:t>
            </w:r>
          </w:p>
        </w:tc>
      </w:tr>
      <w:tr w:rsidR="001E3D86" w:rsidRPr="000B4022" w14:paraId="0A1BB01C" w14:textId="77777777" w:rsidTr="007E3D58">
        <w:trPr>
          <w:trHeight w:val="935"/>
        </w:trPr>
        <w:tc>
          <w:tcPr>
            <w:tcW w:w="2949" w:type="dxa"/>
          </w:tcPr>
          <w:p w14:paraId="58500D68"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t xml:space="preserve">Contrato nº </w:t>
            </w:r>
            <w:r>
              <w:rPr>
                <w:rFonts w:ascii="Arial" w:hAnsi="Arial" w:cs="Arial"/>
                <w:sz w:val="20"/>
                <w:szCs w:val="20"/>
              </w:rPr>
              <w:t>6.0542.00/2023</w:t>
            </w:r>
            <w:r w:rsidRPr="000B4022">
              <w:rPr>
                <w:rFonts w:ascii="Arial" w:hAnsi="Arial" w:cs="Arial"/>
                <w:sz w:val="20"/>
                <w:szCs w:val="20"/>
              </w:rPr>
              <w:t xml:space="preserve"> – CODEVASF </w:t>
            </w:r>
            <w:r>
              <w:rPr>
                <w:rFonts w:ascii="Arial" w:hAnsi="Arial" w:cs="Arial"/>
                <w:sz w:val="20"/>
                <w:szCs w:val="20"/>
              </w:rPr>
              <w:t>6</w:t>
            </w:r>
            <w:r w:rsidRPr="000B4022">
              <w:rPr>
                <w:rFonts w:ascii="Arial" w:hAnsi="Arial" w:cs="Arial"/>
                <w:sz w:val="20"/>
                <w:szCs w:val="20"/>
              </w:rPr>
              <w:t>ª/SR</w:t>
            </w:r>
          </w:p>
          <w:p w14:paraId="121F233B" w14:textId="77777777" w:rsidR="001E3D86" w:rsidRPr="000B4022" w:rsidRDefault="001E3D86" w:rsidP="002C4902">
            <w:pPr>
              <w:ind w:firstLine="0"/>
              <w:rPr>
                <w:rFonts w:ascii="Arial" w:hAnsi="Arial" w:cs="Arial"/>
                <w:sz w:val="20"/>
                <w:szCs w:val="20"/>
              </w:rPr>
            </w:pPr>
          </w:p>
        </w:tc>
        <w:tc>
          <w:tcPr>
            <w:tcW w:w="5126" w:type="dxa"/>
          </w:tcPr>
          <w:p w14:paraId="4F9736BF" w14:textId="77777777" w:rsidR="001E3D86" w:rsidRPr="000B4022" w:rsidRDefault="001E3D86" w:rsidP="002C4902">
            <w:pPr>
              <w:ind w:firstLine="0"/>
              <w:rPr>
                <w:rFonts w:ascii="Arial" w:hAnsi="Arial" w:cs="Arial"/>
                <w:sz w:val="20"/>
                <w:szCs w:val="20"/>
              </w:rPr>
            </w:pPr>
            <w:r>
              <w:rPr>
                <w:rFonts w:ascii="Arial" w:hAnsi="Arial" w:cs="Arial"/>
                <w:sz w:val="20"/>
                <w:szCs w:val="20"/>
              </w:rPr>
              <w:t>S</w:t>
            </w:r>
            <w:r w:rsidRPr="002D62D6">
              <w:rPr>
                <w:rFonts w:ascii="Arial" w:hAnsi="Arial" w:cs="Arial"/>
                <w:sz w:val="20"/>
                <w:szCs w:val="20"/>
              </w:rPr>
              <w:t>erviços de apoio a</w:t>
            </w:r>
            <w:r>
              <w:rPr>
                <w:rFonts w:ascii="Arial" w:hAnsi="Arial" w:cs="Arial"/>
                <w:sz w:val="20"/>
                <w:szCs w:val="20"/>
              </w:rPr>
              <w:t xml:space="preserve"> </w:t>
            </w:r>
            <w:r w:rsidRPr="002D62D6">
              <w:rPr>
                <w:rFonts w:ascii="Arial" w:hAnsi="Arial" w:cs="Arial"/>
                <w:sz w:val="20"/>
                <w:szCs w:val="20"/>
              </w:rPr>
              <w:t>fiscalização das obras e serviços de engenharia relativos à implantação de sistema integrado de</w:t>
            </w:r>
            <w:r>
              <w:rPr>
                <w:rFonts w:ascii="Arial" w:hAnsi="Arial" w:cs="Arial"/>
                <w:sz w:val="20"/>
                <w:szCs w:val="20"/>
              </w:rPr>
              <w:t xml:space="preserve"> </w:t>
            </w:r>
            <w:r w:rsidRPr="002D62D6">
              <w:rPr>
                <w:rFonts w:ascii="Arial" w:hAnsi="Arial" w:cs="Arial"/>
                <w:sz w:val="20"/>
                <w:szCs w:val="20"/>
              </w:rPr>
              <w:t>abastecimento de água das localidades entre Junco e Curral Velho, na zona rural dos municípios de</w:t>
            </w:r>
            <w:r>
              <w:rPr>
                <w:rFonts w:ascii="Arial" w:hAnsi="Arial" w:cs="Arial"/>
                <w:sz w:val="20"/>
                <w:szCs w:val="20"/>
              </w:rPr>
              <w:t xml:space="preserve"> </w:t>
            </w:r>
            <w:r w:rsidRPr="002D62D6">
              <w:rPr>
                <w:rFonts w:ascii="Arial" w:hAnsi="Arial" w:cs="Arial"/>
                <w:sz w:val="20"/>
                <w:szCs w:val="20"/>
              </w:rPr>
              <w:t>Juazeiro e Campo Formoso, no Estado da Bahia</w:t>
            </w:r>
            <w:r w:rsidRPr="000B4022">
              <w:rPr>
                <w:rFonts w:ascii="Arial" w:hAnsi="Arial" w:cs="Arial"/>
                <w:sz w:val="20"/>
                <w:szCs w:val="20"/>
              </w:rPr>
              <w:t>.</w:t>
            </w:r>
          </w:p>
        </w:tc>
        <w:tc>
          <w:tcPr>
            <w:tcW w:w="1553" w:type="dxa"/>
          </w:tcPr>
          <w:p w14:paraId="771C0C95" w14:textId="77777777" w:rsidR="001E3D86" w:rsidRPr="000B4022" w:rsidRDefault="001E3D86" w:rsidP="002C4902">
            <w:pPr>
              <w:ind w:firstLine="0"/>
              <w:jc w:val="right"/>
              <w:rPr>
                <w:rFonts w:ascii="Arial" w:hAnsi="Arial" w:cs="Arial"/>
                <w:sz w:val="20"/>
                <w:szCs w:val="20"/>
              </w:rPr>
            </w:pPr>
            <w:r>
              <w:rPr>
                <w:rFonts w:ascii="Arial" w:hAnsi="Arial" w:cs="Arial"/>
                <w:sz w:val="20"/>
                <w:szCs w:val="20"/>
              </w:rPr>
              <w:t>1.094.470,62</w:t>
            </w:r>
          </w:p>
        </w:tc>
      </w:tr>
      <w:tr w:rsidR="001E3D86" w:rsidRPr="000B4022" w14:paraId="240FD6FB" w14:textId="77777777" w:rsidTr="007E3D58">
        <w:trPr>
          <w:trHeight w:val="935"/>
        </w:trPr>
        <w:tc>
          <w:tcPr>
            <w:tcW w:w="2949" w:type="dxa"/>
          </w:tcPr>
          <w:p w14:paraId="633FDEF0" w14:textId="77777777" w:rsidR="001E3D86" w:rsidRPr="000B4022" w:rsidRDefault="001E3D86" w:rsidP="002C4902">
            <w:pPr>
              <w:ind w:firstLine="0"/>
              <w:rPr>
                <w:rFonts w:ascii="Arial" w:hAnsi="Arial" w:cs="Arial"/>
                <w:sz w:val="20"/>
                <w:szCs w:val="20"/>
              </w:rPr>
            </w:pPr>
            <w:r w:rsidRPr="000B4022">
              <w:rPr>
                <w:rFonts w:ascii="Arial" w:hAnsi="Arial" w:cs="Arial"/>
                <w:sz w:val="20"/>
                <w:szCs w:val="20"/>
              </w:rPr>
              <w:t xml:space="preserve">Contrato nº </w:t>
            </w:r>
            <w:r>
              <w:rPr>
                <w:rFonts w:ascii="Arial" w:hAnsi="Arial" w:cs="Arial"/>
                <w:sz w:val="20"/>
                <w:szCs w:val="20"/>
              </w:rPr>
              <w:t>5.0319.00/2023</w:t>
            </w:r>
            <w:r w:rsidRPr="000B4022">
              <w:rPr>
                <w:rFonts w:ascii="Arial" w:hAnsi="Arial" w:cs="Arial"/>
                <w:sz w:val="20"/>
                <w:szCs w:val="20"/>
              </w:rPr>
              <w:t xml:space="preserve"> – CODEVASF </w:t>
            </w:r>
            <w:r>
              <w:rPr>
                <w:rFonts w:ascii="Arial" w:hAnsi="Arial" w:cs="Arial"/>
                <w:sz w:val="20"/>
                <w:szCs w:val="20"/>
              </w:rPr>
              <w:t>5</w:t>
            </w:r>
            <w:r w:rsidRPr="000B4022">
              <w:rPr>
                <w:rFonts w:ascii="Arial" w:hAnsi="Arial" w:cs="Arial"/>
                <w:sz w:val="20"/>
                <w:szCs w:val="20"/>
              </w:rPr>
              <w:t>ª/SR</w:t>
            </w:r>
          </w:p>
          <w:p w14:paraId="245882F1" w14:textId="77777777" w:rsidR="001E3D86" w:rsidRPr="000B4022" w:rsidRDefault="001E3D86" w:rsidP="002C4902">
            <w:pPr>
              <w:ind w:firstLine="0"/>
              <w:rPr>
                <w:rFonts w:ascii="Arial" w:hAnsi="Arial" w:cs="Arial"/>
                <w:sz w:val="20"/>
                <w:szCs w:val="20"/>
              </w:rPr>
            </w:pPr>
          </w:p>
        </w:tc>
        <w:tc>
          <w:tcPr>
            <w:tcW w:w="5126" w:type="dxa"/>
          </w:tcPr>
          <w:p w14:paraId="72A424A6" w14:textId="77777777" w:rsidR="001E3D86" w:rsidRDefault="001E3D86" w:rsidP="002C4902">
            <w:pPr>
              <w:ind w:firstLine="0"/>
              <w:rPr>
                <w:rFonts w:ascii="Arial" w:hAnsi="Arial" w:cs="Arial"/>
                <w:sz w:val="20"/>
                <w:szCs w:val="20"/>
              </w:rPr>
            </w:pPr>
            <w:r>
              <w:rPr>
                <w:rFonts w:ascii="Arial" w:hAnsi="Arial" w:cs="Arial"/>
                <w:sz w:val="20"/>
                <w:szCs w:val="20"/>
              </w:rPr>
              <w:t>S</w:t>
            </w:r>
            <w:r w:rsidRPr="002D62D6">
              <w:rPr>
                <w:rFonts w:ascii="Arial" w:hAnsi="Arial" w:cs="Arial"/>
                <w:sz w:val="20"/>
                <w:szCs w:val="20"/>
              </w:rPr>
              <w:t>erviços de apoio a</w:t>
            </w:r>
            <w:r>
              <w:rPr>
                <w:rFonts w:ascii="Arial" w:hAnsi="Arial" w:cs="Arial"/>
                <w:sz w:val="20"/>
                <w:szCs w:val="20"/>
              </w:rPr>
              <w:t xml:space="preserve"> </w:t>
            </w:r>
            <w:r w:rsidRPr="002D62D6">
              <w:rPr>
                <w:rFonts w:ascii="Arial" w:hAnsi="Arial" w:cs="Arial"/>
                <w:sz w:val="20"/>
                <w:szCs w:val="20"/>
              </w:rPr>
              <w:t>fiscalização das obras</w:t>
            </w:r>
            <w:r>
              <w:rPr>
                <w:rFonts w:ascii="Arial" w:hAnsi="Arial" w:cs="Arial"/>
                <w:sz w:val="20"/>
                <w:szCs w:val="20"/>
              </w:rPr>
              <w:t>, incluindo serviços</w:t>
            </w:r>
            <w:r w:rsidRPr="002D62D6">
              <w:rPr>
                <w:rFonts w:ascii="Arial" w:hAnsi="Arial" w:cs="Arial"/>
                <w:sz w:val="20"/>
                <w:szCs w:val="20"/>
              </w:rPr>
              <w:t xml:space="preserve"> topográficos e realização de ensaios para avaliação da pavimentação, no Estado de Alagoas, área de</w:t>
            </w:r>
            <w:r>
              <w:rPr>
                <w:rFonts w:ascii="Arial" w:hAnsi="Arial" w:cs="Arial"/>
                <w:sz w:val="20"/>
                <w:szCs w:val="20"/>
              </w:rPr>
              <w:t xml:space="preserve"> </w:t>
            </w:r>
            <w:r w:rsidRPr="002D62D6">
              <w:rPr>
                <w:rFonts w:ascii="Arial" w:hAnsi="Arial" w:cs="Arial"/>
                <w:sz w:val="20"/>
                <w:szCs w:val="20"/>
              </w:rPr>
              <w:t>atuação da 5ª Superintendência Regional.</w:t>
            </w:r>
          </w:p>
        </w:tc>
        <w:tc>
          <w:tcPr>
            <w:tcW w:w="1553" w:type="dxa"/>
          </w:tcPr>
          <w:p w14:paraId="1E1EF0FD" w14:textId="77777777" w:rsidR="001E3D86" w:rsidRDefault="001E3D86" w:rsidP="002C4902">
            <w:pPr>
              <w:ind w:firstLine="0"/>
              <w:jc w:val="right"/>
              <w:rPr>
                <w:rFonts w:ascii="Arial" w:hAnsi="Arial" w:cs="Arial"/>
                <w:sz w:val="20"/>
                <w:szCs w:val="20"/>
              </w:rPr>
            </w:pPr>
            <w:r>
              <w:rPr>
                <w:rFonts w:ascii="Arial" w:hAnsi="Arial" w:cs="Arial"/>
                <w:sz w:val="20"/>
                <w:szCs w:val="20"/>
              </w:rPr>
              <w:t>2.014.607,14</w:t>
            </w:r>
          </w:p>
        </w:tc>
      </w:tr>
      <w:tr w:rsidR="001E3D86" w:rsidRPr="000B4022" w14:paraId="4A3D41C2" w14:textId="77777777" w:rsidTr="007E3D58">
        <w:trPr>
          <w:trHeight w:val="935"/>
        </w:trPr>
        <w:tc>
          <w:tcPr>
            <w:tcW w:w="2949" w:type="dxa"/>
          </w:tcPr>
          <w:p w14:paraId="0EB71016" w14:textId="77777777" w:rsidR="001E3D86" w:rsidRPr="000B4022" w:rsidRDefault="001E3D86" w:rsidP="002C4902">
            <w:pPr>
              <w:ind w:firstLine="0"/>
              <w:rPr>
                <w:rFonts w:ascii="Arial" w:hAnsi="Arial" w:cs="Arial"/>
                <w:sz w:val="20"/>
                <w:szCs w:val="20"/>
              </w:rPr>
            </w:pPr>
            <w:r>
              <w:rPr>
                <w:rFonts w:ascii="Arial" w:hAnsi="Arial" w:cs="Arial"/>
                <w:sz w:val="20"/>
                <w:szCs w:val="20"/>
              </w:rPr>
              <w:t>Ata de Registro de Preços</w:t>
            </w:r>
            <w:r w:rsidRPr="000B4022">
              <w:rPr>
                <w:rFonts w:ascii="Arial" w:hAnsi="Arial" w:cs="Arial"/>
                <w:sz w:val="20"/>
                <w:szCs w:val="20"/>
              </w:rPr>
              <w:t xml:space="preserve"> nº </w:t>
            </w:r>
            <w:r>
              <w:rPr>
                <w:rFonts w:ascii="Arial" w:hAnsi="Arial" w:cs="Arial"/>
                <w:sz w:val="20"/>
                <w:szCs w:val="20"/>
              </w:rPr>
              <w:t>103/2023</w:t>
            </w:r>
            <w:r w:rsidRPr="000B4022">
              <w:rPr>
                <w:rFonts w:ascii="Arial" w:hAnsi="Arial" w:cs="Arial"/>
                <w:sz w:val="20"/>
                <w:szCs w:val="20"/>
              </w:rPr>
              <w:t xml:space="preserve"> – CODEVASF </w:t>
            </w:r>
            <w:r>
              <w:rPr>
                <w:rFonts w:ascii="Arial" w:hAnsi="Arial" w:cs="Arial"/>
                <w:sz w:val="20"/>
                <w:szCs w:val="20"/>
              </w:rPr>
              <w:t>1</w:t>
            </w:r>
            <w:r w:rsidRPr="000B4022">
              <w:rPr>
                <w:rFonts w:ascii="Arial" w:hAnsi="Arial" w:cs="Arial"/>
                <w:sz w:val="20"/>
                <w:szCs w:val="20"/>
              </w:rPr>
              <w:t>ª/SR</w:t>
            </w:r>
          </w:p>
          <w:p w14:paraId="1FF0D89D" w14:textId="77777777" w:rsidR="001E3D86" w:rsidRPr="000B4022" w:rsidRDefault="001E3D86" w:rsidP="002C4902">
            <w:pPr>
              <w:ind w:firstLine="0"/>
              <w:rPr>
                <w:rFonts w:ascii="Arial" w:hAnsi="Arial" w:cs="Arial"/>
                <w:sz w:val="20"/>
                <w:szCs w:val="20"/>
              </w:rPr>
            </w:pPr>
          </w:p>
        </w:tc>
        <w:tc>
          <w:tcPr>
            <w:tcW w:w="5126" w:type="dxa"/>
          </w:tcPr>
          <w:p w14:paraId="75B2B07C" w14:textId="77777777" w:rsidR="001E3D86" w:rsidRDefault="001E3D86" w:rsidP="002C4902">
            <w:pPr>
              <w:ind w:firstLine="0"/>
              <w:rPr>
                <w:rFonts w:ascii="Arial" w:hAnsi="Arial" w:cs="Arial"/>
                <w:sz w:val="20"/>
                <w:szCs w:val="20"/>
              </w:rPr>
            </w:pPr>
            <w:r>
              <w:rPr>
                <w:rFonts w:ascii="Arial" w:hAnsi="Arial" w:cs="Arial"/>
                <w:sz w:val="20"/>
                <w:szCs w:val="20"/>
              </w:rPr>
              <w:t>S</w:t>
            </w:r>
            <w:r w:rsidRPr="002D62D6">
              <w:rPr>
                <w:rFonts w:ascii="Arial" w:hAnsi="Arial" w:cs="Arial"/>
                <w:sz w:val="20"/>
                <w:szCs w:val="20"/>
              </w:rPr>
              <w:t>erviços para supervisão e apoio à fiscalização de</w:t>
            </w:r>
            <w:r>
              <w:rPr>
                <w:rFonts w:ascii="Arial" w:hAnsi="Arial" w:cs="Arial"/>
                <w:sz w:val="20"/>
                <w:szCs w:val="20"/>
              </w:rPr>
              <w:t xml:space="preserve"> </w:t>
            </w:r>
            <w:r w:rsidRPr="002D62D6">
              <w:rPr>
                <w:rFonts w:ascii="Arial" w:hAnsi="Arial" w:cs="Arial"/>
                <w:sz w:val="20"/>
                <w:szCs w:val="20"/>
              </w:rPr>
              <w:t>obras e serviços de pavimentações na área de atuação da Codevasf, no estado de</w:t>
            </w:r>
            <w:r>
              <w:rPr>
                <w:rFonts w:ascii="Arial" w:hAnsi="Arial" w:cs="Arial"/>
                <w:sz w:val="20"/>
                <w:szCs w:val="20"/>
              </w:rPr>
              <w:t xml:space="preserve"> </w:t>
            </w:r>
            <w:r w:rsidRPr="002D62D6">
              <w:rPr>
                <w:rFonts w:ascii="Arial" w:hAnsi="Arial" w:cs="Arial"/>
                <w:sz w:val="20"/>
                <w:szCs w:val="20"/>
              </w:rPr>
              <w:t>Minas Gerais.</w:t>
            </w:r>
          </w:p>
        </w:tc>
        <w:tc>
          <w:tcPr>
            <w:tcW w:w="1553" w:type="dxa"/>
          </w:tcPr>
          <w:p w14:paraId="632980C0" w14:textId="77777777" w:rsidR="001E3D86" w:rsidRDefault="001E3D86" w:rsidP="002C4902">
            <w:pPr>
              <w:ind w:firstLine="0"/>
              <w:jc w:val="right"/>
              <w:rPr>
                <w:rFonts w:ascii="Arial" w:hAnsi="Arial" w:cs="Arial"/>
                <w:sz w:val="20"/>
                <w:szCs w:val="20"/>
              </w:rPr>
            </w:pPr>
            <w:r>
              <w:rPr>
                <w:rFonts w:ascii="Arial" w:hAnsi="Arial" w:cs="Arial"/>
                <w:sz w:val="20"/>
                <w:szCs w:val="20"/>
              </w:rPr>
              <w:t>3.215.912,23</w:t>
            </w:r>
          </w:p>
        </w:tc>
      </w:tr>
      <w:tr w:rsidR="001E3D86" w:rsidRPr="000B4022" w14:paraId="40EE4523" w14:textId="77777777" w:rsidTr="007E3D58">
        <w:trPr>
          <w:trHeight w:val="935"/>
        </w:trPr>
        <w:tc>
          <w:tcPr>
            <w:tcW w:w="2949" w:type="dxa"/>
          </w:tcPr>
          <w:p w14:paraId="2B107A8E" w14:textId="77777777" w:rsidR="001E3D86" w:rsidRPr="000B4022" w:rsidRDefault="001E3D86" w:rsidP="002C4902">
            <w:pPr>
              <w:ind w:firstLine="0"/>
              <w:rPr>
                <w:rFonts w:ascii="Arial" w:hAnsi="Arial" w:cs="Arial"/>
                <w:sz w:val="20"/>
                <w:szCs w:val="20"/>
              </w:rPr>
            </w:pPr>
            <w:r>
              <w:rPr>
                <w:rFonts w:ascii="Arial" w:hAnsi="Arial" w:cs="Arial"/>
                <w:sz w:val="20"/>
                <w:szCs w:val="20"/>
              </w:rPr>
              <w:t>Ata de Registro de Preços</w:t>
            </w:r>
            <w:r w:rsidRPr="000B4022">
              <w:rPr>
                <w:rFonts w:ascii="Arial" w:hAnsi="Arial" w:cs="Arial"/>
                <w:sz w:val="20"/>
                <w:szCs w:val="20"/>
              </w:rPr>
              <w:t xml:space="preserve"> nº </w:t>
            </w:r>
            <w:r>
              <w:rPr>
                <w:rFonts w:ascii="Arial" w:hAnsi="Arial" w:cs="Arial"/>
                <w:sz w:val="20"/>
                <w:szCs w:val="20"/>
              </w:rPr>
              <w:t>101/2023</w:t>
            </w:r>
            <w:r w:rsidRPr="000B4022">
              <w:rPr>
                <w:rFonts w:ascii="Arial" w:hAnsi="Arial" w:cs="Arial"/>
                <w:sz w:val="20"/>
                <w:szCs w:val="20"/>
              </w:rPr>
              <w:t xml:space="preserve"> – CODEVASF </w:t>
            </w:r>
            <w:r>
              <w:rPr>
                <w:rFonts w:ascii="Arial" w:hAnsi="Arial" w:cs="Arial"/>
                <w:sz w:val="20"/>
                <w:szCs w:val="20"/>
              </w:rPr>
              <w:t>1</w:t>
            </w:r>
            <w:r w:rsidRPr="000B4022">
              <w:rPr>
                <w:rFonts w:ascii="Arial" w:hAnsi="Arial" w:cs="Arial"/>
                <w:sz w:val="20"/>
                <w:szCs w:val="20"/>
              </w:rPr>
              <w:t>ª/S</w:t>
            </w:r>
            <w:r>
              <w:rPr>
                <w:rFonts w:ascii="Arial" w:hAnsi="Arial" w:cs="Arial"/>
                <w:sz w:val="20"/>
                <w:szCs w:val="20"/>
              </w:rPr>
              <w:t>L</w:t>
            </w:r>
          </w:p>
          <w:p w14:paraId="323A7393" w14:textId="77777777" w:rsidR="001E3D86" w:rsidRDefault="001E3D86" w:rsidP="002C4902">
            <w:pPr>
              <w:ind w:firstLine="0"/>
              <w:rPr>
                <w:rFonts w:ascii="Arial" w:hAnsi="Arial" w:cs="Arial"/>
                <w:sz w:val="20"/>
                <w:szCs w:val="20"/>
              </w:rPr>
            </w:pPr>
          </w:p>
        </w:tc>
        <w:tc>
          <w:tcPr>
            <w:tcW w:w="5126" w:type="dxa"/>
          </w:tcPr>
          <w:p w14:paraId="0770AE04" w14:textId="77777777" w:rsidR="001E3D86" w:rsidRDefault="001E3D86" w:rsidP="002C4902">
            <w:pPr>
              <w:ind w:firstLine="0"/>
              <w:rPr>
                <w:rFonts w:ascii="Arial" w:hAnsi="Arial" w:cs="Arial"/>
                <w:sz w:val="20"/>
                <w:szCs w:val="20"/>
              </w:rPr>
            </w:pPr>
            <w:r>
              <w:rPr>
                <w:rFonts w:ascii="Arial" w:hAnsi="Arial" w:cs="Arial"/>
                <w:sz w:val="20"/>
                <w:szCs w:val="20"/>
              </w:rPr>
              <w:t>S</w:t>
            </w:r>
            <w:r w:rsidRPr="002D62D6">
              <w:rPr>
                <w:rFonts w:ascii="Arial" w:hAnsi="Arial" w:cs="Arial"/>
                <w:sz w:val="20"/>
                <w:szCs w:val="20"/>
              </w:rPr>
              <w:t>erviços de apoio técnico e</w:t>
            </w:r>
            <w:r>
              <w:rPr>
                <w:rFonts w:ascii="Arial" w:hAnsi="Arial" w:cs="Arial"/>
                <w:sz w:val="20"/>
                <w:szCs w:val="20"/>
              </w:rPr>
              <w:t xml:space="preserve"> </w:t>
            </w:r>
            <w:r w:rsidRPr="002D62D6">
              <w:rPr>
                <w:rFonts w:ascii="Arial" w:hAnsi="Arial" w:cs="Arial"/>
                <w:sz w:val="20"/>
                <w:szCs w:val="20"/>
              </w:rPr>
              <w:t>administrativo para fiscalização de obras, serviços e fornecimentos de implantação de</w:t>
            </w:r>
            <w:r>
              <w:rPr>
                <w:rFonts w:ascii="Arial" w:hAnsi="Arial" w:cs="Arial"/>
                <w:sz w:val="20"/>
                <w:szCs w:val="20"/>
              </w:rPr>
              <w:t xml:space="preserve"> </w:t>
            </w:r>
            <w:r w:rsidRPr="002D62D6">
              <w:rPr>
                <w:rFonts w:ascii="Arial" w:hAnsi="Arial" w:cs="Arial"/>
                <w:sz w:val="20"/>
                <w:szCs w:val="20"/>
              </w:rPr>
              <w:t>sistemas simplificados de abastecimento de água e saneamento básico, na área de</w:t>
            </w:r>
            <w:r>
              <w:rPr>
                <w:rFonts w:ascii="Arial" w:hAnsi="Arial" w:cs="Arial"/>
                <w:sz w:val="20"/>
                <w:szCs w:val="20"/>
              </w:rPr>
              <w:t xml:space="preserve"> </w:t>
            </w:r>
            <w:r w:rsidRPr="002D62D6">
              <w:rPr>
                <w:rFonts w:ascii="Arial" w:hAnsi="Arial" w:cs="Arial"/>
                <w:sz w:val="20"/>
                <w:szCs w:val="20"/>
              </w:rPr>
              <w:t>atuação da 1ª Superintendência Regional da Codevasf, no estado de Minas Gerais.</w:t>
            </w:r>
          </w:p>
        </w:tc>
        <w:tc>
          <w:tcPr>
            <w:tcW w:w="1553" w:type="dxa"/>
          </w:tcPr>
          <w:p w14:paraId="08D07A3E" w14:textId="77777777" w:rsidR="001E3D86" w:rsidRDefault="001E3D86" w:rsidP="002C4902">
            <w:pPr>
              <w:ind w:firstLine="0"/>
              <w:jc w:val="right"/>
              <w:rPr>
                <w:rFonts w:ascii="Arial" w:hAnsi="Arial" w:cs="Arial"/>
                <w:sz w:val="20"/>
                <w:szCs w:val="20"/>
              </w:rPr>
            </w:pPr>
            <w:r>
              <w:rPr>
                <w:rFonts w:ascii="Arial" w:hAnsi="Arial" w:cs="Arial"/>
                <w:sz w:val="20"/>
                <w:szCs w:val="20"/>
              </w:rPr>
              <w:t>1.222.111,51</w:t>
            </w:r>
          </w:p>
        </w:tc>
      </w:tr>
      <w:tr w:rsidR="001E3D86" w:rsidRPr="000B4022" w14:paraId="5AD2FF71" w14:textId="77777777" w:rsidTr="007E3D58">
        <w:trPr>
          <w:trHeight w:val="935"/>
        </w:trPr>
        <w:tc>
          <w:tcPr>
            <w:tcW w:w="2949" w:type="dxa"/>
          </w:tcPr>
          <w:p w14:paraId="0FDF146D" w14:textId="77777777" w:rsidR="001E3D86" w:rsidRPr="000B4022" w:rsidRDefault="001E3D86" w:rsidP="002C4902">
            <w:pPr>
              <w:ind w:firstLine="0"/>
              <w:rPr>
                <w:rFonts w:ascii="Arial" w:hAnsi="Arial" w:cs="Arial"/>
                <w:sz w:val="20"/>
                <w:szCs w:val="20"/>
              </w:rPr>
            </w:pPr>
            <w:r>
              <w:rPr>
                <w:rFonts w:ascii="Arial" w:hAnsi="Arial" w:cs="Arial"/>
                <w:sz w:val="20"/>
                <w:szCs w:val="20"/>
              </w:rPr>
              <w:t>Ata de Registro de Preços -</w:t>
            </w:r>
            <w:r w:rsidRPr="000B4022">
              <w:rPr>
                <w:rFonts w:ascii="Arial" w:hAnsi="Arial" w:cs="Arial"/>
                <w:sz w:val="20"/>
                <w:szCs w:val="20"/>
              </w:rPr>
              <w:t xml:space="preserve"> </w:t>
            </w:r>
            <w:r>
              <w:rPr>
                <w:rFonts w:ascii="Arial" w:hAnsi="Arial" w:cs="Arial"/>
                <w:sz w:val="20"/>
                <w:szCs w:val="20"/>
              </w:rPr>
              <w:t>PE nº 040/2023</w:t>
            </w:r>
            <w:r w:rsidRPr="000B4022">
              <w:rPr>
                <w:rFonts w:ascii="Arial" w:hAnsi="Arial" w:cs="Arial"/>
                <w:sz w:val="20"/>
                <w:szCs w:val="20"/>
              </w:rPr>
              <w:t xml:space="preserve"> – CODEVASF </w:t>
            </w:r>
            <w:r>
              <w:rPr>
                <w:rFonts w:ascii="Arial" w:hAnsi="Arial" w:cs="Arial"/>
                <w:sz w:val="20"/>
                <w:szCs w:val="20"/>
              </w:rPr>
              <w:t>3</w:t>
            </w:r>
            <w:r w:rsidRPr="000B4022">
              <w:rPr>
                <w:rFonts w:ascii="Arial" w:hAnsi="Arial" w:cs="Arial"/>
                <w:sz w:val="20"/>
                <w:szCs w:val="20"/>
              </w:rPr>
              <w:t>ª/S</w:t>
            </w:r>
            <w:r>
              <w:rPr>
                <w:rFonts w:ascii="Arial" w:hAnsi="Arial" w:cs="Arial"/>
                <w:sz w:val="20"/>
                <w:szCs w:val="20"/>
              </w:rPr>
              <w:t>R</w:t>
            </w:r>
          </w:p>
          <w:p w14:paraId="7C1F62B9" w14:textId="77777777" w:rsidR="001E3D86" w:rsidRDefault="001E3D86" w:rsidP="002C4902">
            <w:pPr>
              <w:ind w:firstLine="0"/>
              <w:rPr>
                <w:rFonts w:ascii="Arial" w:hAnsi="Arial" w:cs="Arial"/>
                <w:sz w:val="20"/>
                <w:szCs w:val="20"/>
              </w:rPr>
            </w:pPr>
          </w:p>
        </w:tc>
        <w:tc>
          <w:tcPr>
            <w:tcW w:w="5126" w:type="dxa"/>
          </w:tcPr>
          <w:p w14:paraId="5B1B5E33" w14:textId="77777777" w:rsidR="001E3D86" w:rsidRDefault="001E3D86" w:rsidP="002C4902">
            <w:pPr>
              <w:ind w:firstLine="0"/>
              <w:rPr>
                <w:rFonts w:ascii="Arial" w:hAnsi="Arial" w:cs="Arial"/>
                <w:sz w:val="20"/>
                <w:szCs w:val="20"/>
              </w:rPr>
            </w:pPr>
            <w:r w:rsidRPr="002D62D6">
              <w:rPr>
                <w:rFonts w:ascii="Arial" w:hAnsi="Arial" w:cs="Arial"/>
                <w:sz w:val="20"/>
                <w:szCs w:val="20"/>
              </w:rPr>
              <w:t>Serviços topográficos para apoio à fiscalização dos serviços de recuperação, limpeza, manutenção e desassoreamento de aguadas a serem executadas na área de atuação da 3ª Superintendência Regional da Codevasf</w:t>
            </w:r>
            <w:r>
              <w:rPr>
                <w:rFonts w:ascii="Arial" w:hAnsi="Arial" w:cs="Arial"/>
                <w:sz w:val="20"/>
                <w:szCs w:val="20"/>
              </w:rPr>
              <w:t>, Petrolina – PE.</w:t>
            </w:r>
          </w:p>
        </w:tc>
        <w:tc>
          <w:tcPr>
            <w:tcW w:w="1553" w:type="dxa"/>
          </w:tcPr>
          <w:p w14:paraId="43F9A245" w14:textId="77777777" w:rsidR="001E3D86" w:rsidRDefault="001E3D86" w:rsidP="002C4902">
            <w:pPr>
              <w:ind w:firstLine="0"/>
              <w:jc w:val="right"/>
              <w:rPr>
                <w:rFonts w:ascii="Arial" w:hAnsi="Arial" w:cs="Arial"/>
                <w:sz w:val="20"/>
                <w:szCs w:val="20"/>
              </w:rPr>
            </w:pPr>
            <w:r>
              <w:rPr>
                <w:rFonts w:ascii="Arial" w:hAnsi="Arial" w:cs="Arial"/>
                <w:sz w:val="20"/>
                <w:szCs w:val="20"/>
              </w:rPr>
              <w:t>472.593,73</w:t>
            </w:r>
          </w:p>
        </w:tc>
      </w:tr>
      <w:tr w:rsidR="001E3D86" w:rsidRPr="000B4022" w14:paraId="7B517119" w14:textId="77777777" w:rsidTr="007E3D58">
        <w:trPr>
          <w:trHeight w:val="935"/>
        </w:trPr>
        <w:tc>
          <w:tcPr>
            <w:tcW w:w="2949" w:type="dxa"/>
          </w:tcPr>
          <w:p w14:paraId="6B9E6BBD" w14:textId="77777777" w:rsidR="001E3D86" w:rsidRPr="000B4022" w:rsidRDefault="001E3D86" w:rsidP="002C4902">
            <w:pPr>
              <w:ind w:firstLine="0"/>
              <w:rPr>
                <w:rFonts w:ascii="Arial" w:hAnsi="Arial" w:cs="Arial"/>
                <w:sz w:val="20"/>
                <w:szCs w:val="20"/>
              </w:rPr>
            </w:pPr>
            <w:r>
              <w:rPr>
                <w:rFonts w:ascii="Arial" w:hAnsi="Arial" w:cs="Arial"/>
                <w:sz w:val="20"/>
                <w:szCs w:val="20"/>
              </w:rPr>
              <w:t>Ata de Registro de Preços -</w:t>
            </w:r>
            <w:r w:rsidRPr="000B4022">
              <w:rPr>
                <w:rFonts w:ascii="Arial" w:hAnsi="Arial" w:cs="Arial"/>
                <w:sz w:val="20"/>
                <w:szCs w:val="20"/>
              </w:rPr>
              <w:t xml:space="preserve"> </w:t>
            </w:r>
            <w:r>
              <w:rPr>
                <w:rFonts w:ascii="Arial" w:hAnsi="Arial" w:cs="Arial"/>
                <w:sz w:val="20"/>
                <w:szCs w:val="20"/>
              </w:rPr>
              <w:t>PE nº 040/2023</w:t>
            </w:r>
            <w:r w:rsidRPr="000B4022">
              <w:rPr>
                <w:rFonts w:ascii="Arial" w:hAnsi="Arial" w:cs="Arial"/>
                <w:sz w:val="20"/>
                <w:szCs w:val="20"/>
              </w:rPr>
              <w:t xml:space="preserve"> – CODEVASF </w:t>
            </w:r>
            <w:r>
              <w:rPr>
                <w:rFonts w:ascii="Arial" w:hAnsi="Arial" w:cs="Arial"/>
                <w:sz w:val="20"/>
                <w:szCs w:val="20"/>
              </w:rPr>
              <w:t>15</w:t>
            </w:r>
            <w:r w:rsidRPr="000B4022">
              <w:rPr>
                <w:rFonts w:ascii="Arial" w:hAnsi="Arial" w:cs="Arial"/>
                <w:sz w:val="20"/>
                <w:szCs w:val="20"/>
              </w:rPr>
              <w:t>ª/S</w:t>
            </w:r>
            <w:r>
              <w:rPr>
                <w:rFonts w:ascii="Arial" w:hAnsi="Arial" w:cs="Arial"/>
                <w:sz w:val="20"/>
                <w:szCs w:val="20"/>
              </w:rPr>
              <w:t>R</w:t>
            </w:r>
          </w:p>
          <w:p w14:paraId="37981BC2" w14:textId="77777777" w:rsidR="001E3D86" w:rsidRDefault="001E3D86" w:rsidP="002C4902">
            <w:pPr>
              <w:ind w:firstLine="0"/>
              <w:rPr>
                <w:rFonts w:ascii="Arial" w:hAnsi="Arial" w:cs="Arial"/>
                <w:sz w:val="20"/>
                <w:szCs w:val="20"/>
              </w:rPr>
            </w:pPr>
          </w:p>
        </w:tc>
        <w:tc>
          <w:tcPr>
            <w:tcW w:w="5126" w:type="dxa"/>
          </w:tcPr>
          <w:p w14:paraId="616DC31B" w14:textId="77777777" w:rsidR="001E3D86" w:rsidRPr="002D62D6" w:rsidRDefault="001E3D86" w:rsidP="002C4902">
            <w:pPr>
              <w:ind w:firstLine="0"/>
              <w:rPr>
                <w:rFonts w:ascii="Arial" w:hAnsi="Arial" w:cs="Arial"/>
                <w:sz w:val="20"/>
                <w:szCs w:val="20"/>
              </w:rPr>
            </w:pPr>
            <w:r>
              <w:rPr>
                <w:rFonts w:ascii="Arial" w:hAnsi="Arial" w:cs="Arial"/>
                <w:sz w:val="20"/>
                <w:szCs w:val="20"/>
              </w:rPr>
              <w:t>S</w:t>
            </w:r>
            <w:r w:rsidRPr="002D62D6">
              <w:rPr>
                <w:rFonts w:ascii="Arial" w:hAnsi="Arial" w:cs="Arial"/>
                <w:sz w:val="20"/>
                <w:szCs w:val="20"/>
              </w:rPr>
              <w:t>erviços de apoio a fiscalização dos</w:t>
            </w:r>
            <w:r>
              <w:rPr>
                <w:rFonts w:ascii="Arial" w:hAnsi="Arial" w:cs="Arial"/>
                <w:sz w:val="20"/>
                <w:szCs w:val="20"/>
              </w:rPr>
              <w:t xml:space="preserve"> </w:t>
            </w:r>
            <w:r w:rsidRPr="002D62D6">
              <w:rPr>
                <w:rFonts w:ascii="Arial" w:hAnsi="Arial" w:cs="Arial"/>
                <w:sz w:val="20"/>
                <w:szCs w:val="20"/>
              </w:rPr>
              <w:t>serviços de limpeza, manutenção e desassoreamento de aguadas na área de atuação da 15ª</w:t>
            </w:r>
            <w:r>
              <w:rPr>
                <w:rFonts w:ascii="Arial" w:hAnsi="Arial" w:cs="Arial"/>
                <w:sz w:val="20"/>
                <w:szCs w:val="20"/>
              </w:rPr>
              <w:t xml:space="preserve"> </w:t>
            </w:r>
            <w:r w:rsidRPr="002D62D6">
              <w:rPr>
                <w:rFonts w:ascii="Arial" w:hAnsi="Arial" w:cs="Arial"/>
                <w:sz w:val="20"/>
                <w:szCs w:val="20"/>
              </w:rPr>
              <w:t>Superintendência Regional da CODEVASF, no estado de Pernambuco</w:t>
            </w:r>
            <w:r>
              <w:rPr>
                <w:rFonts w:ascii="Arial" w:hAnsi="Arial" w:cs="Arial"/>
                <w:sz w:val="20"/>
                <w:szCs w:val="20"/>
              </w:rPr>
              <w:t>.</w:t>
            </w:r>
          </w:p>
        </w:tc>
        <w:tc>
          <w:tcPr>
            <w:tcW w:w="1553" w:type="dxa"/>
          </w:tcPr>
          <w:p w14:paraId="4AE2D6A6" w14:textId="77777777" w:rsidR="001E3D86" w:rsidRDefault="001E3D86" w:rsidP="002C4902">
            <w:pPr>
              <w:ind w:firstLine="0"/>
              <w:jc w:val="right"/>
              <w:rPr>
                <w:rFonts w:ascii="Arial" w:hAnsi="Arial" w:cs="Arial"/>
                <w:sz w:val="20"/>
                <w:szCs w:val="20"/>
              </w:rPr>
            </w:pPr>
            <w:r>
              <w:rPr>
                <w:rFonts w:ascii="Arial" w:hAnsi="Arial" w:cs="Arial"/>
                <w:sz w:val="20"/>
                <w:szCs w:val="20"/>
              </w:rPr>
              <w:t>745.834,06</w:t>
            </w:r>
          </w:p>
        </w:tc>
      </w:tr>
    </w:tbl>
    <w:p w14:paraId="266799CC" w14:textId="7DE7D21B" w:rsidR="001E3D86" w:rsidRDefault="001E3D86" w:rsidP="002C4902">
      <w:pPr>
        <w:ind w:firstLine="708"/>
        <w:rPr>
          <w:rFonts w:ascii="Arial" w:hAnsi="Arial" w:cs="Arial"/>
        </w:rPr>
      </w:pPr>
    </w:p>
    <w:p w14:paraId="6F83EC6A" w14:textId="2C2D1BD8" w:rsidR="001E3D86" w:rsidRDefault="002F5220" w:rsidP="002C4902">
      <w:pPr>
        <w:ind w:firstLine="708"/>
        <w:rPr>
          <w:rFonts w:ascii="Arial" w:hAnsi="Arial" w:cs="Arial"/>
        </w:rPr>
      </w:pPr>
      <w:r>
        <w:rPr>
          <w:rFonts w:ascii="Arial" w:hAnsi="Arial" w:cs="Arial"/>
        </w:rPr>
        <w:t xml:space="preserve">Como pode ser observado, a estrutura desta licitante é agregada por meio de sua estrutura disposta nos locais onde presta seus serviços, incluindo </w:t>
      </w:r>
      <w:r w:rsidR="00967721">
        <w:rPr>
          <w:rFonts w:ascii="Arial" w:hAnsi="Arial" w:cs="Arial"/>
        </w:rPr>
        <w:t>vários estados do Brasil</w:t>
      </w:r>
      <w:r>
        <w:rPr>
          <w:rFonts w:ascii="Arial" w:hAnsi="Arial" w:cs="Arial"/>
        </w:rPr>
        <w:t xml:space="preserve">. </w:t>
      </w:r>
      <w:r w:rsidR="001E3D86">
        <w:rPr>
          <w:rFonts w:ascii="Arial" w:hAnsi="Arial" w:cs="Arial"/>
        </w:rPr>
        <w:t>Soma</w:t>
      </w:r>
      <w:r>
        <w:rPr>
          <w:rFonts w:ascii="Arial" w:hAnsi="Arial" w:cs="Arial"/>
        </w:rPr>
        <w:t>-se a capacidade operacional</w:t>
      </w:r>
      <w:r w:rsidR="00054CF2">
        <w:rPr>
          <w:rFonts w:ascii="Arial" w:hAnsi="Arial" w:cs="Arial"/>
        </w:rPr>
        <w:t xml:space="preserve"> desta licitante a</w:t>
      </w:r>
      <w:r>
        <w:rPr>
          <w:rFonts w:ascii="Arial" w:hAnsi="Arial" w:cs="Arial"/>
        </w:rPr>
        <w:t xml:space="preserve"> </w:t>
      </w:r>
      <w:r w:rsidR="001E3D86">
        <w:rPr>
          <w:rFonts w:ascii="Arial" w:hAnsi="Arial" w:cs="Arial"/>
        </w:rPr>
        <w:t xml:space="preserve">extensa relação comercial </w:t>
      </w:r>
      <w:r w:rsidR="00054CF2">
        <w:rPr>
          <w:rFonts w:ascii="Arial" w:hAnsi="Arial" w:cs="Arial"/>
        </w:rPr>
        <w:t>adquirida ao longo de nossa</w:t>
      </w:r>
      <w:r w:rsidR="001E3D86">
        <w:rPr>
          <w:rFonts w:ascii="Arial" w:hAnsi="Arial" w:cs="Arial"/>
        </w:rPr>
        <w:t xml:space="preserve"> atuação no mercado, </w:t>
      </w:r>
      <w:r>
        <w:rPr>
          <w:rFonts w:ascii="Arial" w:hAnsi="Arial" w:cs="Arial"/>
        </w:rPr>
        <w:t>incluindo</w:t>
      </w:r>
      <w:r w:rsidR="001E3D86">
        <w:rPr>
          <w:rFonts w:ascii="Arial" w:hAnsi="Arial" w:cs="Arial"/>
        </w:rPr>
        <w:t xml:space="preserve"> ainda os equipamentos</w:t>
      </w:r>
      <w:r w:rsidR="00054CF2">
        <w:rPr>
          <w:rFonts w:ascii="Arial" w:hAnsi="Arial" w:cs="Arial"/>
        </w:rPr>
        <w:t>, mão de obra</w:t>
      </w:r>
      <w:r w:rsidR="001E3D86">
        <w:rPr>
          <w:rFonts w:ascii="Arial" w:hAnsi="Arial" w:cs="Arial"/>
        </w:rPr>
        <w:t xml:space="preserve"> e</w:t>
      </w:r>
      <w:r w:rsidR="00054CF2">
        <w:rPr>
          <w:rFonts w:ascii="Arial" w:hAnsi="Arial" w:cs="Arial"/>
        </w:rPr>
        <w:t xml:space="preserve"> toda a</w:t>
      </w:r>
      <w:r w:rsidR="001E3D86">
        <w:rPr>
          <w:rFonts w:ascii="Arial" w:hAnsi="Arial" w:cs="Arial"/>
        </w:rPr>
        <w:t xml:space="preserve"> estrutura já disponíveis </w:t>
      </w:r>
      <w:r w:rsidR="00054CF2">
        <w:rPr>
          <w:rFonts w:ascii="Arial" w:hAnsi="Arial" w:cs="Arial"/>
        </w:rPr>
        <w:t>estrategicamente nas regiões centro oeste, sudeste e nordeste</w:t>
      </w:r>
      <w:r w:rsidR="001E3D86">
        <w:rPr>
          <w:rFonts w:ascii="Arial" w:hAnsi="Arial" w:cs="Arial"/>
        </w:rPr>
        <w:t>, devido a</w:t>
      </w:r>
      <w:r>
        <w:rPr>
          <w:rFonts w:ascii="Arial" w:hAnsi="Arial" w:cs="Arial"/>
        </w:rPr>
        <w:t>os</w:t>
      </w:r>
      <w:r w:rsidR="001E3D86">
        <w:rPr>
          <w:rFonts w:ascii="Arial" w:hAnsi="Arial" w:cs="Arial"/>
        </w:rPr>
        <w:t xml:space="preserve"> contratos já executados e em andamento junto ao setor público e privado.</w:t>
      </w:r>
    </w:p>
    <w:p w14:paraId="33119F63" w14:textId="77777777" w:rsidR="001E3D86" w:rsidRDefault="001E3D86" w:rsidP="002C4902">
      <w:pPr>
        <w:ind w:firstLine="708"/>
        <w:rPr>
          <w:rFonts w:ascii="Arial" w:hAnsi="Arial" w:cs="Arial"/>
        </w:rPr>
      </w:pPr>
      <w:r>
        <w:rPr>
          <w:rFonts w:ascii="Arial" w:hAnsi="Arial" w:cs="Arial"/>
        </w:rPr>
        <w:t>Ainda, caso haja algum mal dimensionamento na proposta ofertada, esta empresa dispõe de seu Patrimônio Líquido no valor de R$ 5.180.191,22, o qual abona a execução dos serviços a serem executados, considerando que, tal valor é superior ao valor total proposto.</w:t>
      </w:r>
    </w:p>
    <w:p w14:paraId="75144F16" w14:textId="5120B029" w:rsidR="00054CF2" w:rsidRDefault="00054CF2" w:rsidP="002C4902">
      <w:pPr>
        <w:ind w:firstLine="708"/>
        <w:rPr>
          <w:rFonts w:ascii="Arial" w:hAnsi="Arial" w:cs="Arial"/>
        </w:rPr>
      </w:pPr>
      <w:r>
        <w:rPr>
          <w:rFonts w:ascii="Arial" w:hAnsi="Arial" w:cs="Arial"/>
        </w:rPr>
        <w:lastRenderedPageBreak/>
        <w:t>Portanto, conforme comprovado por meio da jurisprudência do TCU, o disposto no</w:t>
      </w:r>
      <w:r w:rsidRPr="00054CF2">
        <w:rPr>
          <w:rFonts w:ascii="Arial" w:hAnsi="Arial" w:cs="Arial"/>
        </w:rPr>
        <w:t xml:space="preserve"> </w:t>
      </w:r>
      <w:r w:rsidRPr="002F52C2">
        <w:rPr>
          <w:rFonts w:ascii="Arial" w:hAnsi="Arial" w:cs="Arial"/>
        </w:rPr>
        <w:t>art. 59, § 4º, da Lei 14.133/2021</w:t>
      </w:r>
      <w:r>
        <w:rPr>
          <w:rFonts w:ascii="Arial" w:hAnsi="Arial" w:cs="Arial"/>
        </w:rPr>
        <w:t>, não deve ser interpretado como critério absoluto, ao passo que, fora demonstrado que esta empresa possui capacidade operacional e estrutura geográfica necessária para atender ao objeto da licitação do município de Araxá/MG.</w:t>
      </w:r>
    </w:p>
    <w:p w14:paraId="2916AE58" w14:textId="58D243E5" w:rsidR="00492B9A" w:rsidRDefault="008228AE" w:rsidP="002C4902">
      <w:pPr>
        <w:ind w:firstLine="708"/>
        <w:rPr>
          <w:rFonts w:ascii="Arial" w:hAnsi="Arial" w:cs="Arial"/>
        </w:rPr>
      </w:pPr>
      <w:r>
        <w:rPr>
          <w:rFonts w:ascii="Arial" w:hAnsi="Arial" w:cs="Arial"/>
        </w:rPr>
        <w:t>Outrossim,</w:t>
      </w:r>
      <w:r w:rsidR="00CB0EBA" w:rsidRPr="00CB0EBA">
        <w:rPr>
          <w:rFonts w:ascii="Arial" w:hAnsi="Arial" w:cs="Arial"/>
        </w:rPr>
        <w:t xml:space="preserve"> </w:t>
      </w:r>
      <w:r w:rsidR="00054CF2">
        <w:rPr>
          <w:rFonts w:ascii="Arial" w:hAnsi="Arial" w:cs="Arial"/>
        </w:rPr>
        <w:t xml:space="preserve">não </w:t>
      </w:r>
      <w:r w:rsidR="00CB0EBA" w:rsidRPr="00CB0EBA">
        <w:rPr>
          <w:rFonts w:ascii="Arial" w:hAnsi="Arial" w:cs="Arial"/>
        </w:rPr>
        <w:t xml:space="preserve">há necessidades de maiores </w:t>
      </w:r>
      <w:r w:rsidR="00054CF2">
        <w:rPr>
          <w:rFonts w:ascii="Arial" w:hAnsi="Arial" w:cs="Arial"/>
        </w:rPr>
        <w:t>explan</w:t>
      </w:r>
      <w:r w:rsidR="00C76FA6">
        <w:rPr>
          <w:rFonts w:ascii="Arial" w:hAnsi="Arial" w:cs="Arial"/>
        </w:rPr>
        <w:t>a</w:t>
      </w:r>
      <w:r w:rsidR="00054CF2">
        <w:rPr>
          <w:rFonts w:ascii="Arial" w:hAnsi="Arial" w:cs="Arial"/>
        </w:rPr>
        <w:t>ções</w:t>
      </w:r>
      <w:r w:rsidR="00CB0EBA" w:rsidRPr="00CB0EBA">
        <w:rPr>
          <w:rFonts w:ascii="Arial" w:hAnsi="Arial" w:cs="Arial"/>
        </w:rPr>
        <w:t xml:space="preserve">, pois já se </w:t>
      </w:r>
      <w:r>
        <w:rPr>
          <w:rFonts w:ascii="Arial" w:hAnsi="Arial" w:cs="Arial"/>
        </w:rPr>
        <w:t xml:space="preserve">mostrou </w:t>
      </w:r>
      <w:r w:rsidR="00CB0EBA" w:rsidRPr="00CB0EBA">
        <w:rPr>
          <w:rFonts w:ascii="Arial" w:hAnsi="Arial" w:cs="Arial"/>
        </w:rPr>
        <w:t xml:space="preserve">comprovado </w:t>
      </w:r>
      <w:r>
        <w:rPr>
          <w:rFonts w:ascii="Arial" w:hAnsi="Arial" w:cs="Arial"/>
        </w:rPr>
        <w:t xml:space="preserve">que esta licitante atendeu </w:t>
      </w:r>
      <w:r w:rsidR="00006595">
        <w:rPr>
          <w:rFonts w:ascii="Arial" w:hAnsi="Arial" w:cs="Arial"/>
        </w:rPr>
        <w:t>as</w:t>
      </w:r>
      <w:r>
        <w:rPr>
          <w:rFonts w:ascii="Arial" w:hAnsi="Arial" w:cs="Arial"/>
        </w:rPr>
        <w:t xml:space="preserve"> normas do Edital</w:t>
      </w:r>
      <w:r w:rsidR="00054CF2">
        <w:rPr>
          <w:rFonts w:ascii="Arial" w:hAnsi="Arial" w:cs="Arial"/>
        </w:rPr>
        <w:t>, bem como, comprovou a exequibilidade de sua proposta</w:t>
      </w:r>
      <w:r w:rsidR="00CB0EBA" w:rsidRPr="00CB0EBA">
        <w:rPr>
          <w:rFonts w:ascii="Arial" w:hAnsi="Arial" w:cs="Arial"/>
        </w:rPr>
        <w:t>.</w:t>
      </w:r>
    </w:p>
    <w:p w14:paraId="1664135F" w14:textId="77777777" w:rsidR="00054CF2" w:rsidRDefault="00054CF2" w:rsidP="002C4902">
      <w:pPr>
        <w:ind w:firstLine="0"/>
        <w:rPr>
          <w:rFonts w:ascii="Arial" w:hAnsi="Arial" w:cs="Arial"/>
        </w:rPr>
      </w:pPr>
    </w:p>
    <w:p w14:paraId="196DFE4C" w14:textId="77777777" w:rsidR="00054CF2" w:rsidRDefault="00054CF2" w:rsidP="002C4902">
      <w:pPr>
        <w:ind w:firstLine="0"/>
        <w:rPr>
          <w:rFonts w:ascii="Arial" w:hAnsi="Arial" w:cs="Arial"/>
        </w:rPr>
      </w:pPr>
    </w:p>
    <w:p w14:paraId="40916DDB" w14:textId="77777777" w:rsidR="00492B9A" w:rsidRDefault="00492B9A" w:rsidP="002C4902">
      <w:pPr>
        <w:ind w:firstLine="0"/>
        <w:rPr>
          <w:rFonts w:ascii="Arial" w:hAnsi="Arial" w:cs="Arial"/>
          <w:b/>
        </w:rPr>
      </w:pPr>
      <w:r>
        <w:rPr>
          <w:rFonts w:ascii="Arial" w:hAnsi="Arial" w:cs="Arial"/>
          <w:b/>
        </w:rPr>
        <w:t>III – DA CONCLUSÃO</w:t>
      </w:r>
    </w:p>
    <w:p w14:paraId="0BBE82E9" w14:textId="42F3B0E8" w:rsidR="00C006C0" w:rsidRDefault="00C006C0" w:rsidP="009C2011">
      <w:pPr>
        <w:ind w:firstLine="708"/>
        <w:rPr>
          <w:rFonts w:ascii="Arial" w:hAnsi="Arial" w:cs="Arial"/>
        </w:rPr>
      </w:pPr>
      <w:r w:rsidRPr="00C006C0">
        <w:rPr>
          <w:rFonts w:ascii="Arial" w:hAnsi="Arial" w:cs="Arial"/>
        </w:rPr>
        <w:t xml:space="preserve">Após </w:t>
      </w:r>
      <w:r w:rsidR="00F70268">
        <w:rPr>
          <w:rFonts w:ascii="Arial" w:hAnsi="Arial" w:cs="Arial"/>
        </w:rPr>
        <w:t xml:space="preserve">todo o exposto, </w:t>
      </w:r>
      <w:r w:rsidR="009C2011">
        <w:rPr>
          <w:rFonts w:ascii="Arial" w:hAnsi="Arial" w:cs="Arial"/>
        </w:rPr>
        <w:t>a</w:t>
      </w:r>
      <w:r w:rsidR="00C76FA6">
        <w:rPr>
          <w:rFonts w:ascii="Arial" w:hAnsi="Arial" w:cs="Arial"/>
        </w:rPr>
        <w:t xml:space="preserve"> proposta ofertada por esta empresa é exequível e atende aos critérios do edital, da lei e da jurisprudência do TCU, pois há de se considerar que </w:t>
      </w:r>
      <w:r w:rsidR="00C76FA6" w:rsidRPr="00C76FA6">
        <w:rPr>
          <w:rFonts w:ascii="Arial" w:hAnsi="Arial" w:cs="Arial"/>
        </w:rPr>
        <w:t>o disposto no art. 59, § 4º, da Lei 14.133/2021, conduz a uma presunção relativa de inexequibilidade de preços, devendo a Administração, nos termos do art. 59, § 2º, da referida lei, dar à licitante a oportunidade de demonstrar a exequibilidade de sua proposta</w:t>
      </w:r>
      <w:r w:rsidR="00C76FA6">
        <w:rPr>
          <w:rFonts w:ascii="Arial" w:hAnsi="Arial" w:cs="Arial"/>
        </w:rPr>
        <w:t>.</w:t>
      </w:r>
    </w:p>
    <w:p w14:paraId="79690381" w14:textId="27CB6526" w:rsidR="00C76FA6" w:rsidRDefault="00C76FA6" w:rsidP="002C4902">
      <w:pPr>
        <w:ind w:firstLine="0"/>
        <w:rPr>
          <w:rFonts w:ascii="Arial" w:hAnsi="Arial" w:cs="Arial"/>
        </w:rPr>
      </w:pPr>
      <w:r>
        <w:rPr>
          <w:rFonts w:ascii="Arial" w:hAnsi="Arial" w:cs="Arial"/>
        </w:rPr>
        <w:tab/>
        <w:t>Neste sentido, esta licitante apresentou em suas razões comprovações fidedignas de exequibilidade de sua proposta, comprovando que o valor ofertado é compatível com sua capacidade operacional para atender a demanda da administração.</w:t>
      </w:r>
    </w:p>
    <w:p w14:paraId="720CD709" w14:textId="66C99A19" w:rsidR="00C76FA6" w:rsidRDefault="00C76FA6" w:rsidP="002C4902">
      <w:pPr>
        <w:ind w:firstLine="0"/>
        <w:rPr>
          <w:rFonts w:ascii="Arial" w:hAnsi="Arial" w:cs="Arial"/>
        </w:rPr>
      </w:pPr>
      <w:r>
        <w:rPr>
          <w:rFonts w:ascii="Arial" w:hAnsi="Arial" w:cs="Arial"/>
        </w:rPr>
        <w:tab/>
        <w:t xml:space="preserve">Sem mais, </w:t>
      </w:r>
      <w:r w:rsidR="00DE3020">
        <w:rPr>
          <w:rFonts w:ascii="Arial" w:hAnsi="Arial" w:cs="Arial"/>
        </w:rPr>
        <w:t xml:space="preserve">nos termos da Súmula 473/STF, a administração deve anular o ato administrativo que </w:t>
      </w:r>
      <w:r>
        <w:rPr>
          <w:rFonts w:ascii="Arial" w:hAnsi="Arial" w:cs="Arial"/>
        </w:rPr>
        <w:t xml:space="preserve">julgou </w:t>
      </w:r>
      <w:r w:rsidR="00DE3020">
        <w:rPr>
          <w:rFonts w:ascii="Arial" w:hAnsi="Arial" w:cs="Arial"/>
        </w:rPr>
        <w:t>desclassificada a</w:t>
      </w:r>
      <w:r>
        <w:rPr>
          <w:rFonts w:ascii="Arial" w:hAnsi="Arial" w:cs="Arial"/>
        </w:rPr>
        <w:t xml:space="preserve"> proposta desta licitante</w:t>
      </w:r>
      <w:r w:rsidR="00AC2931">
        <w:rPr>
          <w:rFonts w:ascii="Arial" w:hAnsi="Arial" w:cs="Arial"/>
        </w:rPr>
        <w:t xml:space="preserve">, </w:t>
      </w:r>
      <w:r w:rsidR="00DE3020">
        <w:rPr>
          <w:rFonts w:ascii="Arial" w:hAnsi="Arial" w:cs="Arial"/>
        </w:rPr>
        <w:t>tornando a fase correspondente do certame para que seja realizada as diligências cabíveis, se necessário,  para então somente julgar a exequibilidade ou não da proposta, analisando o caso de acordo com o entendimento já pavimentado pelo TCU, qual seja, não se pode presumir</w:t>
      </w:r>
      <w:r w:rsidR="00DE3020" w:rsidRPr="00C76FA6">
        <w:rPr>
          <w:rFonts w:ascii="Arial" w:hAnsi="Arial" w:cs="Arial"/>
        </w:rPr>
        <w:t xml:space="preserve"> relativa</w:t>
      </w:r>
      <w:r w:rsidR="00DE3020">
        <w:rPr>
          <w:rFonts w:ascii="Arial" w:hAnsi="Arial" w:cs="Arial"/>
        </w:rPr>
        <w:t>mente</w:t>
      </w:r>
      <w:r w:rsidR="00DE3020" w:rsidRPr="00C76FA6">
        <w:rPr>
          <w:rFonts w:ascii="Arial" w:hAnsi="Arial" w:cs="Arial"/>
        </w:rPr>
        <w:t xml:space="preserve"> </w:t>
      </w:r>
      <w:r w:rsidR="00DE3020">
        <w:rPr>
          <w:rFonts w:ascii="Arial" w:hAnsi="Arial" w:cs="Arial"/>
        </w:rPr>
        <w:t>a</w:t>
      </w:r>
      <w:r w:rsidR="00DE3020" w:rsidRPr="00C76FA6">
        <w:rPr>
          <w:rFonts w:ascii="Arial" w:hAnsi="Arial" w:cs="Arial"/>
        </w:rPr>
        <w:t xml:space="preserve"> inexequibilidade</w:t>
      </w:r>
      <w:r w:rsidR="00DE3020">
        <w:rPr>
          <w:rFonts w:ascii="Arial" w:hAnsi="Arial" w:cs="Arial"/>
        </w:rPr>
        <w:t xml:space="preserve"> da proposta.</w:t>
      </w:r>
    </w:p>
    <w:p w14:paraId="7B55B723" w14:textId="77777777" w:rsidR="00C76FA6" w:rsidRDefault="00C76FA6" w:rsidP="002C4902">
      <w:pPr>
        <w:ind w:firstLine="0"/>
        <w:rPr>
          <w:rFonts w:ascii="Arial" w:hAnsi="Arial" w:cs="Arial"/>
        </w:rPr>
      </w:pPr>
    </w:p>
    <w:p w14:paraId="4B2A7830" w14:textId="77777777" w:rsidR="00C76FA6" w:rsidRDefault="00C76FA6" w:rsidP="002C4902">
      <w:pPr>
        <w:ind w:firstLine="0"/>
        <w:rPr>
          <w:rFonts w:ascii="Arial" w:hAnsi="Arial" w:cs="Arial"/>
        </w:rPr>
      </w:pPr>
    </w:p>
    <w:p w14:paraId="5C4D3FE9" w14:textId="77777777" w:rsidR="00492B9A" w:rsidRPr="00F04D2A" w:rsidRDefault="00492B9A" w:rsidP="002C4902">
      <w:pPr>
        <w:ind w:firstLine="0"/>
        <w:rPr>
          <w:rFonts w:ascii="Arial" w:hAnsi="Arial" w:cs="Arial"/>
          <w:b/>
        </w:rPr>
      </w:pPr>
      <w:r w:rsidRPr="00F04D2A">
        <w:rPr>
          <w:rFonts w:ascii="Arial" w:hAnsi="Arial" w:cs="Arial"/>
          <w:b/>
        </w:rPr>
        <w:t>IV - DO PEDIDO</w:t>
      </w:r>
    </w:p>
    <w:p w14:paraId="2703252B" w14:textId="14E44238" w:rsidR="005B3257" w:rsidRPr="005B3257" w:rsidRDefault="005B3257" w:rsidP="00054CF2">
      <w:pPr>
        <w:ind w:firstLine="708"/>
        <w:rPr>
          <w:rFonts w:ascii="Arial" w:hAnsi="Arial" w:cs="Arial"/>
        </w:rPr>
      </w:pPr>
      <w:r w:rsidRPr="005B3257">
        <w:rPr>
          <w:rFonts w:ascii="Arial" w:hAnsi="Arial" w:cs="Arial"/>
        </w:rPr>
        <w:t>Diante do exposto, uma vez demonstradas as razões</w:t>
      </w:r>
      <w:r w:rsidR="00DE3020">
        <w:rPr>
          <w:rFonts w:ascii="Arial" w:hAnsi="Arial" w:cs="Arial"/>
        </w:rPr>
        <w:t xml:space="preserve"> que são</w:t>
      </w:r>
      <w:r w:rsidRPr="005B3257">
        <w:rPr>
          <w:rFonts w:ascii="Arial" w:hAnsi="Arial" w:cs="Arial"/>
        </w:rPr>
        <w:t xml:space="preserve"> assistidas pela total legalidade do direito, presentes os requisitos</w:t>
      </w:r>
      <w:r w:rsidR="00544207">
        <w:rPr>
          <w:rFonts w:ascii="Arial" w:hAnsi="Arial" w:cs="Arial"/>
        </w:rPr>
        <w:t xml:space="preserve">, </w:t>
      </w:r>
      <w:r w:rsidRPr="005B3257">
        <w:rPr>
          <w:rFonts w:ascii="Arial" w:hAnsi="Arial" w:cs="Arial"/>
        </w:rPr>
        <w:t>requer:</w:t>
      </w:r>
    </w:p>
    <w:p w14:paraId="19A0ADBC" w14:textId="3E67E8FE" w:rsidR="00492B9A" w:rsidRDefault="005B3257" w:rsidP="00054CF2">
      <w:pPr>
        <w:ind w:firstLine="708"/>
        <w:rPr>
          <w:rFonts w:ascii="Arial" w:hAnsi="Arial" w:cs="Arial"/>
        </w:rPr>
      </w:pPr>
      <w:r w:rsidRPr="005B3257">
        <w:rPr>
          <w:rFonts w:ascii="Arial" w:hAnsi="Arial" w:cs="Arial"/>
        </w:rPr>
        <w:t xml:space="preserve">a) Que seja </w:t>
      </w:r>
      <w:r w:rsidR="00DE3020">
        <w:rPr>
          <w:rFonts w:ascii="Arial" w:hAnsi="Arial" w:cs="Arial"/>
        </w:rPr>
        <w:t>anulado o ato administrativo que julgou desclassifica</w:t>
      </w:r>
      <w:r w:rsidR="00544207">
        <w:rPr>
          <w:rFonts w:ascii="Arial" w:hAnsi="Arial" w:cs="Arial"/>
        </w:rPr>
        <w:t>da</w:t>
      </w:r>
      <w:r w:rsidR="00DE3020">
        <w:rPr>
          <w:rFonts w:ascii="Arial" w:hAnsi="Arial" w:cs="Arial"/>
        </w:rPr>
        <w:t xml:space="preserve"> a proposta desta licitante por inexequibilidade, nos termos da Súmula 473/STF</w:t>
      </w:r>
      <w:r w:rsidRPr="005B3257">
        <w:rPr>
          <w:rFonts w:ascii="Arial" w:hAnsi="Arial" w:cs="Arial"/>
        </w:rPr>
        <w:t>.</w:t>
      </w:r>
    </w:p>
    <w:p w14:paraId="5C018502" w14:textId="5982F7AB" w:rsidR="00DE3020" w:rsidRDefault="00DE3020" w:rsidP="00054CF2">
      <w:pPr>
        <w:ind w:firstLine="708"/>
        <w:rPr>
          <w:rFonts w:ascii="Arial" w:hAnsi="Arial" w:cs="Arial"/>
        </w:rPr>
      </w:pPr>
      <w:r>
        <w:rPr>
          <w:rFonts w:ascii="Arial" w:hAnsi="Arial" w:cs="Arial"/>
        </w:rPr>
        <w:t>b) Que a proposta desta licitante seja julgad</w:t>
      </w:r>
      <w:r w:rsidR="00EC478E">
        <w:rPr>
          <w:rFonts w:ascii="Arial" w:hAnsi="Arial" w:cs="Arial"/>
        </w:rPr>
        <w:t>a</w:t>
      </w:r>
      <w:r>
        <w:rPr>
          <w:rFonts w:ascii="Arial" w:hAnsi="Arial" w:cs="Arial"/>
        </w:rPr>
        <w:t xml:space="preserve"> a luz da jurisprudência majoritária do TCU, em analogia a Súmula 262 e demais acórdão citados, onde não se pode presumir relativamente a inexequibilidade da proposta, sem oportunizar a empresa a possibilidade de comprovação da viabilidade da proposta ofertada.</w:t>
      </w:r>
    </w:p>
    <w:p w14:paraId="3ACCD30B" w14:textId="6301E55B" w:rsidR="00DE3020" w:rsidRDefault="00DE3020" w:rsidP="00054CF2">
      <w:pPr>
        <w:ind w:firstLine="708"/>
        <w:rPr>
          <w:rFonts w:ascii="Arial" w:hAnsi="Arial" w:cs="Arial"/>
        </w:rPr>
      </w:pPr>
      <w:r>
        <w:rPr>
          <w:rFonts w:ascii="Arial" w:hAnsi="Arial" w:cs="Arial"/>
        </w:rPr>
        <w:t>c) Que mesmo após as demonstraç</w:t>
      </w:r>
      <w:r w:rsidR="00EC478E">
        <w:rPr>
          <w:rFonts w:ascii="Arial" w:hAnsi="Arial" w:cs="Arial"/>
        </w:rPr>
        <w:t xml:space="preserve">ões já expostas neste termo, se restarem ainda alguma dúvida, que seja realizada as diligências necessárias para a decisão fundamentada da administração, nos termos do </w:t>
      </w:r>
      <w:r w:rsidR="00EC478E" w:rsidRPr="00EC478E">
        <w:rPr>
          <w:rFonts w:ascii="Arial" w:hAnsi="Arial" w:cs="Arial"/>
        </w:rPr>
        <w:t>art. 59, § 2º,</w:t>
      </w:r>
      <w:r w:rsidR="00EC478E">
        <w:rPr>
          <w:rFonts w:ascii="Arial" w:hAnsi="Arial" w:cs="Arial"/>
        </w:rPr>
        <w:t xml:space="preserve"> da Lei 14.133/21 e da jurisprudência do TCU.</w:t>
      </w:r>
    </w:p>
    <w:p w14:paraId="2F37931D" w14:textId="41B7C48E" w:rsidR="00AC2931" w:rsidRDefault="00EC478E" w:rsidP="00054CF2">
      <w:pPr>
        <w:ind w:firstLine="708"/>
        <w:rPr>
          <w:rFonts w:ascii="Arial" w:hAnsi="Arial" w:cs="Arial"/>
        </w:rPr>
      </w:pPr>
      <w:r>
        <w:rPr>
          <w:rFonts w:ascii="Arial" w:hAnsi="Arial" w:cs="Arial"/>
        </w:rPr>
        <w:t>d</w:t>
      </w:r>
      <w:r w:rsidR="00AC2931">
        <w:rPr>
          <w:rFonts w:ascii="Arial" w:hAnsi="Arial" w:cs="Arial"/>
        </w:rPr>
        <w:t>)</w:t>
      </w:r>
      <w:r>
        <w:rPr>
          <w:rFonts w:ascii="Arial" w:hAnsi="Arial" w:cs="Arial"/>
        </w:rPr>
        <w:t xml:space="preserve"> </w:t>
      </w:r>
      <w:r w:rsidRPr="00EC478E">
        <w:rPr>
          <w:rFonts w:ascii="Arial" w:hAnsi="Arial" w:cs="Arial"/>
        </w:rPr>
        <w:t>Que na remota hipótese de indeferimento de nosso Recurso Administrativo, que seja remetido o pedido a autoridade superior para apreciação e deliberação. E ainda, oportunizada a esta recorrente a cópia integral do processo.</w:t>
      </w:r>
    </w:p>
    <w:p w14:paraId="5D7A07A0" w14:textId="77777777" w:rsidR="00AC2931" w:rsidRDefault="00AC2931" w:rsidP="002C4902">
      <w:pPr>
        <w:ind w:firstLine="0"/>
        <w:rPr>
          <w:rFonts w:ascii="Arial" w:hAnsi="Arial" w:cs="Arial"/>
        </w:rPr>
      </w:pPr>
    </w:p>
    <w:p w14:paraId="0AC76CDB" w14:textId="77777777" w:rsidR="00EC478E" w:rsidRDefault="00EC478E" w:rsidP="002C4902">
      <w:pPr>
        <w:ind w:firstLine="0"/>
        <w:rPr>
          <w:rFonts w:ascii="Arial" w:hAnsi="Arial" w:cs="Arial"/>
        </w:rPr>
      </w:pPr>
    </w:p>
    <w:p w14:paraId="02E179B8" w14:textId="77777777" w:rsidR="00EC478E" w:rsidRDefault="00EC478E" w:rsidP="002C4902">
      <w:pPr>
        <w:ind w:firstLine="0"/>
        <w:rPr>
          <w:rFonts w:ascii="Arial" w:hAnsi="Arial" w:cs="Arial"/>
        </w:rPr>
      </w:pPr>
    </w:p>
    <w:p w14:paraId="74787F14" w14:textId="77777777" w:rsidR="00EC478E" w:rsidRDefault="00EC478E" w:rsidP="002C4902">
      <w:pPr>
        <w:ind w:firstLine="0"/>
        <w:rPr>
          <w:rFonts w:ascii="Arial" w:hAnsi="Arial" w:cs="Arial"/>
        </w:rPr>
      </w:pPr>
    </w:p>
    <w:p w14:paraId="79ED7E57" w14:textId="77777777" w:rsidR="00EC478E" w:rsidRDefault="00EC478E" w:rsidP="002C4902">
      <w:pPr>
        <w:ind w:firstLine="0"/>
        <w:rPr>
          <w:rFonts w:ascii="Arial" w:hAnsi="Arial" w:cs="Arial"/>
        </w:rPr>
      </w:pPr>
    </w:p>
    <w:p w14:paraId="62054615" w14:textId="77777777" w:rsidR="00EC478E" w:rsidRDefault="00EC478E" w:rsidP="002C4902">
      <w:pPr>
        <w:ind w:firstLine="0"/>
        <w:rPr>
          <w:rFonts w:ascii="Arial" w:hAnsi="Arial" w:cs="Arial"/>
        </w:rPr>
      </w:pPr>
    </w:p>
    <w:p w14:paraId="6868DA6C" w14:textId="77777777" w:rsidR="00EC478E" w:rsidRDefault="00EC478E" w:rsidP="002C4902">
      <w:pPr>
        <w:ind w:firstLine="0"/>
        <w:rPr>
          <w:rFonts w:ascii="Arial" w:hAnsi="Arial" w:cs="Arial"/>
        </w:rPr>
      </w:pPr>
    </w:p>
    <w:p w14:paraId="02E20E76" w14:textId="77777777" w:rsidR="005B3257" w:rsidRDefault="005B3257" w:rsidP="00054CF2">
      <w:pPr>
        <w:ind w:firstLine="708"/>
        <w:rPr>
          <w:rFonts w:ascii="Arial" w:hAnsi="Arial" w:cs="Arial"/>
        </w:rPr>
      </w:pPr>
      <w:r>
        <w:rPr>
          <w:rFonts w:ascii="Arial" w:hAnsi="Arial" w:cs="Arial"/>
        </w:rPr>
        <w:t xml:space="preserve">Nestes </w:t>
      </w:r>
      <w:r w:rsidR="00492B9A" w:rsidRPr="00F04D2A">
        <w:rPr>
          <w:rFonts w:ascii="Arial" w:hAnsi="Arial" w:cs="Arial"/>
        </w:rPr>
        <w:t>Termos</w:t>
      </w:r>
      <w:r>
        <w:rPr>
          <w:rFonts w:ascii="Arial" w:hAnsi="Arial" w:cs="Arial"/>
        </w:rPr>
        <w:t>,</w:t>
      </w:r>
      <w:r w:rsidR="00492B9A" w:rsidRPr="00F04D2A">
        <w:rPr>
          <w:rFonts w:ascii="Arial" w:hAnsi="Arial" w:cs="Arial"/>
        </w:rPr>
        <w:t xml:space="preserve"> </w:t>
      </w:r>
    </w:p>
    <w:p w14:paraId="201429B9" w14:textId="35517F89" w:rsidR="00492B9A" w:rsidRDefault="005B3257" w:rsidP="00054CF2">
      <w:pPr>
        <w:ind w:firstLine="708"/>
        <w:rPr>
          <w:rFonts w:ascii="Arial" w:hAnsi="Arial" w:cs="Arial"/>
        </w:rPr>
      </w:pPr>
      <w:r>
        <w:rPr>
          <w:rFonts w:ascii="Arial" w:hAnsi="Arial" w:cs="Arial"/>
        </w:rPr>
        <w:lastRenderedPageBreak/>
        <w:t>P</w:t>
      </w:r>
      <w:r w:rsidR="00492B9A" w:rsidRPr="00F04D2A">
        <w:rPr>
          <w:rFonts w:ascii="Arial" w:hAnsi="Arial" w:cs="Arial"/>
        </w:rPr>
        <w:t>ede deferimento.</w:t>
      </w:r>
    </w:p>
    <w:p w14:paraId="380FE756" w14:textId="552AA36F" w:rsidR="00F42E44" w:rsidRDefault="00F42E44" w:rsidP="002C4902">
      <w:pPr>
        <w:ind w:firstLine="0"/>
        <w:rPr>
          <w:rFonts w:ascii="Arial" w:hAnsi="Arial" w:cs="Arial"/>
        </w:rPr>
      </w:pPr>
    </w:p>
    <w:p w14:paraId="748CDD6B" w14:textId="43296A08" w:rsidR="00F17679" w:rsidRDefault="00F17679" w:rsidP="00054CF2">
      <w:pPr>
        <w:ind w:firstLine="708"/>
        <w:rPr>
          <w:rFonts w:ascii="Arial" w:hAnsi="Arial" w:cs="Arial"/>
        </w:rPr>
      </w:pPr>
      <w:r w:rsidRPr="005B3257">
        <w:rPr>
          <w:rFonts w:ascii="Arial" w:hAnsi="Arial" w:cs="Arial"/>
        </w:rPr>
        <w:t xml:space="preserve">Campo Grande/MS, </w:t>
      </w:r>
      <w:r w:rsidR="00DE3020">
        <w:rPr>
          <w:rFonts w:ascii="Arial" w:hAnsi="Arial" w:cs="Arial"/>
        </w:rPr>
        <w:t>25</w:t>
      </w:r>
      <w:r w:rsidRPr="005B3257">
        <w:rPr>
          <w:rFonts w:ascii="Arial" w:hAnsi="Arial" w:cs="Arial"/>
        </w:rPr>
        <w:t xml:space="preserve"> de </w:t>
      </w:r>
      <w:r w:rsidR="00AC2931">
        <w:rPr>
          <w:rFonts w:ascii="Arial" w:hAnsi="Arial" w:cs="Arial"/>
        </w:rPr>
        <w:t>abril</w:t>
      </w:r>
      <w:r w:rsidRPr="005B3257">
        <w:rPr>
          <w:rFonts w:ascii="Arial" w:hAnsi="Arial" w:cs="Arial"/>
        </w:rPr>
        <w:t xml:space="preserve"> de </w:t>
      </w:r>
      <w:r w:rsidR="00AC2931">
        <w:rPr>
          <w:rFonts w:ascii="Arial" w:hAnsi="Arial" w:cs="Arial"/>
        </w:rPr>
        <w:t>2024</w:t>
      </w:r>
      <w:r w:rsidRPr="005B3257">
        <w:rPr>
          <w:rFonts w:ascii="Arial" w:hAnsi="Arial" w:cs="Arial"/>
        </w:rPr>
        <w:t>.</w:t>
      </w:r>
    </w:p>
    <w:p w14:paraId="6628BE4A" w14:textId="77777777" w:rsidR="00EC478E" w:rsidRDefault="00EC478E" w:rsidP="00054CF2">
      <w:pPr>
        <w:ind w:firstLine="708"/>
        <w:rPr>
          <w:rFonts w:ascii="Arial" w:hAnsi="Arial" w:cs="Arial"/>
        </w:rPr>
      </w:pPr>
    </w:p>
    <w:p w14:paraId="12248AAD" w14:textId="77777777" w:rsidR="00EC478E" w:rsidRDefault="00EC478E" w:rsidP="00054CF2">
      <w:pPr>
        <w:ind w:firstLine="708"/>
        <w:rPr>
          <w:rFonts w:ascii="Arial" w:hAnsi="Arial" w:cs="Arial"/>
        </w:rPr>
      </w:pPr>
    </w:p>
    <w:p w14:paraId="233DDCF1" w14:textId="77777777" w:rsidR="00F64315" w:rsidRDefault="00F64315" w:rsidP="00F64315">
      <w:pPr>
        <w:pStyle w:val="PargrafodaLista"/>
        <w:jc w:val="center"/>
        <w:rPr>
          <w:rFonts w:ascii="Arial" w:hAnsi="Arial" w:cs="Arial"/>
        </w:rPr>
      </w:pPr>
    </w:p>
    <w:p w14:paraId="38E403A7" w14:textId="535506B5" w:rsidR="00F64315" w:rsidRPr="00D66AA8" w:rsidRDefault="00F64315" w:rsidP="00D66AA8">
      <w:pPr>
        <w:pStyle w:val="PargrafodaLista"/>
        <w:ind w:left="0" w:firstLine="0"/>
        <w:jc w:val="center"/>
        <w:rPr>
          <w:rFonts w:ascii="Arial" w:hAnsi="Arial" w:cs="Arial"/>
          <w:b/>
          <w:bCs/>
        </w:rPr>
      </w:pPr>
      <w:r w:rsidRPr="00D66AA8">
        <w:rPr>
          <w:rFonts w:ascii="Arial" w:hAnsi="Arial" w:cs="Arial"/>
          <w:b/>
          <w:bCs/>
        </w:rPr>
        <w:t>___________________________________</w:t>
      </w:r>
    </w:p>
    <w:p w14:paraId="5F2CB0B3" w14:textId="1751D1A2" w:rsidR="00F64315" w:rsidRPr="00D66AA8" w:rsidRDefault="00F64315" w:rsidP="00D66AA8">
      <w:pPr>
        <w:pStyle w:val="PargrafodaLista"/>
        <w:ind w:left="0" w:firstLine="0"/>
        <w:jc w:val="center"/>
        <w:rPr>
          <w:rFonts w:ascii="Arial" w:hAnsi="Arial" w:cs="Arial"/>
          <w:b/>
          <w:bCs/>
        </w:rPr>
      </w:pPr>
      <w:r w:rsidRPr="00D66AA8">
        <w:rPr>
          <w:rFonts w:ascii="Arial" w:hAnsi="Arial" w:cs="Arial"/>
          <w:b/>
          <w:bCs/>
        </w:rPr>
        <w:t>DOUGLAS DOS SANTOS PEREIRA</w:t>
      </w:r>
    </w:p>
    <w:p w14:paraId="5083A02A" w14:textId="77777777" w:rsidR="00F64315" w:rsidRPr="00D66AA8" w:rsidRDefault="00F64315" w:rsidP="00D66AA8">
      <w:pPr>
        <w:pStyle w:val="PargrafodaLista"/>
        <w:ind w:left="0" w:firstLine="0"/>
        <w:jc w:val="center"/>
        <w:rPr>
          <w:rFonts w:ascii="Arial" w:hAnsi="Arial" w:cs="Arial"/>
          <w:b/>
          <w:bCs/>
        </w:rPr>
      </w:pPr>
      <w:r w:rsidRPr="00D66AA8">
        <w:rPr>
          <w:rFonts w:ascii="Arial" w:hAnsi="Arial" w:cs="Arial"/>
          <w:b/>
          <w:bCs/>
        </w:rPr>
        <w:t>Sócio Proprietário</w:t>
      </w:r>
    </w:p>
    <w:p w14:paraId="0BB6D05F" w14:textId="3757605E" w:rsidR="00F64315" w:rsidRPr="0078556A" w:rsidRDefault="00F64315" w:rsidP="00D66AA8">
      <w:pPr>
        <w:pStyle w:val="PargrafodaLista"/>
        <w:ind w:left="0" w:firstLine="0"/>
        <w:jc w:val="center"/>
        <w:rPr>
          <w:rFonts w:ascii="Arial" w:hAnsi="Arial" w:cs="Arial"/>
          <w:b/>
          <w:bCs/>
          <w:lang w:val="en-US"/>
        </w:rPr>
      </w:pPr>
      <w:r w:rsidRPr="0078556A">
        <w:rPr>
          <w:rFonts w:ascii="Arial" w:hAnsi="Arial" w:cs="Arial"/>
          <w:b/>
          <w:bCs/>
          <w:lang w:val="en-US"/>
        </w:rPr>
        <w:t xml:space="preserve">RG </w:t>
      </w:r>
      <w:proofErr w:type="gramStart"/>
      <w:r w:rsidR="00FC7DCC" w:rsidRPr="0078556A">
        <w:rPr>
          <w:rFonts w:ascii="Arial" w:hAnsi="Arial" w:cs="Arial"/>
          <w:b/>
          <w:bCs/>
          <w:lang w:val="en-US"/>
        </w:rPr>
        <w:t>n.º</w:t>
      </w:r>
      <w:proofErr w:type="gramEnd"/>
      <w:r w:rsidRPr="0078556A">
        <w:rPr>
          <w:rFonts w:ascii="Arial" w:hAnsi="Arial" w:cs="Arial"/>
          <w:b/>
          <w:bCs/>
          <w:lang w:val="en-US"/>
        </w:rPr>
        <w:t xml:space="preserve"> 219.950.696 SSP/SP</w:t>
      </w:r>
      <w:r w:rsidR="00DE3020" w:rsidRPr="0078556A">
        <w:rPr>
          <w:rFonts w:ascii="Arial" w:hAnsi="Arial" w:cs="Arial"/>
          <w:b/>
          <w:bCs/>
          <w:lang w:val="en-US"/>
        </w:rPr>
        <w:t xml:space="preserve"> - </w:t>
      </w:r>
      <w:r w:rsidRPr="0078556A">
        <w:rPr>
          <w:rFonts w:ascii="Arial" w:hAnsi="Arial" w:cs="Arial"/>
          <w:b/>
          <w:bCs/>
          <w:lang w:val="en-US"/>
        </w:rPr>
        <w:t xml:space="preserve">CPF </w:t>
      </w:r>
      <w:r w:rsidR="00FC7DCC" w:rsidRPr="0078556A">
        <w:rPr>
          <w:rFonts w:ascii="Arial" w:hAnsi="Arial" w:cs="Arial"/>
          <w:b/>
          <w:bCs/>
          <w:lang w:val="en-US"/>
        </w:rPr>
        <w:t>n.º</w:t>
      </w:r>
      <w:r w:rsidRPr="0078556A">
        <w:rPr>
          <w:rFonts w:ascii="Arial" w:hAnsi="Arial" w:cs="Arial"/>
          <w:b/>
          <w:bCs/>
          <w:lang w:val="en-US"/>
        </w:rPr>
        <w:t xml:space="preserve"> 109.359.268-01</w:t>
      </w:r>
    </w:p>
    <w:p w14:paraId="7F6484DB" w14:textId="77777777" w:rsidR="00F64315" w:rsidRPr="00D66AA8" w:rsidRDefault="00F64315" w:rsidP="00D66AA8">
      <w:pPr>
        <w:pStyle w:val="PargrafodaLista"/>
        <w:ind w:left="0" w:firstLine="0"/>
        <w:jc w:val="center"/>
        <w:rPr>
          <w:rFonts w:ascii="Arial" w:hAnsi="Arial" w:cs="Arial"/>
          <w:b/>
          <w:bCs/>
        </w:rPr>
      </w:pPr>
      <w:r w:rsidRPr="00D66AA8">
        <w:rPr>
          <w:rFonts w:ascii="Arial" w:hAnsi="Arial" w:cs="Arial"/>
          <w:b/>
          <w:bCs/>
        </w:rPr>
        <w:t>D. DOS SANTOS PEREIRA LTDA – EPP</w:t>
      </w:r>
    </w:p>
    <w:p w14:paraId="794D53BC" w14:textId="780E7450" w:rsidR="008C2BB6" w:rsidRPr="00D66AA8" w:rsidRDefault="00F64315" w:rsidP="00D66AA8">
      <w:pPr>
        <w:pStyle w:val="PargrafodaLista"/>
        <w:ind w:left="0" w:firstLine="0"/>
        <w:jc w:val="center"/>
        <w:rPr>
          <w:rFonts w:ascii="Arial" w:hAnsi="Arial" w:cs="Arial"/>
          <w:b/>
          <w:bCs/>
        </w:rPr>
      </w:pPr>
      <w:r w:rsidRPr="00D66AA8">
        <w:rPr>
          <w:rFonts w:ascii="Arial" w:hAnsi="Arial" w:cs="Arial"/>
          <w:b/>
          <w:bCs/>
        </w:rPr>
        <w:t>CNPJ Nº 18.713.845/0001-90</w:t>
      </w:r>
    </w:p>
    <w:sectPr w:rsidR="008C2BB6" w:rsidRPr="00D66AA8" w:rsidSect="00CE1E3A">
      <w:headerReference w:type="even" r:id="rId12"/>
      <w:headerReference w:type="default" r:id="rId13"/>
      <w:footerReference w:type="default" r:id="rId14"/>
      <w:headerReference w:type="first" r:id="rId15"/>
      <w:pgSz w:w="11906" w:h="16838" w:code="9"/>
      <w:pgMar w:top="1701" w:right="1134" w:bottom="1077" w:left="1134" w:header="85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8F346" w14:textId="77777777" w:rsidR="009A5D58" w:rsidRDefault="009A5D58" w:rsidP="00E27B36">
      <w:r>
        <w:separator/>
      </w:r>
    </w:p>
  </w:endnote>
  <w:endnote w:type="continuationSeparator" w:id="0">
    <w:p w14:paraId="329FA580" w14:textId="77777777" w:rsidR="009A5D58" w:rsidRDefault="009A5D58" w:rsidP="00E27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eelawadee">
    <w:altName w:val="Leelawadee UI"/>
    <w:panose1 w:val="020B0502040204020203"/>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FD47C" w14:textId="77777777" w:rsidR="00FA793C" w:rsidRDefault="00FA793C" w:rsidP="00A27B00">
    <w:pPr>
      <w:pStyle w:val="Rodap"/>
      <w:rPr>
        <w:rFonts w:ascii="Leelawadee" w:hAnsi="Leelawadee" w:cs="Leelawadee"/>
        <w:b/>
        <w:color w:val="3B3838" w:themeColor="background2" w:themeShade="40"/>
        <w:sz w:val="16"/>
        <w:szCs w:val="16"/>
      </w:rPr>
    </w:pPr>
  </w:p>
  <w:p w14:paraId="0071E7EE" w14:textId="256AEC3A" w:rsidR="00A9212A" w:rsidRPr="00A27B00" w:rsidRDefault="00450F46" w:rsidP="00A27B00">
    <w:pPr>
      <w:pStyle w:val="Rodap"/>
      <w:rPr>
        <w:rFonts w:ascii="Leelawadee" w:hAnsi="Leelawadee" w:cs="Leelawadee"/>
        <w:color w:val="3B3838" w:themeColor="background2" w:themeShade="40"/>
        <w:sz w:val="16"/>
        <w:szCs w:val="16"/>
      </w:rPr>
    </w:pPr>
    <w:r>
      <w:rPr>
        <w:rFonts w:ascii="Leelawadee" w:hAnsi="Leelawadee" w:cs="Leelawadee"/>
        <w:b/>
        <w:noProof/>
        <w:color w:val="E7E6E6" w:themeColor="background2"/>
        <w:sz w:val="16"/>
        <w:szCs w:val="16"/>
      </w:rPr>
      <mc:AlternateContent>
        <mc:Choice Requires="wps">
          <w:drawing>
            <wp:anchor distT="0" distB="0" distL="114300" distR="114300" simplePos="0" relativeHeight="251665408" behindDoc="0" locked="0" layoutInCell="1" allowOverlap="1" wp14:anchorId="11C7E175" wp14:editId="727EF8A3">
              <wp:simplePos x="0" y="0"/>
              <wp:positionH relativeFrom="column">
                <wp:posOffset>-3810</wp:posOffset>
              </wp:positionH>
              <wp:positionV relativeFrom="paragraph">
                <wp:posOffset>-54610</wp:posOffset>
              </wp:positionV>
              <wp:extent cx="5400040" cy="36195"/>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3619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91AD7" id="Retângulo 5" o:spid="_x0000_s1026" style="position:absolute;margin-left:-.3pt;margin-top:-4.3pt;width:425.2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" fillcolor="#404040 [2429]" stroked="f" strokeweight="1pt"/>
          </w:pict>
        </mc:Fallback>
      </mc:AlternateContent>
    </w:r>
    <w:r w:rsidR="00A9212A" w:rsidRPr="00A27B00">
      <w:rPr>
        <w:rFonts w:ascii="Leelawadee" w:hAnsi="Leelawadee" w:cs="Leelawadee"/>
        <w:b/>
        <w:color w:val="3B3838" w:themeColor="background2" w:themeShade="40"/>
        <w:sz w:val="16"/>
        <w:szCs w:val="16"/>
      </w:rPr>
      <w:t xml:space="preserve">D. DOS SANTOS PEREIRA </w:t>
    </w:r>
    <w:r w:rsidR="00FC7DCC">
      <w:rPr>
        <w:rFonts w:ascii="Leelawadee" w:hAnsi="Leelawadee" w:cs="Leelawadee"/>
        <w:b/>
        <w:color w:val="3B3838" w:themeColor="background2" w:themeShade="40"/>
        <w:sz w:val="16"/>
        <w:szCs w:val="16"/>
      </w:rPr>
      <w:t>L</w:t>
    </w:r>
    <w:r w:rsidR="007C547A">
      <w:rPr>
        <w:rFonts w:ascii="Leelawadee" w:hAnsi="Leelawadee" w:cs="Leelawadee"/>
        <w:b/>
        <w:color w:val="3B3838" w:themeColor="background2" w:themeShade="40"/>
        <w:sz w:val="16"/>
        <w:szCs w:val="16"/>
      </w:rPr>
      <w:t>TDA</w:t>
    </w:r>
    <w:r w:rsidR="00A9212A">
      <w:rPr>
        <w:rFonts w:ascii="Leelawadee" w:hAnsi="Leelawadee" w:cs="Leelawadee"/>
        <w:b/>
        <w:color w:val="3B3838" w:themeColor="background2" w:themeShade="40"/>
        <w:sz w:val="16"/>
        <w:szCs w:val="16"/>
      </w:rPr>
      <w:t xml:space="preserve"> </w:t>
    </w:r>
    <w:r w:rsidR="00A9212A" w:rsidRPr="00A27B00">
      <w:rPr>
        <w:rFonts w:ascii="Leelawadee" w:hAnsi="Leelawadee" w:cs="Leelawadee"/>
        <w:color w:val="3B3838" w:themeColor="background2" w:themeShade="40"/>
        <w:sz w:val="16"/>
        <w:szCs w:val="16"/>
      </w:rPr>
      <w:t>– CNPJ: 18.713.845/0001-90</w:t>
    </w:r>
  </w:p>
  <w:p w14:paraId="2CDB34DB" w14:textId="77777777" w:rsidR="00A9212A" w:rsidRPr="00A27B00" w:rsidRDefault="00A9212A" w:rsidP="00A27B00">
    <w:pPr>
      <w:pStyle w:val="Rodap"/>
      <w:rPr>
        <w:rFonts w:ascii="Leelawadee" w:hAnsi="Leelawadee" w:cs="Leelawadee"/>
        <w:color w:val="3B3838" w:themeColor="background2" w:themeShade="40"/>
        <w:sz w:val="16"/>
        <w:szCs w:val="16"/>
      </w:rPr>
    </w:pPr>
    <w:r w:rsidRPr="00A27B00">
      <w:rPr>
        <w:rFonts w:ascii="Leelawadee" w:hAnsi="Leelawadee" w:cs="Leelawadee"/>
        <w:color w:val="3B3838" w:themeColor="background2" w:themeShade="40"/>
        <w:sz w:val="16"/>
        <w:szCs w:val="16"/>
      </w:rPr>
      <w:t xml:space="preserve">Av. Eduardo Elias </w:t>
    </w:r>
    <w:proofErr w:type="spellStart"/>
    <w:r w:rsidRPr="00A27B00">
      <w:rPr>
        <w:rFonts w:ascii="Leelawadee" w:hAnsi="Leelawadee" w:cs="Leelawadee"/>
        <w:color w:val="3B3838" w:themeColor="background2" w:themeShade="40"/>
        <w:sz w:val="16"/>
        <w:szCs w:val="16"/>
      </w:rPr>
      <w:t>Zahran</w:t>
    </w:r>
    <w:proofErr w:type="spellEnd"/>
    <w:r w:rsidRPr="00A27B00">
      <w:rPr>
        <w:rFonts w:ascii="Leelawadee" w:hAnsi="Leelawadee" w:cs="Leelawadee"/>
        <w:color w:val="3B3838" w:themeColor="background2" w:themeShade="40"/>
        <w:sz w:val="16"/>
        <w:szCs w:val="16"/>
      </w:rPr>
      <w:t>, 3032, Sala 17, Jd. São Lourenço, Campo Grande/MS</w:t>
    </w:r>
  </w:p>
  <w:p w14:paraId="70879384" w14:textId="77777777" w:rsidR="00A9212A" w:rsidRPr="00A27B00" w:rsidRDefault="00A9212A" w:rsidP="00A27B00">
    <w:pPr>
      <w:pStyle w:val="Rodap"/>
      <w:rPr>
        <w:rFonts w:ascii="Leelawadee" w:hAnsi="Leelawadee" w:cs="Leelawadee"/>
        <w:color w:val="3B3838" w:themeColor="background2" w:themeShade="40"/>
        <w:sz w:val="16"/>
        <w:szCs w:val="16"/>
      </w:rPr>
    </w:pPr>
    <w:r w:rsidRPr="00A27B00">
      <w:rPr>
        <w:rFonts w:ascii="Leelawadee" w:hAnsi="Leelawadee" w:cs="Leelawadee"/>
        <w:color w:val="3B3838" w:themeColor="background2" w:themeShade="40"/>
        <w:sz w:val="16"/>
        <w:szCs w:val="16"/>
      </w:rPr>
      <w:t>67| 30</w:t>
    </w:r>
    <w:r>
      <w:rPr>
        <w:rFonts w:ascii="Leelawadee" w:hAnsi="Leelawadee" w:cs="Leelawadee"/>
        <w:color w:val="3B3838" w:themeColor="background2" w:themeShade="40"/>
        <w:sz w:val="16"/>
        <w:szCs w:val="16"/>
      </w:rPr>
      <w:t>4</w:t>
    </w:r>
    <w:r w:rsidRPr="00A27B00">
      <w:rPr>
        <w:rFonts w:ascii="Leelawadee" w:hAnsi="Leelawadee" w:cs="Leelawadee"/>
        <w:color w:val="3B3838" w:themeColor="background2" w:themeShade="40"/>
        <w:sz w:val="16"/>
        <w:szCs w:val="16"/>
      </w:rPr>
      <w:t>2 1263 – topxtopografia@gmail.com</w:t>
    </w:r>
  </w:p>
  <w:p w14:paraId="1C33321E" w14:textId="77777777" w:rsidR="00A9212A" w:rsidRPr="00A27B00" w:rsidRDefault="00A9212A" w:rsidP="00A27B00">
    <w:pPr>
      <w:pStyle w:val="Rodap"/>
      <w:rPr>
        <w:rFonts w:ascii="Leelawadee" w:hAnsi="Leelawadee" w:cs="Leelawadee"/>
        <w:color w:val="3B3838" w:themeColor="background2" w:themeShade="40"/>
        <w:sz w:val="16"/>
        <w:szCs w:val="16"/>
      </w:rPr>
    </w:pPr>
    <w:r w:rsidRPr="00A27B00">
      <w:rPr>
        <w:rFonts w:ascii="Leelawadee" w:hAnsi="Leelawadee" w:cs="Leelawadee"/>
        <w:color w:val="3B3838" w:themeColor="background2" w:themeShade="40"/>
        <w:sz w:val="16"/>
        <w:szCs w:val="16"/>
      </w:rPr>
      <w:t>www.topxtopografia.com.br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864D5" w14:textId="77777777" w:rsidR="009A5D58" w:rsidRDefault="009A5D58" w:rsidP="00E27B36">
      <w:r>
        <w:separator/>
      </w:r>
    </w:p>
  </w:footnote>
  <w:footnote w:type="continuationSeparator" w:id="0">
    <w:p w14:paraId="727E551D" w14:textId="77777777" w:rsidR="009A5D58" w:rsidRDefault="009A5D58" w:rsidP="00E27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8CAF1" w14:textId="77777777" w:rsidR="00A9212A" w:rsidRDefault="009A5D58">
    <w:pPr>
      <w:pStyle w:val="Cabealho"/>
    </w:pPr>
    <w:r>
      <w:rPr>
        <w:noProof/>
      </w:rPr>
      <w:pict w14:anchorId="7F3AB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09317" o:spid="_x0000_s1027" type="#_x0000_t75" alt="fundo" style="position:absolute;left:0;text-align:left;margin-left:0;margin-top:0;width:595.45pt;height:842.15pt;z-index:-251649024;mso-wrap-edited:f;mso-width-percent:0;mso-height-percent:0;mso-position-horizontal:center;mso-position-horizontal-relative:margin;mso-position-vertical:center;mso-position-vertical-relative:margin;mso-width-percent:0;mso-height-percent:0" o:allowincell="f">
          <v:imagedata r:id="rId1" o:title="fun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9A471" w14:textId="77777777" w:rsidR="00A9212A" w:rsidRDefault="00A9212A">
    <w:pPr>
      <w:pStyle w:val="Cabealho"/>
    </w:pPr>
    <w:r>
      <w:rPr>
        <w:noProof/>
      </w:rPr>
      <w:drawing>
        <wp:anchor distT="0" distB="0" distL="114300" distR="114300" simplePos="0" relativeHeight="251661312" behindDoc="0" locked="0" layoutInCell="1" allowOverlap="1" wp14:anchorId="09DA24FC" wp14:editId="10C980D6">
          <wp:simplePos x="0" y="0"/>
          <wp:positionH relativeFrom="margin">
            <wp:align>right</wp:align>
          </wp:positionH>
          <wp:positionV relativeFrom="paragraph">
            <wp:posOffset>-182880</wp:posOffset>
          </wp:positionV>
          <wp:extent cx="1800000" cy="61545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OPX 2018.png"/>
                  <pic:cNvPicPr/>
                </pic:nvPicPr>
                <pic:blipFill>
                  <a:blip r:embed="rId1">
                    <a:extLst>
                      <a:ext uri="{28A0092B-C50C-407E-A947-70E740481C1C}">
                        <a14:useLocalDpi xmlns:a14="http://schemas.microsoft.com/office/drawing/2010/main" val="0"/>
                      </a:ext>
                    </a:extLst>
                  </a:blip>
                  <a:stretch>
                    <a:fillRect/>
                  </a:stretch>
                </pic:blipFill>
                <pic:spPr>
                  <a:xfrm>
                    <a:off x="0" y="0"/>
                    <a:ext cx="1800000" cy="615455"/>
                  </a:xfrm>
                  <a:prstGeom prst="rect">
                    <a:avLst/>
                  </a:prstGeom>
                </pic:spPr>
              </pic:pic>
            </a:graphicData>
          </a:graphic>
        </wp:anchor>
      </w:drawing>
    </w:r>
    <w:r w:rsidR="009A5D58">
      <w:rPr>
        <w:noProof/>
      </w:rPr>
      <w:pict w14:anchorId="1D604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09318" o:spid="_x0000_s1026" type="#_x0000_t75" alt="fundo" style="position:absolute;left:0;text-align:left;margin-left:-85.2pt;margin-top:-85pt;width:595.45pt;height:842.15pt;z-index:-251648000;mso-wrap-edited:f;mso-width-percent:0;mso-height-percent:0;mso-position-horizontal-relative:margin;mso-position-vertical-relative:margin;mso-width-percent:0;mso-height-percent:0" o:allowincell="f">
          <v:imagedata r:id="rId2" o:title="fun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EC1C5" w14:textId="77777777" w:rsidR="00A9212A" w:rsidRDefault="009A5D58">
    <w:pPr>
      <w:pStyle w:val="Cabealho"/>
    </w:pPr>
    <w:r>
      <w:rPr>
        <w:noProof/>
      </w:rPr>
      <w:pict w14:anchorId="5A1BC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09316" o:spid="_x0000_s1025" type="#_x0000_t75" alt="fundo" style="position:absolute;left:0;text-align:left;margin-left:0;margin-top:0;width:595.45pt;height:842.15pt;z-index:-251650048;mso-wrap-edited:f;mso-width-percent:0;mso-height-percent:0;mso-position-horizontal:center;mso-position-horizontal-relative:margin;mso-position-vertical:center;mso-position-vertical-relative:margin;mso-width-percent:0;mso-height-percent:0" o:allowincell="f">
          <v:imagedata r:id="rId1" o:title="fun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B27F8"/>
    <w:multiLevelType w:val="hybridMultilevel"/>
    <w:tmpl w:val="0ED8FA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834A49"/>
    <w:multiLevelType w:val="hybridMultilevel"/>
    <w:tmpl w:val="B2CCC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C0E4B0E"/>
    <w:multiLevelType w:val="hybridMultilevel"/>
    <w:tmpl w:val="4D485532"/>
    <w:lvl w:ilvl="0" w:tplc="849E1A18">
      <w:start w:val="1"/>
      <w:numFmt w:val="lowerLetter"/>
      <w:lvlText w:val="%1)"/>
      <w:lvlJc w:val="left"/>
      <w:pPr>
        <w:ind w:left="720" w:hanging="360"/>
      </w:pPr>
      <w:rPr>
        <w:rFonts w:ascii="Arial" w:eastAsia="Times New Roman" w:hAnsi="Arial" w:cs="Arial"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37943D6"/>
    <w:multiLevelType w:val="hybridMultilevel"/>
    <w:tmpl w:val="2C482B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54889686">
    <w:abstractNumId w:val="0"/>
  </w:num>
  <w:num w:numId="2" w16cid:durableId="1526213389">
    <w:abstractNumId w:val="1"/>
  </w:num>
  <w:num w:numId="3" w16cid:durableId="369300789">
    <w:abstractNumId w:val="3"/>
  </w:num>
  <w:num w:numId="4" w16cid:durableId="1488981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36"/>
    <w:rsid w:val="00001195"/>
    <w:rsid w:val="00001BEC"/>
    <w:rsid w:val="00006595"/>
    <w:rsid w:val="000075A3"/>
    <w:rsid w:val="000127D7"/>
    <w:rsid w:val="00014415"/>
    <w:rsid w:val="000328E6"/>
    <w:rsid w:val="00034D92"/>
    <w:rsid w:val="00044B82"/>
    <w:rsid w:val="000455E3"/>
    <w:rsid w:val="00054CF2"/>
    <w:rsid w:val="000578FA"/>
    <w:rsid w:val="00070BCD"/>
    <w:rsid w:val="00070E41"/>
    <w:rsid w:val="00071FED"/>
    <w:rsid w:val="00073905"/>
    <w:rsid w:val="000803F3"/>
    <w:rsid w:val="000918A8"/>
    <w:rsid w:val="000A12D2"/>
    <w:rsid w:val="000B03C1"/>
    <w:rsid w:val="000B6823"/>
    <w:rsid w:val="000C3767"/>
    <w:rsid w:val="000D3FD6"/>
    <w:rsid w:val="000E4ED9"/>
    <w:rsid w:val="001006DF"/>
    <w:rsid w:val="001029DE"/>
    <w:rsid w:val="001054E8"/>
    <w:rsid w:val="001069F2"/>
    <w:rsid w:val="001202E3"/>
    <w:rsid w:val="00126FD2"/>
    <w:rsid w:val="001301C7"/>
    <w:rsid w:val="00151B65"/>
    <w:rsid w:val="001647A3"/>
    <w:rsid w:val="00170449"/>
    <w:rsid w:val="00173476"/>
    <w:rsid w:val="00173645"/>
    <w:rsid w:val="00175F51"/>
    <w:rsid w:val="001A46E8"/>
    <w:rsid w:val="001B05E3"/>
    <w:rsid w:val="001C4841"/>
    <w:rsid w:val="001D7C90"/>
    <w:rsid w:val="001E2CB9"/>
    <w:rsid w:val="001E3D86"/>
    <w:rsid w:val="00204525"/>
    <w:rsid w:val="002100F1"/>
    <w:rsid w:val="00210619"/>
    <w:rsid w:val="00211C57"/>
    <w:rsid w:val="0021236C"/>
    <w:rsid w:val="00230A9C"/>
    <w:rsid w:val="0023163E"/>
    <w:rsid w:val="00236626"/>
    <w:rsid w:val="00250565"/>
    <w:rsid w:val="00257DC2"/>
    <w:rsid w:val="002606C0"/>
    <w:rsid w:val="00261047"/>
    <w:rsid w:val="00263DA6"/>
    <w:rsid w:val="00285201"/>
    <w:rsid w:val="00285949"/>
    <w:rsid w:val="002872C5"/>
    <w:rsid w:val="002A773D"/>
    <w:rsid w:val="002B76DA"/>
    <w:rsid w:val="002B7831"/>
    <w:rsid w:val="002B7966"/>
    <w:rsid w:val="002C4243"/>
    <w:rsid w:val="002C4902"/>
    <w:rsid w:val="002D2295"/>
    <w:rsid w:val="002D508D"/>
    <w:rsid w:val="002E09BA"/>
    <w:rsid w:val="002E3E26"/>
    <w:rsid w:val="002F2155"/>
    <w:rsid w:val="002F2473"/>
    <w:rsid w:val="002F5220"/>
    <w:rsid w:val="002F52C2"/>
    <w:rsid w:val="00313F46"/>
    <w:rsid w:val="00315BC7"/>
    <w:rsid w:val="003211DA"/>
    <w:rsid w:val="00327121"/>
    <w:rsid w:val="003354E2"/>
    <w:rsid w:val="00350241"/>
    <w:rsid w:val="003551ED"/>
    <w:rsid w:val="00357439"/>
    <w:rsid w:val="0036254B"/>
    <w:rsid w:val="00362ABD"/>
    <w:rsid w:val="00367852"/>
    <w:rsid w:val="0037328A"/>
    <w:rsid w:val="00373601"/>
    <w:rsid w:val="00375DE2"/>
    <w:rsid w:val="003979F4"/>
    <w:rsid w:val="003A3739"/>
    <w:rsid w:val="003B2C51"/>
    <w:rsid w:val="003B7021"/>
    <w:rsid w:val="003B773D"/>
    <w:rsid w:val="003C0866"/>
    <w:rsid w:val="003C1A4B"/>
    <w:rsid w:val="003D1938"/>
    <w:rsid w:val="003D43AB"/>
    <w:rsid w:val="003E7F9F"/>
    <w:rsid w:val="003F0549"/>
    <w:rsid w:val="003F6CEC"/>
    <w:rsid w:val="00403721"/>
    <w:rsid w:val="00404806"/>
    <w:rsid w:val="00415197"/>
    <w:rsid w:val="004159CD"/>
    <w:rsid w:val="00415A04"/>
    <w:rsid w:val="00416FF4"/>
    <w:rsid w:val="004170AE"/>
    <w:rsid w:val="00424B98"/>
    <w:rsid w:val="00425C44"/>
    <w:rsid w:val="00436B57"/>
    <w:rsid w:val="00436C84"/>
    <w:rsid w:val="00450ABF"/>
    <w:rsid w:val="00450F46"/>
    <w:rsid w:val="0045172E"/>
    <w:rsid w:val="00460137"/>
    <w:rsid w:val="00463CD4"/>
    <w:rsid w:val="00467EDA"/>
    <w:rsid w:val="0048630F"/>
    <w:rsid w:val="00492B9A"/>
    <w:rsid w:val="00492BEA"/>
    <w:rsid w:val="00493B3B"/>
    <w:rsid w:val="0049722E"/>
    <w:rsid w:val="004A51DE"/>
    <w:rsid w:val="004A6963"/>
    <w:rsid w:val="004C0A67"/>
    <w:rsid w:val="004C74F6"/>
    <w:rsid w:val="004D2949"/>
    <w:rsid w:val="004D61BE"/>
    <w:rsid w:val="004E1D08"/>
    <w:rsid w:val="004E3531"/>
    <w:rsid w:val="004E48A9"/>
    <w:rsid w:val="004E56FA"/>
    <w:rsid w:val="004F137E"/>
    <w:rsid w:val="00500438"/>
    <w:rsid w:val="005018BA"/>
    <w:rsid w:val="00506D19"/>
    <w:rsid w:val="005119FB"/>
    <w:rsid w:val="0051249F"/>
    <w:rsid w:val="005136CC"/>
    <w:rsid w:val="00516961"/>
    <w:rsid w:val="00520EF1"/>
    <w:rsid w:val="00527AE7"/>
    <w:rsid w:val="005332D2"/>
    <w:rsid w:val="00535029"/>
    <w:rsid w:val="005353B7"/>
    <w:rsid w:val="00537298"/>
    <w:rsid w:val="00540CB2"/>
    <w:rsid w:val="00544207"/>
    <w:rsid w:val="005474C9"/>
    <w:rsid w:val="005722C5"/>
    <w:rsid w:val="00580772"/>
    <w:rsid w:val="00583568"/>
    <w:rsid w:val="005852EB"/>
    <w:rsid w:val="00587903"/>
    <w:rsid w:val="00587EFC"/>
    <w:rsid w:val="00590F2E"/>
    <w:rsid w:val="00594663"/>
    <w:rsid w:val="005B27B9"/>
    <w:rsid w:val="005B3257"/>
    <w:rsid w:val="005B6CEB"/>
    <w:rsid w:val="005C6FFE"/>
    <w:rsid w:val="005D0D7F"/>
    <w:rsid w:val="005D11B0"/>
    <w:rsid w:val="005E31CF"/>
    <w:rsid w:val="005F6997"/>
    <w:rsid w:val="005F7B0F"/>
    <w:rsid w:val="00616669"/>
    <w:rsid w:val="00617506"/>
    <w:rsid w:val="00623D77"/>
    <w:rsid w:val="00633D26"/>
    <w:rsid w:val="00635934"/>
    <w:rsid w:val="00646BE7"/>
    <w:rsid w:val="00654A49"/>
    <w:rsid w:val="00662594"/>
    <w:rsid w:val="006653F5"/>
    <w:rsid w:val="0067249D"/>
    <w:rsid w:val="00677AFA"/>
    <w:rsid w:val="006925F4"/>
    <w:rsid w:val="00693A8A"/>
    <w:rsid w:val="006A7C23"/>
    <w:rsid w:val="006C1163"/>
    <w:rsid w:val="006D3158"/>
    <w:rsid w:val="006D54E4"/>
    <w:rsid w:val="006E1AEB"/>
    <w:rsid w:val="006E1B54"/>
    <w:rsid w:val="006F2F26"/>
    <w:rsid w:val="006F3944"/>
    <w:rsid w:val="006F5E3C"/>
    <w:rsid w:val="0070068A"/>
    <w:rsid w:val="0070198A"/>
    <w:rsid w:val="007068EC"/>
    <w:rsid w:val="00732E69"/>
    <w:rsid w:val="00750836"/>
    <w:rsid w:val="0075649C"/>
    <w:rsid w:val="00757DC0"/>
    <w:rsid w:val="00761CF8"/>
    <w:rsid w:val="00762434"/>
    <w:rsid w:val="00770DFA"/>
    <w:rsid w:val="00774994"/>
    <w:rsid w:val="0078288C"/>
    <w:rsid w:val="007838C0"/>
    <w:rsid w:val="0078556A"/>
    <w:rsid w:val="00790AC2"/>
    <w:rsid w:val="007951A8"/>
    <w:rsid w:val="007A71CE"/>
    <w:rsid w:val="007B23FD"/>
    <w:rsid w:val="007B3498"/>
    <w:rsid w:val="007C547A"/>
    <w:rsid w:val="007C56A7"/>
    <w:rsid w:val="007C7885"/>
    <w:rsid w:val="007D4CA3"/>
    <w:rsid w:val="007E0D0E"/>
    <w:rsid w:val="007E3788"/>
    <w:rsid w:val="007F76D6"/>
    <w:rsid w:val="008029AF"/>
    <w:rsid w:val="00807837"/>
    <w:rsid w:val="00812641"/>
    <w:rsid w:val="00813358"/>
    <w:rsid w:val="00816689"/>
    <w:rsid w:val="00820C3E"/>
    <w:rsid w:val="008228AE"/>
    <w:rsid w:val="00824851"/>
    <w:rsid w:val="00824DD0"/>
    <w:rsid w:val="008272A2"/>
    <w:rsid w:val="00837755"/>
    <w:rsid w:val="0084385B"/>
    <w:rsid w:val="00845602"/>
    <w:rsid w:val="00860298"/>
    <w:rsid w:val="0086324B"/>
    <w:rsid w:val="008838B1"/>
    <w:rsid w:val="008A1255"/>
    <w:rsid w:val="008A2C31"/>
    <w:rsid w:val="008A32C1"/>
    <w:rsid w:val="008B6D5E"/>
    <w:rsid w:val="008C017B"/>
    <w:rsid w:val="008C0C84"/>
    <w:rsid w:val="008C2BB6"/>
    <w:rsid w:val="008D3642"/>
    <w:rsid w:val="0090561D"/>
    <w:rsid w:val="0090652D"/>
    <w:rsid w:val="00912A5D"/>
    <w:rsid w:val="00920354"/>
    <w:rsid w:val="0095097E"/>
    <w:rsid w:val="00951245"/>
    <w:rsid w:val="009548FF"/>
    <w:rsid w:val="009564D5"/>
    <w:rsid w:val="009565D1"/>
    <w:rsid w:val="00967721"/>
    <w:rsid w:val="0097569A"/>
    <w:rsid w:val="009760F6"/>
    <w:rsid w:val="00981EDF"/>
    <w:rsid w:val="00985DC9"/>
    <w:rsid w:val="009874A6"/>
    <w:rsid w:val="00993B34"/>
    <w:rsid w:val="00994207"/>
    <w:rsid w:val="009A16BF"/>
    <w:rsid w:val="009A41E9"/>
    <w:rsid w:val="009A4408"/>
    <w:rsid w:val="009A4B44"/>
    <w:rsid w:val="009A5D58"/>
    <w:rsid w:val="009C2011"/>
    <w:rsid w:val="009C2E96"/>
    <w:rsid w:val="009C6B9E"/>
    <w:rsid w:val="009D2C4F"/>
    <w:rsid w:val="009D6090"/>
    <w:rsid w:val="009E22F8"/>
    <w:rsid w:val="009F5E3D"/>
    <w:rsid w:val="00A028C0"/>
    <w:rsid w:val="00A02B5E"/>
    <w:rsid w:val="00A07EC7"/>
    <w:rsid w:val="00A175E5"/>
    <w:rsid w:val="00A22020"/>
    <w:rsid w:val="00A277F1"/>
    <w:rsid w:val="00A27B00"/>
    <w:rsid w:val="00A31C15"/>
    <w:rsid w:val="00A56F31"/>
    <w:rsid w:val="00A67016"/>
    <w:rsid w:val="00A7712B"/>
    <w:rsid w:val="00A7723E"/>
    <w:rsid w:val="00A812ED"/>
    <w:rsid w:val="00A84E42"/>
    <w:rsid w:val="00A9212A"/>
    <w:rsid w:val="00A9321B"/>
    <w:rsid w:val="00A94381"/>
    <w:rsid w:val="00AA2C65"/>
    <w:rsid w:val="00AA3B92"/>
    <w:rsid w:val="00AA5CE5"/>
    <w:rsid w:val="00AC2931"/>
    <w:rsid w:val="00AC6AB8"/>
    <w:rsid w:val="00AC73C3"/>
    <w:rsid w:val="00AD49FC"/>
    <w:rsid w:val="00AE5660"/>
    <w:rsid w:val="00AE6B6A"/>
    <w:rsid w:val="00AE7145"/>
    <w:rsid w:val="00B0373E"/>
    <w:rsid w:val="00B055DC"/>
    <w:rsid w:val="00B144D3"/>
    <w:rsid w:val="00B316BF"/>
    <w:rsid w:val="00B3214C"/>
    <w:rsid w:val="00B32333"/>
    <w:rsid w:val="00B46DB4"/>
    <w:rsid w:val="00B54691"/>
    <w:rsid w:val="00B55D51"/>
    <w:rsid w:val="00B77431"/>
    <w:rsid w:val="00B83DF8"/>
    <w:rsid w:val="00B84047"/>
    <w:rsid w:val="00B9761B"/>
    <w:rsid w:val="00BB2AA9"/>
    <w:rsid w:val="00BB2E1A"/>
    <w:rsid w:val="00BB5E29"/>
    <w:rsid w:val="00BC2D8E"/>
    <w:rsid w:val="00BD0B01"/>
    <w:rsid w:val="00BD3C2A"/>
    <w:rsid w:val="00BD6941"/>
    <w:rsid w:val="00BF0457"/>
    <w:rsid w:val="00BF5F0F"/>
    <w:rsid w:val="00C006C0"/>
    <w:rsid w:val="00C07A0B"/>
    <w:rsid w:val="00C10954"/>
    <w:rsid w:val="00C16D08"/>
    <w:rsid w:val="00C31F57"/>
    <w:rsid w:val="00C372E2"/>
    <w:rsid w:val="00C443A6"/>
    <w:rsid w:val="00C44DE0"/>
    <w:rsid w:val="00C52B93"/>
    <w:rsid w:val="00C55641"/>
    <w:rsid w:val="00C57420"/>
    <w:rsid w:val="00C76FA6"/>
    <w:rsid w:val="00C803F7"/>
    <w:rsid w:val="00C86EF8"/>
    <w:rsid w:val="00C95806"/>
    <w:rsid w:val="00C95953"/>
    <w:rsid w:val="00CA0373"/>
    <w:rsid w:val="00CA2A30"/>
    <w:rsid w:val="00CA2CBE"/>
    <w:rsid w:val="00CB00C7"/>
    <w:rsid w:val="00CB0EBA"/>
    <w:rsid w:val="00CC018D"/>
    <w:rsid w:val="00CC0E67"/>
    <w:rsid w:val="00CC52E7"/>
    <w:rsid w:val="00CE1E3A"/>
    <w:rsid w:val="00CF0654"/>
    <w:rsid w:val="00CF2DD6"/>
    <w:rsid w:val="00CF3861"/>
    <w:rsid w:val="00D166E4"/>
    <w:rsid w:val="00D16A64"/>
    <w:rsid w:val="00D20491"/>
    <w:rsid w:val="00D238E1"/>
    <w:rsid w:val="00D26748"/>
    <w:rsid w:val="00D36366"/>
    <w:rsid w:val="00D461A6"/>
    <w:rsid w:val="00D514CA"/>
    <w:rsid w:val="00D51572"/>
    <w:rsid w:val="00D54352"/>
    <w:rsid w:val="00D56CBE"/>
    <w:rsid w:val="00D571DA"/>
    <w:rsid w:val="00D6414C"/>
    <w:rsid w:val="00D64600"/>
    <w:rsid w:val="00D66AA8"/>
    <w:rsid w:val="00D67F87"/>
    <w:rsid w:val="00D7044A"/>
    <w:rsid w:val="00D712FA"/>
    <w:rsid w:val="00D80A18"/>
    <w:rsid w:val="00D8334C"/>
    <w:rsid w:val="00D87835"/>
    <w:rsid w:val="00D9083C"/>
    <w:rsid w:val="00D94843"/>
    <w:rsid w:val="00D94A76"/>
    <w:rsid w:val="00D94F81"/>
    <w:rsid w:val="00DA43BC"/>
    <w:rsid w:val="00DA6981"/>
    <w:rsid w:val="00DC5BB6"/>
    <w:rsid w:val="00DC5FE3"/>
    <w:rsid w:val="00DD0C69"/>
    <w:rsid w:val="00DD1A5C"/>
    <w:rsid w:val="00DD4417"/>
    <w:rsid w:val="00DD6851"/>
    <w:rsid w:val="00DD6DD8"/>
    <w:rsid w:val="00DE3020"/>
    <w:rsid w:val="00DE46B9"/>
    <w:rsid w:val="00DF0CE4"/>
    <w:rsid w:val="00DF1395"/>
    <w:rsid w:val="00DF4A88"/>
    <w:rsid w:val="00DF5299"/>
    <w:rsid w:val="00DF76F6"/>
    <w:rsid w:val="00E06063"/>
    <w:rsid w:val="00E0747A"/>
    <w:rsid w:val="00E14738"/>
    <w:rsid w:val="00E153FA"/>
    <w:rsid w:val="00E22133"/>
    <w:rsid w:val="00E22996"/>
    <w:rsid w:val="00E2757B"/>
    <w:rsid w:val="00E27B36"/>
    <w:rsid w:val="00E31D18"/>
    <w:rsid w:val="00E35D80"/>
    <w:rsid w:val="00E36FF0"/>
    <w:rsid w:val="00E56E41"/>
    <w:rsid w:val="00E61BD2"/>
    <w:rsid w:val="00E72C18"/>
    <w:rsid w:val="00E7485B"/>
    <w:rsid w:val="00E77405"/>
    <w:rsid w:val="00E823A2"/>
    <w:rsid w:val="00E83179"/>
    <w:rsid w:val="00E96892"/>
    <w:rsid w:val="00EA0DFF"/>
    <w:rsid w:val="00EA1D99"/>
    <w:rsid w:val="00EA5B18"/>
    <w:rsid w:val="00EA6113"/>
    <w:rsid w:val="00EA6390"/>
    <w:rsid w:val="00EA65E7"/>
    <w:rsid w:val="00EB329F"/>
    <w:rsid w:val="00EB3DCD"/>
    <w:rsid w:val="00EB4BF9"/>
    <w:rsid w:val="00EC364B"/>
    <w:rsid w:val="00EC3C3F"/>
    <w:rsid w:val="00EC478E"/>
    <w:rsid w:val="00ED0372"/>
    <w:rsid w:val="00ED4686"/>
    <w:rsid w:val="00EE0DDF"/>
    <w:rsid w:val="00EE1BC0"/>
    <w:rsid w:val="00EE2C49"/>
    <w:rsid w:val="00EF02AD"/>
    <w:rsid w:val="00EF55A9"/>
    <w:rsid w:val="00EF65D0"/>
    <w:rsid w:val="00F02111"/>
    <w:rsid w:val="00F03AB9"/>
    <w:rsid w:val="00F1221B"/>
    <w:rsid w:val="00F17679"/>
    <w:rsid w:val="00F211BF"/>
    <w:rsid w:val="00F2342C"/>
    <w:rsid w:val="00F352AB"/>
    <w:rsid w:val="00F35C38"/>
    <w:rsid w:val="00F4065A"/>
    <w:rsid w:val="00F42E44"/>
    <w:rsid w:val="00F446DE"/>
    <w:rsid w:val="00F542A5"/>
    <w:rsid w:val="00F547B8"/>
    <w:rsid w:val="00F55BA8"/>
    <w:rsid w:val="00F572E2"/>
    <w:rsid w:val="00F62DA6"/>
    <w:rsid w:val="00F64315"/>
    <w:rsid w:val="00F70268"/>
    <w:rsid w:val="00F7313D"/>
    <w:rsid w:val="00F85551"/>
    <w:rsid w:val="00F85954"/>
    <w:rsid w:val="00F907AB"/>
    <w:rsid w:val="00F938FC"/>
    <w:rsid w:val="00F93AB9"/>
    <w:rsid w:val="00FA0D75"/>
    <w:rsid w:val="00FA793C"/>
    <w:rsid w:val="00FB0A84"/>
    <w:rsid w:val="00FB38FA"/>
    <w:rsid w:val="00FB62F5"/>
    <w:rsid w:val="00FB6C38"/>
    <w:rsid w:val="00FC349E"/>
    <w:rsid w:val="00FC51F5"/>
    <w:rsid w:val="00FC5272"/>
    <w:rsid w:val="00FC752B"/>
    <w:rsid w:val="00FC7DCC"/>
    <w:rsid w:val="00FD170E"/>
    <w:rsid w:val="00FD2EBE"/>
    <w:rsid w:val="00FD3260"/>
    <w:rsid w:val="00FF6BA9"/>
    <w:rsid w:val="00FF75E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270B3"/>
  <w15:docId w15:val="{783B9EE8-130F-4B7F-99DD-D8729492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4B"/>
    <w:pPr>
      <w:spacing w:after="0" w:line="240" w:lineRule="auto"/>
      <w:ind w:firstLine="709"/>
      <w:jc w:val="both"/>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A9212A"/>
    <w:pPr>
      <w:keepNext/>
      <w:outlineLvl w:val="0"/>
    </w:pPr>
    <w:rPr>
      <w:b/>
      <w:i/>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27B36"/>
    <w:pPr>
      <w:tabs>
        <w:tab w:val="center" w:pos="4252"/>
        <w:tab w:val="right" w:pos="8504"/>
      </w:tabs>
    </w:pPr>
  </w:style>
  <w:style w:type="character" w:customStyle="1" w:styleId="CabealhoChar">
    <w:name w:val="Cabeçalho Char"/>
    <w:basedOn w:val="Fontepargpadro"/>
    <w:link w:val="Cabealho"/>
    <w:uiPriority w:val="99"/>
    <w:rsid w:val="00E27B36"/>
  </w:style>
  <w:style w:type="paragraph" w:styleId="Rodap">
    <w:name w:val="footer"/>
    <w:basedOn w:val="Normal"/>
    <w:link w:val="RodapChar"/>
    <w:uiPriority w:val="99"/>
    <w:unhideWhenUsed/>
    <w:rsid w:val="00E27B36"/>
    <w:pPr>
      <w:tabs>
        <w:tab w:val="center" w:pos="4252"/>
        <w:tab w:val="right" w:pos="8504"/>
      </w:tabs>
    </w:pPr>
  </w:style>
  <w:style w:type="character" w:customStyle="1" w:styleId="RodapChar">
    <w:name w:val="Rodapé Char"/>
    <w:basedOn w:val="Fontepargpadro"/>
    <w:link w:val="Rodap"/>
    <w:uiPriority w:val="99"/>
    <w:rsid w:val="00E27B36"/>
  </w:style>
  <w:style w:type="character" w:styleId="Hyperlink">
    <w:name w:val="Hyperlink"/>
    <w:basedOn w:val="Fontepargpadro"/>
    <w:uiPriority w:val="99"/>
    <w:unhideWhenUsed/>
    <w:rsid w:val="00E27B36"/>
    <w:rPr>
      <w:color w:val="0563C1" w:themeColor="hyperlink"/>
      <w:u w:val="single"/>
    </w:rPr>
  </w:style>
  <w:style w:type="character" w:customStyle="1" w:styleId="MenoPendente1">
    <w:name w:val="Menção Pendente1"/>
    <w:basedOn w:val="Fontepargpadro"/>
    <w:uiPriority w:val="99"/>
    <w:semiHidden/>
    <w:unhideWhenUsed/>
    <w:rsid w:val="00E27B36"/>
    <w:rPr>
      <w:color w:val="808080"/>
      <w:shd w:val="clear" w:color="auto" w:fill="E6E6E6"/>
    </w:rPr>
  </w:style>
  <w:style w:type="character" w:customStyle="1" w:styleId="Ttulo1Char">
    <w:name w:val="Título 1 Char"/>
    <w:basedOn w:val="Fontepargpadro"/>
    <w:link w:val="Ttulo1"/>
    <w:rsid w:val="00A9212A"/>
    <w:rPr>
      <w:rFonts w:ascii="Times New Roman" w:eastAsia="Times New Roman" w:hAnsi="Times New Roman" w:cs="Times New Roman"/>
      <w:b/>
      <w:i/>
      <w:sz w:val="24"/>
      <w:szCs w:val="20"/>
      <w:lang w:eastAsia="pt-BR"/>
    </w:rPr>
  </w:style>
  <w:style w:type="paragraph" w:styleId="Ttulo">
    <w:name w:val="Title"/>
    <w:basedOn w:val="Normal"/>
    <w:link w:val="TtuloChar"/>
    <w:qFormat/>
    <w:rsid w:val="00A9212A"/>
    <w:pPr>
      <w:jc w:val="center"/>
    </w:pPr>
    <w:rPr>
      <w:b/>
      <w:szCs w:val="20"/>
    </w:rPr>
  </w:style>
  <w:style w:type="character" w:customStyle="1" w:styleId="TtuloChar">
    <w:name w:val="Título Char"/>
    <w:basedOn w:val="Fontepargpadro"/>
    <w:link w:val="Ttulo"/>
    <w:rsid w:val="00A9212A"/>
    <w:rPr>
      <w:rFonts w:ascii="Times New Roman" w:eastAsia="Times New Roman" w:hAnsi="Times New Roman" w:cs="Times New Roman"/>
      <w:b/>
      <w:sz w:val="24"/>
      <w:szCs w:val="20"/>
      <w:lang w:eastAsia="pt-BR"/>
    </w:rPr>
  </w:style>
  <w:style w:type="paragraph" w:styleId="Textodebalo">
    <w:name w:val="Balloon Text"/>
    <w:basedOn w:val="Normal"/>
    <w:link w:val="TextodebaloChar"/>
    <w:uiPriority w:val="99"/>
    <w:semiHidden/>
    <w:unhideWhenUsed/>
    <w:rsid w:val="00A9212A"/>
    <w:rPr>
      <w:rFonts w:ascii="Tahoma" w:hAnsi="Tahoma" w:cs="Tahoma"/>
      <w:sz w:val="16"/>
      <w:szCs w:val="16"/>
    </w:rPr>
  </w:style>
  <w:style w:type="character" w:customStyle="1" w:styleId="TextodebaloChar">
    <w:name w:val="Texto de balão Char"/>
    <w:basedOn w:val="Fontepargpadro"/>
    <w:link w:val="Textodebalo"/>
    <w:uiPriority w:val="99"/>
    <w:semiHidden/>
    <w:rsid w:val="00A9212A"/>
    <w:rPr>
      <w:rFonts w:ascii="Tahoma" w:hAnsi="Tahoma" w:cs="Tahoma"/>
      <w:sz w:val="16"/>
      <w:szCs w:val="16"/>
    </w:rPr>
  </w:style>
  <w:style w:type="paragraph" w:styleId="PargrafodaLista">
    <w:name w:val="List Paragraph"/>
    <w:basedOn w:val="Normal"/>
    <w:uiPriority w:val="34"/>
    <w:qFormat/>
    <w:rsid w:val="00812641"/>
    <w:pPr>
      <w:ind w:left="720"/>
      <w:contextualSpacing/>
    </w:pPr>
  </w:style>
  <w:style w:type="paragraph" w:styleId="Legenda">
    <w:name w:val="caption"/>
    <w:basedOn w:val="Normal"/>
    <w:next w:val="Normal"/>
    <w:uiPriority w:val="35"/>
    <w:unhideWhenUsed/>
    <w:qFormat/>
    <w:rsid w:val="00633D26"/>
    <w:pPr>
      <w:spacing w:after="200"/>
    </w:pPr>
    <w:rPr>
      <w:i/>
      <w:iCs/>
      <w:color w:val="44546A" w:themeColor="text2"/>
      <w:sz w:val="18"/>
      <w:szCs w:val="18"/>
    </w:rPr>
  </w:style>
  <w:style w:type="paragraph" w:customStyle="1" w:styleId="Default">
    <w:name w:val="Default"/>
    <w:rsid w:val="0036254B"/>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FC51F5"/>
    <w:rPr>
      <w:i/>
      <w:iCs/>
    </w:rPr>
  </w:style>
  <w:style w:type="character" w:styleId="Forte">
    <w:name w:val="Strong"/>
    <w:basedOn w:val="Fontepargpadro"/>
    <w:uiPriority w:val="22"/>
    <w:qFormat/>
    <w:rsid w:val="00FC51F5"/>
    <w:rPr>
      <w:b/>
      <w:bCs/>
    </w:rPr>
  </w:style>
  <w:style w:type="paragraph" w:styleId="NormalWeb">
    <w:name w:val="Normal (Web)"/>
    <w:basedOn w:val="Normal"/>
    <w:rsid w:val="007F76D6"/>
    <w:pPr>
      <w:spacing w:before="100" w:beforeAutospacing="1" w:after="100" w:afterAutospacing="1"/>
      <w:ind w:firstLine="0"/>
      <w:jc w:val="left"/>
    </w:pPr>
  </w:style>
  <w:style w:type="table" w:styleId="Tabelacomgrade">
    <w:name w:val="Table Grid"/>
    <w:basedOn w:val="Tabelanormal"/>
    <w:uiPriority w:val="39"/>
    <w:rsid w:val="001E3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C76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30823">
      <w:bodyDiv w:val="1"/>
      <w:marLeft w:val="0"/>
      <w:marRight w:val="0"/>
      <w:marTop w:val="0"/>
      <w:marBottom w:val="0"/>
      <w:divBdr>
        <w:top w:val="none" w:sz="0" w:space="0" w:color="auto"/>
        <w:left w:val="none" w:sz="0" w:space="0" w:color="auto"/>
        <w:bottom w:val="none" w:sz="0" w:space="0" w:color="auto"/>
        <w:right w:val="none" w:sz="0" w:space="0" w:color="auto"/>
      </w:divBdr>
    </w:div>
    <w:div w:id="429859323">
      <w:bodyDiv w:val="1"/>
      <w:marLeft w:val="0"/>
      <w:marRight w:val="0"/>
      <w:marTop w:val="0"/>
      <w:marBottom w:val="0"/>
      <w:divBdr>
        <w:top w:val="none" w:sz="0" w:space="0" w:color="auto"/>
        <w:left w:val="none" w:sz="0" w:space="0" w:color="auto"/>
        <w:bottom w:val="none" w:sz="0" w:space="0" w:color="auto"/>
        <w:right w:val="none" w:sz="0" w:space="0" w:color="auto"/>
      </w:divBdr>
    </w:div>
    <w:div w:id="813302430">
      <w:bodyDiv w:val="1"/>
      <w:marLeft w:val="0"/>
      <w:marRight w:val="0"/>
      <w:marTop w:val="0"/>
      <w:marBottom w:val="0"/>
      <w:divBdr>
        <w:top w:val="none" w:sz="0" w:space="0" w:color="auto"/>
        <w:left w:val="none" w:sz="0" w:space="0" w:color="auto"/>
        <w:bottom w:val="none" w:sz="0" w:space="0" w:color="auto"/>
        <w:right w:val="none" w:sz="0" w:space="0" w:color="auto"/>
      </w:divBdr>
    </w:div>
    <w:div w:id="1024207408">
      <w:bodyDiv w:val="1"/>
      <w:marLeft w:val="0"/>
      <w:marRight w:val="0"/>
      <w:marTop w:val="0"/>
      <w:marBottom w:val="0"/>
      <w:divBdr>
        <w:top w:val="none" w:sz="0" w:space="0" w:color="auto"/>
        <w:left w:val="none" w:sz="0" w:space="0" w:color="auto"/>
        <w:bottom w:val="none" w:sz="0" w:space="0" w:color="auto"/>
        <w:right w:val="none" w:sz="0" w:space="0" w:color="auto"/>
      </w:divBdr>
    </w:div>
    <w:div w:id="1212958269">
      <w:bodyDiv w:val="1"/>
      <w:marLeft w:val="0"/>
      <w:marRight w:val="0"/>
      <w:marTop w:val="0"/>
      <w:marBottom w:val="0"/>
      <w:divBdr>
        <w:top w:val="none" w:sz="0" w:space="0" w:color="auto"/>
        <w:left w:val="none" w:sz="0" w:space="0" w:color="auto"/>
        <w:bottom w:val="none" w:sz="0" w:space="0" w:color="auto"/>
        <w:right w:val="none" w:sz="0" w:space="0" w:color="auto"/>
      </w:divBdr>
    </w:div>
    <w:div w:id="18767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ARTICIPAR xmlns="07ee9086-5cbf-4e64-b464-ca05ae9588fd" xsi:nil="true"/>
    <SEN_x00c3_O_x002c_PORQUALMOTIVO_x003f_ xmlns="07ee9086-5cbf-4e64-b464-ca05ae9588f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0E67EC4F248C8408952E8DEE4A86382" ma:contentTypeVersion="15" ma:contentTypeDescription="Crie um novo documento." ma:contentTypeScope="" ma:versionID="957e5def90d14b77afb70fb48152b344">
  <xsd:schema xmlns:xsd="http://www.w3.org/2001/XMLSchema" xmlns:xs="http://www.w3.org/2001/XMLSchema" xmlns:p="http://schemas.microsoft.com/office/2006/metadata/properties" xmlns:ns2="f2126e96-12ac-44ef-9dd0-01245018288b" xmlns:ns3="07ee9086-5cbf-4e64-b464-ca05ae9588fd" targetNamespace="http://schemas.microsoft.com/office/2006/metadata/properties" ma:root="true" ma:fieldsID="18ec971eb76062b445d1ff58d689d56b" ns2:_="" ns3:_="">
    <xsd:import namespace="f2126e96-12ac-44ef-9dd0-01245018288b"/>
    <xsd:import namespace="07ee9086-5cbf-4e64-b464-ca05ae9588f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PARTICIPAR" minOccurs="0"/>
                <xsd:element ref="ns3:SEN_x00c3_O_x002c_PORQUALMOTIVO_x003f_"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26e96-12ac-44ef-9dd0-01245018288b"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ee9086-5cbf-4e64-b464-ca05ae9588f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PARTICIPAR" ma:index="16" nillable="true" ma:displayName="PARTICIPAR" ma:format="Dropdown" ma:internalName="PARTICIPAR">
      <xsd:simpleType>
        <xsd:restriction base="dms:Choice">
          <xsd:enumeration value="SIM"/>
          <xsd:enumeration value="NÃO"/>
        </xsd:restriction>
      </xsd:simpleType>
    </xsd:element>
    <xsd:element name="SEN_x00c3_O_x002c_PORQUALMOTIVO_x003f_" ma:index="17" nillable="true" ma:displayName="SE NÃO, POR QUAL MOTIVO?" ma:format="Dropdown" ma:internalName="SEN_x00c3_O_x002c_PORQUALMOTIVO_x003f_">
      <xsd:simpleType>
        <xsd:restriction base="dms:Text">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17EA09-ECBD-4AC7-9B2F-19C1FE2C6AEF}">
  <ds:schemaRefs>
    <ds:schemaRef ds:uri="http://schemas.microsoft.com/sharepoint/v3/contenttype/forms"/>
  </ds:schemaRefs>
</ds:datastoreItem>
</file>

<file path=customXml/itemProps2.xml><?xml version="1.0" encoding="utf-8"?>
<ds:datastoreItem xmlns:ds="http://schemas.openxmlformats.org/officeDocument/2006/customXml" ds:itemID="{34E59EDB-5C6E-4655-8ECA-95D4D3475517}">
  <ds:schemaRefs>
    <ds:schemaRef ds:uri="http://schemas.microsoft.com/office/2006/metadata/properties"/>
    <ds:schemaRef ds:uri="http://schemas.microsoft.com/office/infopath/2007/PartnerControls"/>
    <ds:schemaRef ds:uri="07ee9086-5cbf-4e64-b464-ca05ae9588fd"/>
  </ds:schemaRefs>
</ds:datastoreItem>
</file>

<file path=customXml/itemProps3.xml><?xml version="1.0" encoding="utf-8"?>
<ds:datastoreItem xmlns:ds="http://schemas.openxmlformats.org/officeDocument/2006/customXml" ds:itemID="{4CCDDAA2-D8BD-4EC1-BD5F-E534B5C529EC}">
  <ds:schemaRefs>
    <ds:schemaRef ds:uri="http://schemas.openxmlformats.org/officeDocument/2006/bibliography"/>
  </ds:schemaRefs>
</ds:datastoreItem>
</file>

<file path=customXml/itemProps4.xml><?xml version="1.0" encoding="utf-8"?>
<ds:datastoreItem xmlns:ds="http://schemas.openxmlformats.org/officeDocument/2006/customXml" ds:itemID="{7F3018B1-63C9-437C-9420-19AE1AB46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26e96-12ac-44ef-9dd0-01245018288b"/>
    <ds:schemaRef ds:uri="07ee9086-5cbf-4e64-b464-ca05ae958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3281</Words>
  <Characters>17722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DOUGLAS SENTURIAO</cp:lastModifiedBy>
  <cp:revision>2</cp:revision>
  <cp:lastPrinted>2024-04-25T22:10:00Z</cp:lastPrinted>
  <dcterms:created xsi:type="dcterms:W3CDTF">2025-03-26T19:46:00Z</dcterms:created>
  <dcterms:modified xsi:type="dcterms:W3CDTF">2025-03-26T19:46:00Z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0x01010040E67EC4F248C8408952E8DEE4A86382</vt:lpwstr>
  </property>
</Properties>
</file>