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2E70" w:rsidRDefault="00672E70" w:rsidP="00672E70">
      <w:pPr>
        <w:pStyle w:val="Titre3"/>
        <w:rPr>
          <w:color w:val="1F4E79" w:themeColor="accent1" w:themeShade="80"/>
          <w:sz w:val="32"/>
        </w:rPr>
      </w:pPr>
      <w:r w:rsidRPr="00672E70">
        <w:rPr>
          <w:color w:val="1F4E79" w:themeColor="accent1" w:themeShade="80"/>
          <w:sz w:val="32"/>
        </w:rPr>
        <w:t xml:space="preserve">Rapport Fonctionnel de l'Application </w:t>
      </w:r>
      <w:proofErr w:type="spellStart"/>
      <w:r w:rsidRPr="00672E70">
        <w:rPr>
          <w:color w:val="1F4E79" w:themeColor="accent1" w:themeShade="80"/>
          <w:sz w:val="32"/>
        </w:rPr>
        <w:t>Shiny</w:t>
      </w:r>
      <w:proofErr w:type="spellEnd"/>
      <w:r w:rsidRPr="00672E70">
        <w:rPr>
          <w:color w:val="1F4E79" w:themeColor="accent1" w:themeShade="80"/>
          <w:sz w:val="32"/>
        </w:rPr>
        <w:t xml:space="preserve"> - Analyse de la Performance Énergétique</w:t>
      </w:r>
    </w:p>
    <w:p w:rsidR="00672E70" w:rsidRPr="00672E70" w:rsidRDefault="00672E70" w:rsidP="00672E70">
      <w:pPr>
        <w:pStyle w:val="Titre3"/>
        <w:rPr>
          <w:color w:val="FF0000"/>
          <w:sz w:val="32"/>
        </w:rPr>
      </w:pPr>
    </w:p>
    <w:p w:rsidR="00672E70" w:rsidRPr="00672E70" w:rsidRDefault="00672E70" w:rsidP="00672E70">
      <w:pPr>
        <w:pStyle w:val="Titre4"/>
        <w:rPr>
          <w:rFonts w:ascii="Times New Roman" w:hAnsi="Times New Roman" w:cs="Times New Roman"/>
          <w:b/>
          <w:i w:val="0"/>
          <w:color w:val="FF0000"/>
          <w:sz w:val="28"/>
        </w:rPr>
      </w:pPr>
      <w:r w:rsidRPr="00672E70">
        <w:rPr>
          <w:rFonts w:ascii="Times New Roman" w:hAnsi="Times New Roman" w:cs="Times New Roman"/>
          <w:b/>
          <w:i w:val="0"/>
          <w:color w:val="FF0000"/>
          <w:sz w:val="28"/>
        </w:rPr>
        <w:t>Introduction</w:t>
      </w:r>
    </w:p>
    <w:p w:rsidR="00672E70" w:rsidRDefault="00672E70" w:rsidP="00672E70">
      <w:pPr>
        <w:pStyle w:val="NormalWeb"/>
      </w:pPr>
      <w:r>
        <w:t xml:space="preserve">L'application </w:t>
      </w:r>
      <w:proofErr w:type="spellStart"/>
      <w:r>
        <w:t>Shiny</w:t>
      </w:r>
      <w:proofErr w:type="spellEnd"/>
      <w:r>
        <w:t xml:space="preserve"> offre une interfac</w:t>
      </w:r>
      <w:bookmarkStart w:id="0" w:name="_GoBack"/>
      <w:bookmarkEnd w:id="0"/>
      <w:r>
        <w:t>e interactive pour analyser les performances énergétiques des logements en France. Elle permet d’explorer les coûts énergétiques, d’afficher des KPI (indicateurs clés de performance) et de visualiser les relations entre diverses variables de consommation énergétique. Ce rapport décrit brièvement les principales fonctionnalités de chaque page et leur utilité.</w:t>
      </w:r>
    </w:p>
    <w:p w:rsidR="00672E70" w:rsidRDefault="00672E70" w:rsidP="00672E70"/>
    <w:p w:rsidR="00672E70" w:rsidRPr="00672E70" w:rsidRDefault="00672E70" w:rsidP="00672E70">
      <w:pPr>
        <w:pStyle w:val="Titre3"/>
        <w:rPr>
          <w:color w:val="FF0000"/>
        </w:rPr>
      </w:pPr>
      <w:r w:rsidRPr="00672E70">
        <w:rPr>
          <w:color w:val="FF0000"/>
        </w:rPr>
        <w:t xml:space="preserve">1. </w:t>
      </w:r>
      <w:r w:rsidRPr="00672E70">
        <w:rPr>
          <w:rStyle w:val="lev"/>
          <w:b/>
          <w:bCs/>
          <w:color w:val="FF0000"/>
        </w:rPr>
        <w:t>Page d'Accueil - KPI Énergétiques</w:t>
      </w:r>
    </w:p>
    <w:p w:rsidR="00672E70" w:rsidRDefault="00672E70" w:rsidP="00672E70">
      <w:pPr>
        <w:pStyle w:val="NormalWeb"/>
      </w:pPr>
      <w:r>
        <w:rPr>
          <w:rStyle w:val="lev"/>
        </w:rPr>
        <w:t>Fonctionnalités :</w:t>
      </w:r>
    </w:p>
    <w:p w:rsidR="00672E70" w:rsidRDefault="00672E70" w:rsidP="00672E70">
      <w:pPr>
        <w:numPr>
          <w:ilvl w:val="0"/>
          <w:numId w:val="23"/>
        </w:numPr>
        <w:spacing w:before="100" w:beforeAutospacing="1" w:after="100" w:afterAutospacing="1" w:line="240" w:lineRule="auto"/>
      </w:pPr>
      <w:r>
        <w:t>Affichage des moyennes des coûts de chauffage, éclairage et ECS (eau chaude sanitaire).</w:t>
      </w:r>
    </w:p>
    <w:p w:rsidR="00672E70" w:rsidRDefault="00672E70" w:rsidP="00672E70">
      <w:pPr>
        <w:pStyle w:val="NormalWeb"/>
      </w:pPr>
      <w:r>
        <w:rPr>
          <w:rStyle w:val="lev"/>
        </w:rPr>
        <w:t>Intérêt :</w:t>
      </w:r>
    </w:p>
    <w:p w:rsidR="00672E70" w:rsidRDefault="00672E70" w:rsidP="00672E70">
      <w:pPr>
        <w:numPr>
          <w:ilvl w:val="0"/>
          <w:numId w:val="24"/>
        </w:numPr>
        <w:spacing w:before="100" w:beforeAutospacing="1" w:after="100" w:afterAutospacing="1" w:line="240" w:lineRule="auto"/>
      </w:pPr>
      <w:r>
        <w:t>Présentation rapide et claire des principaux indicateurs de performance des logements, permettant à l’utilisateur de comprendre instantanément les coûts énergétiques moyens sans analyse détaillée des données.</w:t>
      </w:r>
    </w:p>
    <w:p w:rsidR="00672E70" w:rsidRDefault="00672E70" w:rsidP="00672E70">
      <w:pPr>
        <w:spacing w:after="0"/>
      </w:pPr>
    </w:p>
    <w:p w:rsidR="00672E70" w:rsidRPr="00672E70" w:rsidRDefault="00672E70" w:rsidP="00672E70">
      <w:pPr>
        <w:pStyle w:val="Titre3"/>
        <w:rPr>
          <w:color w:val="FF0000"/>
        </w:rPr>
      </w:pPr>
      <w:r w:rsidRPr="00672E70">
        <w:rPr>
          <w:color w:val="FF0000"/>
        </w:rPr>
        <w:t xml:space="preserve">2. </w:t>
      </w:r>
      <w:r w:rsidRPr="00672E70">
        <w:rPr>
          <w:rStyle w:val="lev"/>
          <w:b/>
          <w:bCs/>
          <w:color w:val="FF0000"/>
        </w:rPr>
        <w:t>Page Graphiques - Visualisation des Données</w:t>
      </w:r>
    </w:p>
    <w:p w:rsidR="00672E70" w:rsidRDefault="00672E70" w:rsidP="00672E70">
      <w:pPr>
        <w:pStyle w:val="NormalWeb"/>
      </w:pPr>
      <w:r>
        <w:rPr>
          <w:rStyle w:val="lev"/>
        </w:rPr>
        <w:t>Fonctionnalités :</w:t>
      </w:r>
    </w:p>
    <w:p w:rsidR="00672E70" w:rsidRDefault="00672E70" w:rsidP="00672E70">
      <w:pPr>
        <w:numPr>
          <w:ilvl w:val="0"/>
          <w:numId w:val="25"/>
        </w:numPr>
        <w:spacing w:before="100" w:beforeAutospacing="1" w:after="100" w:afterAutospacing="1" w:line="240" w:lineRule="auto"/>
      </w:pPr>
      <w:r>
        <w:rPr>
          <w:rStyle w:val="lev"/>
        </w:rPr>
        <w:t>Histogramme</w:t>
      </w:r>
      <w:r>
        <w:t xml:space="preserve"> du pourcentage de logements par étiquette DPE.</w:t>
      </w:r>
    </w:p>
    <w:p w:rsidR="00672E70" w:rsidRDefault="00672E70" w:rsidP="00672E70">
      <w:pPr>
        <w:numPr>
          <w:ilvl w:val="0"/>
          <w:numId w:val="25"/>
        </w:numPr>
        <w:spacing w:before="100" w:beforeAutospacing="1" w:after="100" w:afterAutospacing="1" w:line="240" w:lineRule="auto"/>
      </w:pPr>
      <w:r>
        <w:rPr>
          <w:rStyle w:val="lev"/>
        </w:rPr>
        <w:t>Diagramme circulaire</w:t>
      </w:r>
      <w:r>
        <w:t xml:space="preserve"> représentant la répartition des coûts énergétiques : chauffage, éclairage, refroidissement, etc.</w:t>
      </w:r>
    </w:p>
    <w:p w:rsidR="00672E70" w:rsidRDefault="00672E70" w:rsidP="00672E70">
      <w:pPr>
        <w:pStyle w:val="NormalWeb"/>
      </w:pPr>
      <w:r>
        <w:rPr>
          <w:rStyle w:val="lev"/>
        </w:rPr>
        <w:t>Intérêt :</w:t>
      </w:r>
    </w:p>
    <w:p w:rsidR="00672E70" w:rsidRDefault="00672E70" w:rsidP="00672E70">
      <w:pPr>
        <w:numPr>
          <w:ilvl w:val="0"/>
          <w:numId w:val="26"/>
        </w:numPr>
        <w:spacing w:before="100" w:beforeAutospacing="1" w:after="100" w:afterAutospacing="1" w:line="240" w:lineRule="auto"/>
      </w:pPr>
      <w:r>
        <w:t>L’histogramme permet de visualiser la répartition des logements selon leur performance énergétique (étiquette DPE).</w:t>
      </w:r>
    </w:p>
    <w:p w:rsidR="00672E70" w:rsidRDefault="00672E70" w:rsidP="00672E70">
      <w:pPr>
        <w:numPr>
          <w:ilvl w:val="0"/>
          <w:numId w:val="26"/>
        </w:numPr>
        <w:spacing w:before="100" w:beforeAutospacing="1" w:after="100" w:afterAutospacing="1" w:line="240" w:lineRule="auto"/>
      </w:pPr>
      <w:r>
        <w:t>Le diagramme circulaire montre les proportions des différents coûts, aidant à identifier les postes de dépense énergétiques majeurs.</w:t>
      </w:r>
    </w:p>
    <w:p w:rsidR="00672E70" w:rsidRDefault="00672E70" w:rsidP="00672E70">
      <w:pPr>
        <w:spacing w:after="0"/>
      </w:pPr>
    </w:p>
    <w:p w:rsidR="00672E70" w:rsidRDefault="00672E70" w:rsidP="00672E70">
      <w:pPr>
        <w:spacing w:after="0"/>
      </w:pPr>
    </w:p>
    <w:p w:rsidR="00672E70" w:rsidRDefault="00672E70" w:rsidP="00672E70">
      <w:pPr>
        <w:spacing w:after="0"/>
      </w:pPr>
    </w:p>
    <w:p w:rsidR="00672E70" w:rsidRDefault="00672E70" w:rsidP="00672E70">
      <w:pPr>
        <w:spacing w:after="0"/>
      </w:pPr>
    </w:p>
    <w:p w:rsidR="00672E70" w:rsidRDefault="00672E70" w:rsidP="00672E70">
      <w:pPr>
        <w:spacing w:after="0"/>
      </w:pPr>
    </w:p>
    <w:p w:rsidR="00672E70" w:rsidRDefault="00672E70" w:rsidP="00672E70">
      <w:pPr>
        <w:spacing w:after="0"/>
      </w:pPr>
    </w:p>
    <w:p w:rsidR="00672E70" w:rsidRPr="00672E70" w:rsidRDefault="00672E70" w:rsidP="00672E70">
      <w:pPr>
        <w:pStyle w:val="Titre3"/>
        <w:rPr>
          <w:color w:val="FF0000"/>
        </w:rPr>
      </w:pPr>
      <w:r w:rsidRPr="00672E70">
        <w:rPr>
          <w:color w:val="FF0000"/>
        </w:rPr>
        <w:t xml:space="preserve">3. </w:t>
      </w:r>
      <w:r w:rsidRPr="00672E70">
        <w:rPr>
          <w:rStyle w:val="lev"/>
          <w:b/>
          <w:bCs/>
          <w:color w:val="FF0000"/>
        </w:rPr>
        <w:t>Page Corrélation - Analyse Statistique</w:t>
      </w:r>
    </w:p>
    <w:p w:rsidR="00672E70" w:rsidRDefault="00672E70" w:rsidP="00672E70">
      <w:pPr>
        <w:pStyle w:val="NormalWeb"/>
      </w:pPr>
      <w:r>
        <w:rPr>
          <w:rStyle w:val="lev"/>
        </w:rPr>
        <w:t>Fonctionnalités :</w:t>
      </w:r>
    </w:p>
    <w:p w:rsidR="00672E70" w:rsidRDefault="00672E70" w:rsidP="00672E70">
      <w:pPr>
        <w:numPr>
          <w:ilvl w:val="0"/>
          <w:numId w:val="27"/>
        </w:numPr>
        <w:spacing w:before="100" w:beforeAutospacing="1" w:after="100" w:afterAutospacing="1" w:line="240" w:lineRule="auto"/>
      </w:pPr>
      <w:r>
        <w:t>Matrice de corrélation entre des variables telles que la surface habitable et les coûts énergétiques.</w:t>
      </w:r>
    </w:p>
    <w:p w:rsidR="00672E70" w:rsidRDefault="00672E70" w:rsidP="00672E70">
      <w:pPr>
        <w:pStyle w:val="NormalWeb"/>
      </w:pPr>
      <w:r>
        <w:rPr>
          <w:rStyle w:val="lev"/>
        </w:rPr>
        <w:t>Intérêt :</w:t>
      </w:r>
    </w:p>
    <w:p w:rsidR="00672E70" w:rsidRDefault="00672E70" w:rsidP="00672E70">
      <w:pPr>
        <w:numPr>
          <w:ilvl w:val="0"/>
          <w:numId w:val="28"/>
        </w:numPr>
        <w:spacing w:before="100" w:beforeAutospacing="1" w:after="100" w:afterAutospacing="1" w:line="240" w:lineRule="auto"/>
      </w:pPr>
      <w:r>
        <w:t>Permet d’identifier les relations entre les différentes variables de consommation, comme l’influence de la taille du logement sur les coûts énergétiques. Ces informations sont cruciales pour des analyses prédictives ou pour cibler des actions d’amélioration énergétique.</w:t>
      </w:r>
    </w:p>
    <w:p w:rsidR="00672E70" w:rsidRDefault="00672E70" w:rsidP="00672E70">
      <w:pPr>
        <w:spacing w:after="0"/>
      </w:pPr>
    </w:p>
    <w:p w:rsidR="00672E70" w:rsidRPr="00672E70" w:rsidRDefault="00672E70" w:rsidP="00672E70">
      <w:pPr>
        <w:pStyle w:val="Titre3"/>
        <w:rPr>
          <w:color w:val="FF0000"/>
        </w:rPr>
      </w:pPr>
      <w:r w:rsidRPr="00672E70">
        <w:rPr>
          <w:color w:val="FF0000"/>
        </w:rPr>
        <w:t xml:space="preserve">4. </w:t>
      </w:r>
      <w:r w:rsidRPr="00672E70">
        <w:rPr>
          <w:rStyle w:val="lev"/>
          <w:b/>
          <w:bCs/>
          <w:color w:val="FF0000"/>
        </w:rPr>
        <w:t>Page de Chargement des Données</w:t>
      </w:r>
    </w:p>
    <w:p w:rsidR="00672E70" w:rsidRDefault="00672E70" w:rsidP="00672E70">
      <w:pPr>
        <w:pStyle w:val="NormalWeb"/>
      </w:pPr>
      <w:r>
        <w:rPr>
          <w:rStyle w:val="lev"/>
        </w:rPr>
        <w:t>Fonctionnalités :</w:t>
      </w:r>
    </w:p>
    <w:p w:rsidR="00672E70" w:rsidRDefault="00672E70" w:rsidP="00672E70">
      <w:pPr>
        <w:numPr>
          <w:ilvl w:val="0"/>
          <w:numId w:val="29"/>
        </w:numPr>
        <w:spacing w:before="100" w:beforeAutospacing="1" w:after="100" w:afterAutospacing="1" w:line="240" w:lineRule="auto"/>
      </w:pPr>
      <w:r>
        <w:t>Import des fichiers de données via un fichier local ou une URL.</w:t>
      </w:r>
    </w:p>
    <w:p w:rsidR="00672E70" w:rsidRDefault="00672E70" w:rsidP="00672E70">
      <w:pPr>
        <w:numPr>
          <w:ilvl w:val="0"/>
          <w:numId w:val="29"/>
        </w:numPr>
        <w:spacing w:before="100" w:beforeAutospacing="1" w:after="100" w:afterAutospacing="1" w:line="240" w:lineRule="auto"/>
      </w:pPr>
      <w:r>
        <w:t>Nettoyage automatique des colonnes pour éviter les caractères spéciaux.</w:t>
      </w:r>
    </w:p>
    <w:p w:rsidR="00672E70" w:rsidRDefault="00672E70" w:rsidP="00672E70">
      <w:pPr>
        <w:pStyle w:val="NormalWeb"/>
      </w:pPr>
      <w:r>
        <w:rPr>
          <w:rStyle w:val="lev"/>
        </w:rPr>
        <w:t>Intérêt :</w:t>
      </w:r>
    </w:p>
    <w:p w:rsidR="00672E70" w:rsidRDefault="00672E70" w:rsidP="00672E70">
      <w:pPr>
        <w:numPr>
          <w:ilvl w:val="0"/>
          <w:numId w:val="30"/>
        </w:numPr>
        <w:spacing w:before="100" w:beforeAutospacing="1" w:after="100" w:afterAutospacing="1" w:line="240" w:lineRule="auto"/>
      </w:pPr>
      <w:r>
        <w:t xml:space="preserve">Flexibilité permettant à l'utilisateur de charger ses propres </w:t>
      </w:r>
      <w:proofErr w:type="gramStart"/>
      <w:r>
        <w:t>données</w:t>
      </w:r>
      <w:proofErr w:type="gramEnd"/>
      <w:r>
        <w:t xml:space="preserve"> ou des sources externes. Cette option rend l’application adaptable à différents jeux de données.</w:t>
      </w:r>
    </w:p>
    <w:p w:rsidR="00672E70" w:rsidRDefault="00672E70" w:rsidP="00672E70">
      <w:pPr>
        <w:spacing w:after="0"/>
      </w:pPr>
    </w:p>
    <w:p w:rsidR="00672E70" w:rsidRPr="00672E70" w:rsidRDefault="00672E70" w:rsidP="00672E70">
      <w:pPr>
        <w:pStyle w:val="Titre3"/>
        <w:rPr>
          <w:color w:val="FF0000"/>
        </w:rPr>
      </w:pPr>
      <w:r w:rsidRPr="00672E70">
        <w:rPr>
          <w:color w:val="FF0000"/>
        </w:rPr>
        <w:t>Fonctionnalités Générales</w:t>
      </w:r>
    </w:p>
    <w:p w:rsidR="00672E70" w:rsidRDefault="00672E70" w:rsidP="00672E70">
      <w:pPr>
        <w:numPr>
          <w:ilvl w:val="0"/>
          <w:numId w:val="31"/>
        </w:numPr>
        <w:spacing w:before="100" w:beforeAutospacing="1" w:after="100" w:afterAutospacing="1" w:line="240" w:lineRule="auto"/>
      </w:pPr>
      <w:r>
        <w:rPr>
          <w:rStyle w:val="lev"/>
        </w:rPr>
        <w:t>Interface interactive</w:t>
      </w:r>
      <w:r>
        <w:t xml:space="preserve"> : Les graphiques réagissent dynamiquement aux modifications de données.</w:t>
      </w:r>
    </w:p>
    <w:p w:rsidR="00672E70" w:rsidRDefault="00672E70" w:rsidP="00672E70">
      <w:pPr>
        <w:numPr>
          <w:ilvl w:val="0"/>
          <w:numId w:val="31"/>
        </w:numPr>
        <w:spacing w:before="100" w:beforeAutospacing="1" w:after="100" w:afterAutospacing="1" w:line="240" w:lineRule="auto"/>
      </w:pPr>
      <w:r>
        <w:rPr>
          <w:rStyle w:val="lev"/>
        </w:rPr>
        <w:t>Traitement des données</w:t>
      </w:r>
      <w:r>
        <w:t xml:space="preserve"> : Nettoyage automatique pour faciliter l'analyse.</w:t>
      </w:r>
    </w:p>
    <w:p w:rsidR="00672E70" w:rsidRDefault="00672E70" w:rsidP="00672E70">
      <w:pPr>
        <w:numPr>
          <w:ilvl w:val="0"/>
          <w:numId w:val="31"/>
        </w:numPr>
        <w:spacing w:before="100" w:beforeAutospacing="1" w:after="100" w:afterAutospacing="1" w:line="240" w:lineRule="auto"/>
      </w:pPr>
      <w:r>
        <w:rPr>
          <w:rStyle w:val="lev"/>
        </w:rPr>
        <w:t>Téléchargement de rapports</w:t>
      </w:r>
      <w:r>
        <w:t xml:space="preserve"> : Possibilité de télécharger les résultats pour une utilisation externe.</w:t>
      </w:r>
    </w:p>
    <w:p w:rsidR="00672E70" w:rsidRDefault="00672E70" w:rsidP="00672E70">
      <w:pPr>
        <w:spacing w:after="0"/>
      </w:pPr>
    </w:p>
    <w:p w:rsidR="00672E70" w:rsidRPr="00672E70" w:rsidRDefault="00672E70" w:rsidP="00672E70">
      <w:pPr>
        <w:pStyle w:val="Titre3"/>
        <w:rPr>
          <w:color w:val="FF0000"/>
        </w:rPr>
      </w:pPr>
      <w:r w:rsidRPr="00672E70">
        <w:rPr>
          <w:color w:val="FF0000"/>
        </w:rPr>
        <w:t>Conclusion</w:t>
      </w:r>
    </w:p>
    <w:p w:rsidR="00672E70" w:rsidRDefault="00672E70" w:rsidP="00672E70">
      <w:pPr>
        <w:pStyle w:val="NormalWeb"/>
      </w:pPr>
      <w:r>
        <w:t xml:space="preserve">L’application </w:t>
      </w:r>
      <w:proofErr w:type="spellStart"/>
      <w:r>
        <w:t>Shiny</w:t>
      </w:r>
      <w:proofErr w:type="spellEnd"/>
      <w:r>
        <w:t xml:space="preserve"> simplifie l’analyse des performances énergétiques des logements. Grâce à des KPI clairs, des visualisations interactives et des outils statistiques, elle permet aux utilisateurs de mieux comprendre et explorer les données énergétiques.</w:t>
      </w:r>
    </w:p>
    <w:p w:rsidR="007832BF" w:rsidRPr="007E328E" w:rsidRDefault="007832BF" w:rsidP="007E328E">
      <w:pPr>
        <w:rPr>
          <w:sz w:val="20"/>
        </w:rPr>
      </w:pPr>
    </w:p>
    <w:sectPr w:rsidR="007832BF" w:rsidRPr="007E328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1F2365"/>
    <w:multiLevelType w:val="multilevel"/>
    <w:tmpl w:val="35C2B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051E9A"/>
    <w:multiLevelType w:val="multilevel"/>
    <w:tmpl w:val="6F00E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275BE2"/>
    <w:multiLevelType w:val="multilevel"/>
    <w:tmpl w:val="86A85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AA7214"/>
    <w:multiLevelType w:val="multilevel"/>
    <w:tmpl w:val="983A59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002750"/>
    <w:multiLevelType w:val="multilevel"/>
    <w:tmpl w:val="BD5E7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B2371C"/>
    <w:multiLevelType w:val="multilevel"/>
    <w:tmpl w:val="F364D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2401AF"/>
    <w:multiLevelType w:val="multilevel"/>
    <w:tmpl w:val="80327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820086"/>
    <w:multiLevelType w:val="multilevel"/>
    <w:tmpl w:val="73087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A06432"/>
    <w:multiLevelType w:val="multilevel"/>
    <w:tmpl w:val="2D28D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0B0C67"/>
    <w:multiLevelType w:val="multilevel"/>
    <w:tmpl w:val="0D2E1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772AF3"/>
    <w:multiLevelType w:val="multilevel"/>
    <w:tmpl w:val="EE560A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F363F16"/>
    <w:multiLevelType w:val="multilevel"/>
    <w:tmpl w:val="CA2ED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644EFE"/>
    <w:multiLevelType w:val="multilevel"/>
    <w:tmpl w:val="5E4640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1BC1DCD"/>
    <w:multiLevelType w:val="multilevel"/>
    <w:tmpl w:val="03BA6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C2A1948"/>
    <w:multiLevelType w:val="multilevel"/>
    <w:tmpl w:val="22A0C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DEB7E1D"/>
    <w:multiLevelType w:val="multilevel"/>
    <w:tmpl w:val="F3245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619511B"/>
    <w:multiLevelType w:val="multilevel"/>
    <w:tmpl w:val="5CD6F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74F4CDA"/>
    <w:multiLevelType w:val="multilevel"/>
    <w:tmpl w:val="3C7487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75E708E"/>
    <w:multiLevelType w:val="hybridMultilevel"/>
    <w:tmpl w:val="0166EB0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693741EF"/>
    <w:multiLevelType w:val="multilevel"/>
    <w:tmpl w:val="466C2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A200F8D"/>
    <w:multiLevelType w:val="multilevel"/>
    <w:tmpl w:val="82C4F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C833DEA"/>
    <w:multiLevelType w:val="multilevel"/>
    <w:tmpl w:val="FCD28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DF814C0"/>
    <w:multiLevelType w:val="multilevel"/>
    <w:tmpl w:val="88862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36A7A0D"/>
    <w:multiLevelType w:val="multilevel"/>
    <w:tmpl w:val="12885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5923F0B"/>
    <w:multiLevelType w:val="multilevel"/>
    <w:tmpl w:val="964A2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5E228A6"/>
    <w:multiLevelType w:val="multilevel"/>
    <w:tmpl w:val="4372D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74E2B52"/>
    <w:multiLevelType w:val="multilevel"/>
    <w:tmpl w:val="49082F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B1471E5"/>
    <w:multiLevelType w:val="multilevel"/>
    <w:tmpl w:val="658E5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CE41CD7"/>
    <w:multiLevelType w:val="multilevel"/>
    <w:tmpl w:val="4FB0A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EAE2088"/>
    <w:multiLevelType w:val="multilevel"/>
    <w:tmpl w:val="66B81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F083751"/>
    <w:multiLevelType w:val="multilevel"/>
    <w:tmpl w:val="B6D0E5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2"/>
  </w:num>
  <w:num w:numId="3">
    <w:abstractNumId w:val="3"/>
  </w:num>
  <w:num w:numId="4">
    <w:abstractNumId w:val="2"/>
  </w:num>
  <w:num w:numId="5">
    <w:abstractNumId w:val="29"/>
  </w:num>
  <w:num w:numId="6">
    <w:abstractNumId w:val="0"/>
  </w:num>
  <w:num w:numId="7">
    <w:abstractNumId w:val="30"/>
  </w:num>
  <w:num w:numId="8">
    <w:abstractNumId w:val="27"/>
  </w:num>
  <w:num w:numId="9">
    <w:abstractNumId w:val="26"/>
  </w:num>
  <w:num w:numId="10">
    <w:abstractNumId w:val="5"/>
  </w:num>
  <w:num w:numId="11">
    <w:abstractNumId w:val="17"/>
  </w:num>
  <w:num w:numId="12">
    <w:abstractNumId w:val="10"/>
  </w:num>
  <w:num w:numId="13">
    <w:abstractNumId w:val="8"/>
  </w:num>
  <w:num w:numId="14">
    <w:abstractNumId w:val="23"/>
  </w:num>
  <w:num w:numId="15">
    <w:abstractNumId w:val="11"/>
  </w:num>
  <w:num w:numId="16">
    <w:abstractNumId w:val="24"/>
  </w:num>
  <w:num w:numId="17">
    <w:abstractNumId w:val="13"/>
  </w:num>
  <w:num w:numId="18">
    <w:abstractNumId w:val="25"/>
  </w:num>
  <w:num w:numId="19">
    <w:abstractNumId w:val="14"/>
  </w:num>
  <w:num w:numId="20">
    <w:abstractNumId w:val="7"/>
  </w:num>
  <w:num w:numId="21">
    <w:abstractNumId w:val="21"/>
  </w:num>
  <w:num w:numId="22">
    <w:abstractNumId w:val="18"/>
  </w:num>
  <w:num w:numId="23">
    <w:abstractNumId w:val="6"/>
  </w:num>
  <w:num w:numId="24">
    <w:abstractNumId w:val="15"/>
  </w:num>
  <w:num w:numId="25">
    <w:abstractNumId w:val="20"/>
  </w:num>
  <w:num w:numId="26">
    <w:abstractNumId w:val="28"/>
  </w:num>
  <w:num w:numId="27">
    <w:abstractNumId w:val="9"/>
  </w:num>
  <w:num w:numId="28">
    <w:abstractNumId w:val="19"/>
  </w:num>
  <w:num w:numId="29">
    <w:abstractNumId w:val="16"/>
  </w:num>
  <w:num w:numId="30">
    <w:abstractNumId w:val="4"/>
  </w:num>
  <w:num w:numId="3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7889"/>
    <w:rsid w:val="00207889"/>
    <w:rsid w:val="00672E70"/>
    <w:rsid w:val="007832BF"/>
    <w:rsid w:val="007E328E"/>
    <w:rsid w:val="00A436C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FEC012-B194-45EA-B275-78CFD0F87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link w:val="Titre1Car"/>
    <w:uiPriority w:val="9"/>
    <w:qFormat/>
    <w:rsid w:val="0020788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207889"/>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207889"/>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paragraph" w:styleId="Titre4">
    <w:name w:val="heading 4"/>
    <w:basedOn w:val="Normal"/>
    <w:next w:val="Normal"/>
    <w:link w:val="Titre4Car"/>
    <w:uiPriority w:val="9"/>
    <w:semiHidden/>
    <w:unhideWhenUsed/>
    <w:qFormat/>
    <w:rsid w:val="007E328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07889"/>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207889"/>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207889"/>
    <w:rPr>
      <w:rFonts w:ascii="Times New Roman" w:eastAsia="Times New Roman" w:hAnsi="Times New Roman" w:cs="Times New Roman"/>
      <w:b/>
      <w:bCs/>
      <w:sz w:val="27"/>
      <w:szCs w:val="27"/>
      <w:lang w:eastAsia="fr-FR"/>
    </w:rPr>
  </w:style>
  <w:style w:type="paragraph" w:styleId="NormalWeb">
    <w:name w:val="Normal (Web)"/>
    <w:basedOn w:val="Normal"/>
    <w:uiPriority w:val="99"/>
    <w:unhideWhenUsed/>
    <w:rsid w:val="00207889"/>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207889"/>
    <w:rPr>
      <w:b/>
      <w:bCs/>
    </w:rPr>
  </w:style>
  <w:style w:type="paragraph" w:styleId="PrformatHTML">
    <w:name w:val="HTML Preformatted"/>
    <w:basedOn w:val="Normal"/>
    <w:link w:val="PrformatHTMLCar"/>
    <w:uiPriority w:val="99"/>
    <w:semiHidden/>
    <w:unhideWhenUsed/>
    <w:rsid w:val="00207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207889"/>
    <w:rPr>
      <w:rFonts w:ascii="Courier New" w:eastAsia="Times New Roman" w:hAnsi="Courier New" w:cs="Courier New"/>
      <w:sz w:val="20"/>
      <w:szCs w:val="20"/>
      <w:lang w:eastAsia="fr-FR"/>
    </w:rPr>
  </w:style>
  <w:style w:type="character" w:styleId="CodeHTML">
    <w:name w:val="HTML Code"/>
    <w:basedOn w:val="Policepardfaut"/>
    <w:uiPriority w:val="99"/>
    <w:semiHidden/>
    <w:unhideWhenUsed/>
    <w:rsid w:val="00207889"/>
    <w:rPr>
      <w:rFonts w:ascii="Courier New" w:eastAsia="Times New Roman" w:hAnsi="Courier New" w:cs="Courier New"/>
      <w:sz w:val="20"/>
      <w:szCs w:val="20"/>
    </w:rPr>
  </w:style>
  <w:style w:type="character" w:customStyle="1" w:styleId="hljs-punctuation">
    <w:name w:val="hljs-punctuation"/>
    <w:basedOn w:val="Policepardfaut"/>
    <w:rsid w:val="00207889"/>
  </w:style>
  <w:style w:type="character" w:customStyle="1" w:styleId="hljs-builtin">
    <w:name w:val="hljs-built_in"/>
    <w:basedOn w:val="Policepardfaut"/>
    <w:rsid w:val="00207889"/>
  </w:style>
  <w:style w:type="character" w:customStyle="1" w:styleId="hljs-string">
    <w:name w:val="hljs-string"/>
    <w:basedOn w:val="Policepardfaut"/>
    <w:rsid w:val="00207889"/>
  </w:style>
  <w:style w:type="character" w:customStyle="1" w:styleId="hljs-operator">
    <w:name w:val="hljs-operator"/>
    <w:basedOn w:val="Policepardfaut"/>
    <w:rsid w:val="00207889"/>
  </w:style>
  <w:style w:type="character" w:customStyle="1" w:styleId="hljs-literal">
    <w:name w:val="hljs-literal"/>
    <w:basedOn w:val="Policepardfaut"/>
    <w:rsid w:val="00207889"/>
  </w:style>
  <w:style w:type="character" w:customStyle="1" w:styleId="Titre4Car">
    <w:name w:val="Titre 4 Car"/>
    <w:basedOn w:val="Policepardfaut"/>
    <w:link w:val="Titre4"/>
    <w:uiPriority w:val="9"/>
    <w:semiHidden/>
    <w:rsid w:val="007E328E"/>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8438774">
      <w:bodyDiv w:val="1"/>
      <w:marLeft w:val="0"/>
      <w:marRight w:val="0"/>
      <w:marTop w:val="0"/>
      <w:marBottom w:val="0"/>
      <w:divBdr>
        <w:top w:val="none" w:sz="0" w:space="0" w:color="auto"/>
        <w:left w:val="none" w:sz="0" w:space="0" w:color="auto"/>
        <w:bottom w:val="none" w:sz="0" w:space="0" w:color="auto"/>
        <w:right w:val="none" w:sz="0" w:space="0" w:color="auto"/>
      </w:divBdr>
    </w:div>
    <w:div w:id="497843864">
      <w:bodyDiv w:val="1"/>
      <w:marLeft w:val="0"/>
      <w:marRight w:val="0"/>
      <w:marTop w:val="0"/>
      <w:marBottom w:val="0"/>
      <w:divBdr>
        <w:top w:val="none" w:sz="0" w:space="0" w:color="auto"/>
        <w:left w:val="none" w:sz="0" w:space="0" w:color="auto"/>
        <w:bottom w:val="none" w:sz="0" w:space="0" w:color="auto"/>
        <w:right w:val="none" w:sz="0" w:space="0" w:color="auto"/>
      </w:divBdr>
    </w:div>
    <w:div w:id="792134859">
      <w:bodyDiv w:val="1"/>
      <w:marLeft w:val="0"/>
      <w:marRight w:val="0"/>
      <w:marTop w:val="0"/>
      <w:marBottom w:val="0"/>
      <w:divBdr>
        <w:top w:val="none" w:sz="0" w:space="0" w:color="auto"/>
        <w:left w:val="none" w:sz="0" w:space="0" w:color="auto"/>
        <w:bottom w:val="none" w:sz="0" w:space="0" w:color="auto"/>
        <w:right w:val="none" w:sz="0" w:space="0" w:color="auto"/>
      </w:divBdr>
      <w:divsChild>
        <w:div w:id="171800014">
          <w:marLeft w:val="0"/>
          <w:marRight w:val="0"/>
          <w:marTop w:val="0"/>
          <w:marBottom w:val="0"/>
          <w:divBdr>
            <w:top w:val="none" w:sz="0" w:space="0" w:color="auto"/>
            <w:left w:val="none" w:sz="0" w:space="0" w:color="auto"/>
            <w:bottom w:val="none" w:sz="0" w:space="0" w:color="auto"/>
            <w:right w:val="none" w:sz="0" w:space="0" w:color="auto"/>
          </w:divBdr>
          <w:divsChild>
            <w:div w:id="1430541310">
              <w:marLeft w:val="0"/>
              <w:marRight w:val="0"/>
              <w:marTop w:val="0"/>
              <w:marBottom w:val="0"/>
              <w:divBdr>
                <w:top w:val="none" w:sz="0" w:space="0" w:color="auto"/>
                <w:left w:val="none" w:sz="0" w:space="0" w:color="auto"/>
                <w:bottom w:val="none" w:sz="0" w:space="0" w:color="auto"/>
                <w:right w:val="none" w:sz="0" w:space="0" w:color="auto"/>
              </w:divBdr>
            </w:div>
            <w:div w:id="1064525864">
              <w:marLeft w:val="0"/>
              <w:marRight w:val="0"/>
              <w:marTop w:val="0"/>
              <w:marBottom w:val="0"/>
              <w:divBdr>
                <w:top w:val="none" w:sz="0" w:space="0" w:color="auto"/>
                <w:left w:val="none" w:sz="0" w:space="0" w:color="auto"/>
                <w:bottom w:val="none" w:sz="0" w:space="0" w:color="auto"/>
                <w:right w:val="none" w:sz="0" w:space="0" w:color="auto"/>
              </w:divBdr>
              <w:divsChild>
                <w:div w:id="1212158071">
                  <w:marLeft w:val="0"/>
                  <w:marRight w:val="0"/>
                  <w:marTop w:val="0"/>
                  <w:marBottom w:val="0"/>
                  <w:divBdr>
                    <w:top w:val="none" w:sz="0" w:space="0" w:color="auto"/>
                    <w:left w:val="none" w:sz="0" w:space="0" w:color="auto"/>
                    <w:bottom w:val="none" w:sz="0" w:space="0" w:color="auto"/>
                    <w:right w:val="none" w:sz="0" w:space="0" w:color="auto"/>
                  </w:divBdr>
                  <w:divsChild>
                    <w:div w:id="141127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560432">
              <w:marLeft w:val="0"/>
              <w:marRight w:val="0"/>
              <w:marTop w:val="0"/>
              <w:marBottom w:val="0"/>
              <w:divBdr>
                <w:top w:val="none" w:sz="0" w:space="0" w:color="auto"/>
                <w:left w:val="none" w:sz="0" w:space="0" w:color="auto"/>
                <w:bottom w:val="none" w:sz="0" w:space="0" w:color="auto"/>
                <w:right w:val="none" w:sz="0" w:space="0" w:color="auto"/>
              </w:divBdr>
            </w:div>
          </w:divsChild>
        </w:div>
        <w:div w:id="532622599">
          <w:marLeft w:val="0"/>
          <w:marRight w:val="0"/>
          <w:marTop w:val="0"/>
          <w:marBottom w:val="0"/>
          <w:divBdr>
            <w:top w:val="none" w:sz="0" w:space="0" w:color="auto"/>
            <w:left w:val="none" w:sz="0" w:space="0" w:color="auto"/>
            <w:bottom w:val="none" w:sz="0" w:space="0" w:color="auto"/>
            <w:right w:val="none" w:sz="0" w:space="0" w:color="auto"/>
          </w:divBdr>
          <w:divsChild>
            <w:div w:id="1975790963">
              <w:marLeft w:val="0"/>
              <w:marRight w:val="0"/>
              <w:marTop w:val="0"/>
              <w:marBottom w:val="0"/>
              <w:divBdr>
                <w:top w:val="none" w:sz="0" w:space="0" w:color="auto"/>
                <w:left w:val="none" w:sz="0" w:space="0" w:color="auto"/>
                <w:bottom w:val="none" w:sz="0" w:space="0" w:color="auto"/>
                <w:right w:val="none" w:sz="0" w:space="0" w:color="auto"/>
              </w:divBdr>
            </w:div>
            <w:div w:id="1908146742">
              <w:marLeft w:val="0"/>
              <w:marRight w:val="0"/>
              <w:marTop w:val="0"/>
              <w:marBottom w:val="0"/>
              <w:divBdr>
                <w:top w:val="none" w:sz="0" w:space="0" w:color="auto"/>
                <w:left w:val="none" w:sz="0" w:space="0" w:color="auto"/>
                <w:bottom w:val="none" w:sz="0" w:space="0" w:color="auto"/>
                <w:right w:val="none" w:sz="0" w:space="0" w:color="auto"/>
              </w:divBdr>
              <w:divsChild>
                <w:div w:id="1687830208">
                  <w:marLeft w:val="0"/>
                  <w:marRight w:val="0"/>
                  <w:marTop w:val="0"/>
                  <w:marBottom w:val="0"/>
                  <w:divBdr>
                    <w:top w:val="none" w:sz="0" w:space="0" w:color="auto"/>
                    <w:left w:val="none" w:sz="0" w:space="0" w:color="auto"/>
                    <w:bottom w:val="none" w:sz="0" w:space="0" w:color="auto"/>
                    <w:right w:val="none" w:sz="0" w:space="0" w:color="auto"/>
                  </w:divBdr>
                  <w:divsChild>
                    <w:div w:id="86456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07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115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421</Words>
  <Characters>2318</Characters>
  <Application>Microsoft Office Word</Application>
  <DocSecurity>0</DocSecurity>
  <Lines>19</Lines>
  <Paragraphs>5</Paragraphs>
  <ScaleCrop>false</ScaleCrop>
  <HeadingPairs>
    <vt:vector size="4" baseType="variant">
      <vt:variant>
        <vt:lpstr>Titre</vt:lpstr>
      </vt:variant>
      <vt:variant>
        <vt:i4>1</vt:i4>
      </vt:variant>
      <vt:variant>
        <vt:lpstr>Titres</vt:lpstr>
      </vt:variant>
      <vt:variant>
        <vt:i4>8</vt:i4>
      </vt:variant>
    </vt:vector>
  </HeadingPairs>
  <TitlesOfParts>
    <vt:vector size="9" baseType="lpstr">
      <vt:lpstr/>
      <vt:lpstr>        Rapport Fonctionnel de l'Application Shiny - Analyse de la Performance Énergétiq</vt:lpstr>
      <vt:lpstr>        </vt:lpstr>
      <vt:lpstr>        1. Page d'Accueil - KPI Énergétiques</vt:lpstr>
      <vt:lpstr>        2. Page Graphiques - Visualisation des Données</vt:lpstr>
      <vt:lpstr>        3. Page Corrélation - Analyse Statistique</vt:lpstr>
      <vt:lpstr>        4. Page de Chargement des Données</vt:lpstr>
      <vt:lpstr>        Fonctionnalités Générales</vt:lpstr>
      <vt:lpstr>        Conclusion</vt:lpstr>
    </vt:vector>
  </TitlesOfParts>
  <Company/>
  <LinksUpToDate>false</LinksUpToDate>
  <CharactersWithSpaces>2734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 Argoud</dc:creator>
  <cp:keywords/>
  <dc:description/>
  <cp:lastModifiedBy>Theo Argoud</cp:lastModifiedBy>
  <cp:revision>2</cp:revision>
  <dcterms:created xsi:type="dcterms:W3CDTF">2024-10-13T17:04:00Z</dcterms:created>
  <dcterms:modified xsi:type="dcterms:W3CDTF">2024-10-13T17:04:00Z</dcterms:modified>
</cp:coreProperties>
</file>