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[9].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[5]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[8].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[1]. The s3df-workflow repository adapts those ideas to the S3DF setting [6].</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r>
        <w:drawing>
          <wp:inline xmlns:a="http://schemas.openxmlformats.org/drawingml/2006/main" xmlns:pic="http://schemas.openxmlformats.org/drawingml/2006/picture">
            <wp:extent cx="3017520" cy="21891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2189114"/>
                    </a:xfrm>
                    <a:prstGeom prst="rect"/>
                  </pic:spPr>
                </pic:pic>
              </a:graphicData>
            </a:graphic>
          </wp:inline>
        </w:drawing>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