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sz w:val="20"/>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sz w:val="20"/>
        </w:rPr>
        <w:t>Keywords—agentic AI; scientific workflows; S3DF; high-performance computing; workflow automation; skills;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r>
        <w:rPr>
          <w:b/>
          <w:sz w:val="20"/>
        </w:rPr>
        <w:t xml:space="preserve">Human-in-the-loop execution. </w:t>
      </w:r>
      <w:r>
        <w:rPr>
          <w:sz w:val="20"/>
        </w:rP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spacing w:after="80"/>
        <w:ind w:firstLine="280"/>
      </w:pP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r>
        <w:rPr>
          <w:i/>
          <w:sz w:val="16"/>
        </w:rPr>
        <w:t>Fig. 2. Agent skills model for the S3DF workflow framework. Each skill addresses a specific responsibility in the workflow lifecycle.</w:t>
      </w:r>
    </w:p>
    <w:p>
      <w:pPr>
        <w:spacing w:after="80"/>
        <w:ind w:firstLine="280"/>
      </w:pPr>
      <w:r>
        <w:rPr>
          <w:sz w:val="20"/>
        </w:rPr>
        <w:t>A skill is a reusable agent capability with a defined purpose, inputs, outputs, and validation expectations [6]. Fig. 2 illustrates the skills model.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rPr>
          <w:sz w:val="20"/>
        </w:rPr>
        <w:t>With the skills and tool-integration model defined, we now describe the concrete implementation. The prototype is organized in the s3df-workflow repository [6], as shown in Fig. 3,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i/>
          <w:sz w:val="16"/>
        </w:rPr>
        <w:t>Fig. 3.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rPr>
          <w:sz w:val="20"/>
        </w:rP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 Fig. 4 illustrates the end-to-end execution pipeline, and Fig. 5 shows representative multipacting results.</w:t>
      </w:r>
    </w:p>
    <w:p>
      <w:pPr>
        <w:jc w:val="center"/>
      </w:pPr>
      <w:r>
        <w:drawing>
          <wp:inline xmlns:a="http://schemas.openxmlformats.org/drawingml/2006/main" xmlns:pic="http://schemas.openxmlformats.org/drawingml/2006/picture">
            <wp:extent cx="3017520" cy="1508002"/>
            <wp:docPr id="6" name="Picture 6"/>
            <wp:cNvGraphicFramePr>
              <a:graphicFrameLocks noChangeAspect="1"/>
            </wp:cNvGraphicFramePr>
            <a:graphic>
              <a:graphicData uri="http://schemas.openxmlformats.org/drawingml/2006/picture">
                <pic:pic>
                  <pic:nvPicPr>
                    <pic:cNvPr id="0" name="image4.png"/>
                    <pic:cNvPicPr/>
                  </pic:nvPicPr>
                  <pic:blipFill>
                    <a:blip r:embed="rId14"/>
                    <a:stretch>
                      <a:fillRect/>
                    </a:stretch>
                  </pic:blipFill>
                  <pic:spPr>
                    <a:xfrm>
                      <a:off x="0" y="0"/>
                      <a:ext cx="3017520" cy="1508002"/>
                    </a:xfrm>
                    <a:prstGeom prst="rect"/>
                  </pic:spPr>
                </pic:pic>
              </a:graphicData>
            </a:graphic>
          </wp:inline>
        </w:drawing>
      </w:r>
    </w:p>
    <w:p>
      <w:pPr>
        <w:jc w:val="center"/>
      </w:pPr>
      <w:r>
        <w:rPr>
          <w:i/>
          <w:sz w:val="16"/>
        </w:rPr>
        <w:t>Fig. 4. End-to-end workflow execution pipeline from natural-language user request to simulation results on S3DF.</w:t>
      </w:r>
    </w:p>
    <w:p>
      <w:pPr>
        <w:jc w:val="center"/>
      </w:pPr>
      <w:r>
        <w:drawing>
          <wp:inline xmlns:a="http://schemas.openxmlformats.org/drawingml/2006/main" xmlns:pic="http://schemas.openxmlformats.org/drawingml/2006/picture">
            <wp:extent cx="2926080" cy="1816901"/>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2926080" cy="1816901"/>
                    </a:xfrm>
                    <a:prstGeom prst="rect"/>
                  </pic:spPr>
                </pic:pic>
              </a:graphicData>
            </a:graphic>
          </wp:inline>
        </w:drawing>
      </w:r>
    </w:p>
    <w:p>
      <w:pPr>
        <w:jc w:val="center"/>
      </w:pPr>
      <w:r>
        <w:rPr>
          <w:i/>
          <w:sz w:val="16"/>
        </w:rPr>
        <w:t>Fig. 5. Multipacting analysis results automatically generated through workflow post-processing on S3DF.</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