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5f1d6b3ddad68492289bff6f4f3036213cc4100"/>
    <w:p>
      <w:pPr>
        <w:pStyle w:val="Heading1"/>
      </w:pPr>
      <w:r>
        <w:t xml:space="preserve">AI Prompt Strategy for ISO 20022 Message Generation (Oracle RTGS Context)</w:t>
      </w:r>
    </w:p>
    <w:bookmarkStart w:id="26" w:name="overview-and-objectives"/>
    <w:p>
      <w:pPr>
        <w:pStyle w:val="Heading2"/>
      </w:pPr>
      <w:r>
        <w:t xml:space="preserve">Overview and Objectives</w:t>
      </w:r>
    </w:p>
    <w:p>
      <w:pPr>
        <w:pStyle w:val="FirstParagraph"/>
      </w:pPr>
      <w:r>
        <w:t xml:space="preserve">This prompt strategy equips an AI coding assistant (like GitHub Copilot or Codex in VS Code) with comprehensive knowledge of</w:t>
      </w:r>
      <w:r>
        <w:t xml:space="preserve"> </w:t>
      </w:r>
      <w:r>
        <w:rPr>
          <w:b/>
          <w:bCs/>
        </w:rPr>
        <w:t xml:space="preserve">ISO 20022 payment messages</w:t>
      </w:r>
      <w:r>
        <w:t xml:space="preserve"> </w:t>
      </w:r>
      <w:r>
        <w:t xml:space="preserve">in the context of the National Bank of Georgia (NBG) RTGS upgrade. The goal is to guide the AI to help Oracle PL/SQL developers migrate from legacy SWIFT MT messages to ISO 20022 XML messages,</w:t>
      </w:r>
      <w:r>
        <w:t xml:space="preserve"> </w:t>
      </w:r>
      <w:r>
        <w:rPr>
          <w:b/>
          <w:bCs/>
        </w:rPr>
        <w:t xml:space="preserve">while preserving the existing PL/SQL logic flows</w:t>
      </w:r>
      <w:r>
        <w:t xml:space="preserve">. Key objectives include: understanding the Georgian RTGS message formats (per Montran’s ATS documentation), generating correct ISO 20022 XML (pacs/camt) to replace MT messages, and ensuring the output adheres to SWIFT CBPR+ or NBG-specific format rules. The prompt will embed relevant domain knowledge from the provided PDFs and outline a modular approach for XML generation. It will also provide example prompt usages for developers.</w:t>
      </w:r>
    </w:p>
    <w:p>
      <w:pPr>
        <w:pStyle w:val="BodyText"/>
      </w:pPr>
      <w:r>
        <w:rPr>
          <w:b/>
          <w:bCs/>
        </w:rPr>
        <w:t xml:space="preserve">Scope of ISO 20022 Messages:</w:t>
      </w:r>
      <w:r>
        <w:t xml:space="preserve"> </w:t>
      </w:r>
      <w:r>
        <w:t xml:space="preserve">In this context, the main messages of interest are:</w:t>
      </w:r>
    </w:p>
    <w:p>
      <w:pPr>
        <w:pStyle w:val="Compact"/>
        <w:numPr>
          <w:ilvl w:val="0"/>
          <w:numId w:val="1001"/>
        </w:numPr>
      </w:pPr>
      <w:r>
        <w:rPr>
          <w:b/>
          <w:bCs/>
        </w:rPr>
        <w:t xml:space="preserve">pacs.008</w:t>
      </w:r>
      <w:r>
        <w:t xml:space="preserve"> </w:t>
      </w:r>
      <w:r>
        <w:t xml:space="preserve">– FI to FI</w:t>
      </w:r>
      <w:r>
        <w:t xml:space="preserve"> </w:t>
      </w:r>
      <w:r>
        <w:rPr>
          <w:i/>
          <w:iCs/>
        </w:rPr>
        <w:t xml:space="preserve">Customer</w:t>
      </w:r>
      <w:r>
        <w:t xml:space="preserve"> </w:t>
      </w:r>
      <w:r>
        <w:t xml:space="preserve">Credit Transfer (replacing SWIFT MT103 customer payments)</w:t>
      </w:r>
      <w:hyperlink r:id="rId21">
        <w:r>
          <w:rPr>
            <w:rStyle w:val="Hyperlink"/>
          </w:rPr>
          <w:t xml:space="preserve">[1]</w:t>
        </w:r>
      </w:hyperlink>
      <w:r>
        <w:t xml:space="preserve">.</w:t>
      </w:r>
    </w:p>
    <w:p>
      <w:pPr>
        <w:pStyle w:val="Compact"/>
        <w:numPr>
          <w:ilvl w:val="0"/>
          <w:numId w:val="1001"/>
        </w:numPr>
      </w:pPr>
      <w:r>
        <w:rPr>
          <w:b/>
          <w:bCs/>
        </w:rPr>
        <w:t xml:space="preserve">pacs.009</w:t>
      </w:r>
      <w:r>
        <w:t xml:space="preserve"> </w:t>
      </w:r>
      <w:r>
        <w:t xml:space="preserve">– FI to FI</w:t>
      </w:r>
      <w:r>
        <w:t xml:space="preserve"> </w:t>
      </w:r>
      <w:r>
        <w:rPr>
          <w:i/>
          <w:iCs/>
        </w:rPr>
        <w:t xml:space="preserve">Institution</w:t>
      </w:r>
      <w:r>
        <w:t xml:space="preserve"> </w:t>
      </w:r>
      <w:r>
        <w:t xml:space="preserve">Credit Transfer (replacing SWIFT MT202 interbank transfers)</w:t>
      </w:r>
      <w:hyperlink r:id="rId22">
        <w:r>
          <w:rPr>
            <w:rStyle w:val="Hyperlink"/>
          </w:rPr>
          <w:t xml:space="preserve">[2]</w:t>
        </w:r>
      </w:hyperlink>
      <w:r>
        <w:t xml:space="preserve">.</w:t>
      </w:r>
    </w:p>
    <w:p>
      <w:pPr>
        <w:pStyle w:val="Compact"/>
        <w:numPr>
          <w:ilvl w:val="0"/>
          <w:numId w:val="1001"/>
        </w:numPr>
      </w:pPr>
      <w:r>
        <w:rPr>
          <w:b/>
          <w:bCs/>
        </w:rPr>
        <w:t xml:space="preserve">camt.056</w:t>
      </w:r>
      <w:r>
        <w:t xml:space="preserve"> </w:t>
      </w:r>
      <w:r>
        <w:t xml:space="preserve">– FI to FI Payment Cancellation Request (replacing SWIFT MT 192/292 cancellation requests, or MT204 recall requests)</w:t>
      </w:r>
      <w:hyperlink r:id="rId23">
        <w:r>
          <w:rPr>
            <w:rStyle w:val="Hyperlink"/>
          </w:rPr>
          <w:t xml:space="preserve">[3]</w:t>
        </w:r>
      </w:hyperlink>
      <w:r>
        <w:t xml:space="preserve">.</w:t>
      </w:r>
    </w:p>
    <w:p>
      <w:pPr>
        <w:pStyle w:val="Compact"/>
        <w:numPr>
          <w:ilvl w:val="0"/>
          <w:numId w:val="1001"/>
        </w:numPr>
      </w:pPr>
      <w:r>
        <w:rPr>
          <w:i/>
          <w:iCs/>
        </w:rPr>
        <w:t xml:space="preserve">(Related: pacs.004 Payment Return is used to return funds in response to a recall, analogous to an MT n99 confirmation of return</w:t>
      </w:r>
      <w:hyperlink r:id="rId24">
        <w:r>
          <w:rPr>
            <w:rStyle w:val="Hyperlink"/>
            <w:i/>
            <w:iCs/>
          </w:rPr>
          <w:t xml:space="preserve">[4]</w:t>
        </w:r>
      </w:hyperlink>
      <w:r>
        <w:rPr>
          <w:i/>
          <w:iCs/>
        </w:rPr>
        <w:t xml:space="preserve">.)</w:t>
      </w:r>
    </w:p>
    <w:p>
      <w:pPr>
        <w:pStyle w:val="FirstParagraph"/>
      </w:pPr>
      <w:r>
        <w:t xml:space="preserve">The assistant should also understand supporting messages (e.g. pacs.002 status reports) and the</w:t>
      </w:r>
      <w:r>
        <w:t xml:space="preserve"> </w:t>
      </w:r>
      <w:r>
        <w:rPr>
          <w:b/>
          <w:bCs/>
        </w:rPr>
        <w:t xml:space="preserve">Business Application Header</w:t>
      </w:r>
      <w:r>
        <w:t xml:space="preserve"> </w:t>
      </w:r>
      <w:r>
        <w:t xml:space="preserve">(head.001) that wraps ISO 20022 messages</w:t>
      </w:r>
      <w:hyperlink r:id="rId25">
        <w:r>
          <w:rPr>
            <w:rStyle w:val="Hyperlink"/>
          </w:rPr>
          <w:t xml:space="preserve">[5]</w:t>
        </w:r>
      </w:hyperlink>
      <w:r>
        <w:t xml:space="preserve">.</w:t>
      </w:r>
    </w:p>
    <w:p>
      <w:pPr>
        <w:pStyle w:val="BodyText"/>
      </w:pPr>
      <w:r>
        <w:t xml:space="preserve">By using the</w:t>
      </w:r>
      <w:r>
        <w:t xml:space="preserve"> </w:t>
      </w:r>
      <w:r>
        <w:rPr>
          <w:b/>
          <w:bCs/>
        </w:rPr>
        <w:t xml:space="preserve">master prompt</w:t>
      </w:r>
      <w:r>
        <w:t xml:space="preserve"> </w:t>
      </w:r>
      <w:r>
        <w:t xml:space="preserve">below, developers can prime the AI with this knowledge. They can then ask it to</w:t>
      </w:r>
      <w:r>
        <w:t xml:space="preserve"> </w:t>
      </w:r>
      <w:r>
        <w:rPr>
          <w:b/>
          <w:bCs/>
        </w:rPr>
        <w:t xml:space="preserve">generate PL/SQL code</w:t>
      </w:r>
      <w:r>
        <w:t xml:space="preserve"> </w:t>
      </w:r>
      <w:r>
        <w:t xml:space="preserve">that produces ISO XML messages or to</w:t>
      </w:r>
      <w:r>
        <w:t xml:space="preserve"> </w:t>
      </w:r>
      <w:r>
        <w:rPr>
          <w:b/>
          <w:bCs/>
        </w:rPr>
        <w:t xml:space="preserve">parse incoming XML</w:t>
      </w:r>
      <w:r>
        <w:t xml:space="preserve"> </w:t>
      </w:r>
      <w:r>
        <w:t xml:space="preserve">messages, with high confidence that the AI will include all required fields according to the standards and NBG’s specifications.</w:t>
      </w:r>
    </w:p>
    <w:bookmarkEnd w:id="26"/>
    <w:bookmarkStart w:id="27" w:name="legacy-mt-to-iso-20022-mapping"/>
    <w:p>
      <w:pPr>
        <w:pStyle w:val="Heading2"/>
      </w:pPr>
      <w:r>
        <w:t xml:space="preserve">Legacy MT to ISO 20022 Mapping</w:t>
      </w:r>
    </w:p>
    <w:p>
      <w:pPr>
        <w:pStyle w:val="FirstParagraph"/>
      </w:pPr>
      <w:r>
        <w:t xml:space="preserve">To transition from SWIFT MT to ISO 20022 (MX) messages, the prompt will inform the AI of direct mappings and replacements:</w:t>
      </w:r>
    </w:p>
    <w:p>
      <w:pPr>
        <w:pStyle w:val="Compact"/>
        <w:numPr>
          <w:ilvl w:val="0"/>
          <w:numId w:val="1002"/>
        </w:numPr>
      </w:pPr>
      <w:r>
        <w:rPr>
          <w:b/>
          <w:bCs/>
        </w:rPr>
        <w:t xml:space="preserve">MT103 (Customer Transfer)</w:t>
      </w:r>
      <w:r>
        <w:t xml:space="preserve"> </w:t>
      </w:r>
      <w:r>
        <w:t xml:space="preserve">→</w:t>
      </w:r>
      <w:r>
        <w:t xml:space="preserve"> </w:t>
      </w:r>
      <w:r>
        <w:rPr>
          <w:b/>
          <w:bCs/>
        </w:rPr>
        <w:t xml:space="preserve">pacs.008.001.08</w:t>
      </w:r>
      <w:r>
        <w:t xml:space="preserve"> </w:t>
      </w:r>
      <w:r>
        <w:t xml:space="preserve">(FI to FI Customer Credit Transfer) for single customer payments</w:t>
      </w:r>
      <w:hyperlink r:id="rId21">
        <w:r>
          <w:rPr>
            <w:rStyle w:val="Hyperlink"/>
          </w:rPr>
          <w:t xml:space="preserve">[1]</w:t>
        </w:r>
      </w:hyperlink>
      <w:r>
        <w:t xml:space="preserve">. Pacs.008 carries details of the end customer (payer and beneficiary) alongside the interbank settlement info.</w:t>
      </w:r>
    </w:p>
    <w:p>
      <w:pPr>
        <w:pStyle w:val="Compact"/>
        <w:numPr>
          <w:ilvl w:val="0"/>
          <w:numId w:val="1002"/>
        </w:numPr>
      </w:pPr>
      <w:r>
        <w:rPr>
          <w:b/>
          <w:bCs/>
        </w:rPr>
        <w:t xml:space="preserve">MT202 (Bank Transfer)</w:t>
      </w:r>
      <w:r>
        <w:t xml:space="preserve"> </w:t>
      </w:r>
      <w:r>
        <w:t xml:space="preserve">→</w:t>
      </w:r>
      <w:r>
        <w:t xml:space="preserve"> </w:t>
      </w:r>
      <w:r>
        <w:rPr>
          <w:b/>
          <w:bCs/>
        </w:rPr>
        <w:t xml:space="preserve">pacs.009.001.08</w:t>
      </w:r>
      <w:r>
        <w:t xml:space="preserve"> </w:t>
      </w:r>
      <w:r>
        <w:t xml:space="preserve">(FI to FI Credit Transfer) for general financial institution transfers</w:t>
      </w:r>
      <w:hyperlink r:id="rId22">
        <w:r>
          <w:rPr>
            <w:rStyle w:val="Hyperlink"/>
          </w:rPr>
          <w:t xml:space="preserve">[2]</w:t>
        </w:r>
      </w:hyperlink>
      <w:r>
        <w:t xml:space="preserve">. Pacs.009 is used for interbank payments or liquidity transfers where both debtor and creditor are financial institutions (no end-customer data).</w:t>
      </w:r>
    </w:p>
    <w:p>
      <w:pPr>
        <w:pStyle w:val="Compact"/>
        <w:numPr>
          <w:ilvl w:val="0"/>
          <w:numId w:val="1002"/>
        </w:numPr>
      </w:pPr>
      <w:r>
        <w:rPr>
          <w:b/>
          <w:bCs/>
        </w:rPr>
        <w:t xml:space="preserve">MT204 (Payment Order)</w:t>
      </w:r>
      <w:r>
        <w:t xml:space="preserve"> </w:t>
      </w:r>
      <w:r>
        <w:t xml:space="preserve">→</w:t>
      </w:r>
      <w:r>
        <w:t xml:space="preserve"> </w:t>
      </w:r>
      <w:r>
        <w:rPr>
          <w:i/>
          <w:iCs/>
        </w:rPr>
        <w:t xml:space="preserve">Likely replaced by recall/cancellation messages:</w:t>
      </w:r>
      <w:r>
        <w:t xml:space="preserve"> </w:t>
      </w:r>
      <w:r>
        <w:t xml:space="preserve">For example, an MTn92 or MT204 used to cancel or recall a payment is replaced by</w:t>
      </w:r>
      <w:r>
        <w:t xml:space="preserve"> </w:t>
      </w:r>
      <w:r>
        <w:rPr>
          <w:b/>
          <w:bCs/>
        </w:rPr>
        <w:t xml:space="preserve">camt.056</w:t>
      </w:r>
      <w:r>
        <w:t xml:space="preserve"> </w:t>
      </w:r>
      <w:r>
        <w:t xml:space="preserve">(Payment Cancellation Request)</w:t>
      </w:r>
      <w:hyperlink r:id="rId23">
        <w:r>
          <w:rPr>
            <w:rStyle w:val="Hyperlink"/>
          </w:rPr>
          <w:t xml:space="preserve">[3]</w:t>
        </w:r>
      </w:hyperlink>
      <w:r>
        <w:t xml:space="preserve">. If a recall is accepted, the funds are returned via</w:t>
      </w:r>
      <w:r>
        <w:t xml:space="preserve"> </w:t>
      </w:r>
      <w:r>
        <w:rPr>
          <w:b/>
          <w:bCs/>
        </w:rPr>
        <w:t xml:space="preserve">pacs.004</w:t>
      </w:r>
      <w:r>
        <w:t xml:space="preserve"> </w:t>
      </w:r>
      <w:r>
        <w:t xml:space="preserve">(Payment Return)</w:t>
      </w:r>
      <w:hyperlink r:id="rId24">
        <w:r>
          <w:rPr>
            <w:rStyle w:val="Hyperlink"/>
          </w:rPr>
          <w:t xml:space="preserve">[4]</w:t>
        </w:r>
      </w:hyperlink>
      <w:r>
        <w:t xml:space="preserve">.</w:t>
      </w:r>
    </w:p>
    <w:p>
      <w:pPr>
        <w:pStyle w:val="Compact"/>
        <w:numPr>
          <w:ilvl w:val="0"/>
          <w:numId w:val="1002"/>
        </w:numPr>
      </w:pPr>
      <w:r>
        <w:rPr>
          <w:i/>
          <w:iCs/>
        </w:rPr>
        <w:t xml:space="preserve">(General acknowledgments like MTxxx ACK/NAK are replaced by ISO</w:t>
      </w:r>
      <w:r>
        <w:t xml:space="preserve"> </w:t>
      </w:r>
      <w:r>
        <w:rPr>
          <w:i/>
          <w:iCs/>
        </w:rPr>
        <w:t xml:space="preserve">pacs.002</w:t>
      </w:r>
      <w:r>
        <w:t xml:space="preserve"> </w:t>
      </w:r>
      <w:r>
        <w:rPr>
          <w:i/>
          <w:iCs/>
        </w:rPr>
        <w:t xml:space="preserve">status messages in the RTGS/ACH system, though pacs.002 is mainly a positive/negative confirmation of a payment instruction.)</w:t>
      </w:r>
    </w:p>
    <w:p>
      <w:pPr>
        <w:pStyle w:val="FirstParagraph"/>
      </w:pPr>
      <w:r>
        <w:t xml:space="preserve">The prompt will clarify these mappings so the AI knows which ISO message template to generate for a given MT-equivalent request. For instance, if a user asks the AI to “generate a pacs.008 for an MT103 payment,” the assistant will understand the context and produce the appropriate pacs.008 XML structure.</w:t>
      </w:r>
    </w:p>
    <w:bookmarkEnd w:id="27"/>
    <w:bookmarkStart w:id="54" w:name="Xaa9538e8fb09c6a15dd080222b5acde51019a83"/>
    <w:p>
      <w:pPr>
        <w:pStyle w:val="Heading2"/>
      </w:pPr>
      <w:r>
        <w:t xml:space="preserve">ISO 20022 Message Structure Guidelines (NBG RTGS)</w:t>
      </w:r>
    </w:p>
    <w:p>
      <w:pPr>
        <w:pStyle w:val="FirstParagraph"/>
      </w:pPr>
      <w:r>
        <w:t xml:space="preserve">The assistant will be instructed on the</w:t>
      </w:r>
      <w:r>
        <w:t xml:space="preserve"> </w:t>
      </w:r>
      <w:r>
        <w:rPr>
          <w:b/>
          <w:bCs/>
        </w:rPr>
        <w:t xml:space="preserve">structure and required fields</w:t>
      </w:r>
      <w:r>
        <w:t xml:space="preserve"> </w:t>
      </w:r>
      <w:r>
        <w:t xml:space="preserve">of each relevant ISO 20022 message type, especially as constrained by NBG’s RTGS/ACH implementation (Montran’s IAP 1.2 specs). Only the necessary business elements will be included (technical XSD fields are understood but not all need manual input). Key guidelines per message type:</w:t>
      </w:r>
    </w:p>
    <w:bookmarkStart w:id="43" w:name="Xae69c57e011c5484e59d1580226fa8b4609f452"/>
    <w:p>
      <w:pPr>
        <w:pStyle w:val="Heading3"/>
      </w:pPr>
      <w:r>
        <w:t xml:space="preserve">pacs.008 – FI to FI Customer Credit Transfer</w:t>
      </w:r>
    </w:p>
    <w:p>
      <w:pPr>
        <w:pStyle w:val="FirstParagraph"/>
      </w:pPr>
      <w:r>
        <w:rPr>
          <w:i/>
          <w:iCs/>
        </w:rPr>
        <w:t xml:space="preserve">Usage:</w:t>
      </w:r>
      <w:r>
        <w:t xml:space="preserve"> </w:t>
      </w:r>
      <w:r>
        <w:t xml:space="preserve">A single customer credit transfer between banks (replaces MT103)</w:t>
      </w:r>
      <w:hyperlink r:id="rId21">
        <w:r>
          <w:rPr>
            <w:rStyle w:val="Hyperlink"/>
          </w:rPr>
          <w:t xml:space="preserve">[1]</w:t>
        </w:r>
      </w:hyperlink>
      <w:r>
        <w:t xml:space="preserve">. One bank (Debtor Agent) sends funds on behalf of a customer (Debtor) to another bank (Creditor Agent) for the benefit of a customer (Creditor). In NBG’s RTGS, pacs.008 is used for high-value customer payments.</w:t>
      </w:r>
    </w:p>
    <w:p>
      <w:pPr>
        <w:pStyle w:val="BodyText"/>
      </w:pPr>
      <w:r>
        <w:rPr>
          <w:b/>
          <w:bCs/>
        </w:rPr>
        <w:t xml:space="preserve">Required XML Elements and Fields:</w:t>
      </w:r>
      <w:r>
        <w:br/>
      </w:r>
      <w:r>
        <w:t xml:space="preserve">-</w:t>
      </w:r>
      <w:r>
        <w:t xml:space="preserve"> </w:t>
      </w:r>
      <w:r>
        <w:rPr>
          <w:b/>
          <w:bCs/>
        </w:rPr>
        <w:t xml:space="preserve">Envelope and Header:</w:t>
      </w:r>
      <w:r>
        <w:t xml:space="preserve"> </w:t>
      </w:r>
      <w:r>
        <w:t xml:space="preserve">The message is wrapped in a</w:t>
      </w:r>
      <w:r>
        <w:t xml:space="preserve"> </w:t>
      </w:r>
      <w:r>
        <w:rPr>
          <w:rStyle w:val="VerbatimChar"/>
        </w:rPr>
        <w:t xml:space="preserve">&lt;Message&gt;</w:t>
      </w:r>
      <w:r>
        <w:t xml:space="preserve"> </w:t>
      </w:r>
      <w:r>
        <w:t xml:space="preserve">envelope with a Business Application Header (</w:t>
      </w:r>
      <w:r>
        <w:rPr>
          <w:rStyle w:val="VerbatimChar"/>
        </w:rPr>
        <w:t xml:space="preserve">&lt;AppHdr&gt;</w:t>
      </w:r>
      <w:r>
        <w:t xml:space="preserve">) and the document payload. The AI should always include an AppHdr containing sender/receiver BICs and message metadata, per NBG’s format</w:t>
      </w:r>
      <w:hyperlink r:id="rId25">
        <w:r>
          <w:rPr>
            <w:rStyle w:val="Hyperlink"/>
          </w:rPr>
          <w:t xml:space="preserve">[5]</w:t>
        </w:r>
      </w:hyperlink>
      <w:r>
        <w:t xml:space="preserve">. For example:</w:t>
      </w:r>
      <w:r>
        <w:t xml:space="preserve"> </w:t>
      </w:r>
      <w:r>
        <w:rPr>
          <w:rStyle w:val="VerbatimChar"/>
        </w:rPr>
        <w:t xml:space="preserve">&lt;AppHdr&gt;&lt;Fr&gt;&lt;FIId&gt;&lt;FinInstnId&gt;&lt;BICFI&gt;SenderBIC&lt;/BICFI&gt;…&lt;/FinInstnId&gt;&lt;/FIId&gt;&lt;/Fr&gt;&lt;To&gt;…ReceiverBIC…&lt;/To&gt;&lt;BizMsgIdr&gt;…&lt;/BizMsgIdr&gt;&lt;MsgDefIdr&gt;pacs.008.001.08&lt;/MsgDefIdr&gt;&lt;CreDt&gt;…&lt;/CreDt&gt;&lt;/AppHdr&gt;</w:t>
      </w:r>
      <w:r>
        <w:t xml:space="preserve">, followed by the</w:t>
      </w:r>
      <w:r>
        <w:t xml:space="preserve"> </w:t>
      </w:r>
      <w:r>
        <w:rPr>
          <w:rStyle w:val="VerbatimChar"/>
        </w:rPr>
        <w:t xml:space="preserve">&lt;Document&gt;</w:t>
      </w:r>
      <w:r>
        <w:t xml:space="preserve"> </w:t>
      </w:r>
      <w:r>
        <w:t xml:space="preserve">element for pacs.008. (The prompt will remind the AI to set</w:t>
      </w:r>
      <w:r>
        <w:t xml:space="preserve"> </w:t>
      </w:r>
      <w:r>
        <w:rPr>
          <w:rStyle w:val="VerbatimChar"/>
        </w:rPr>
        <w:t xml:space="preserve">MsgDefIdr</w:t>
      </w:r>
      <w:r>
        <w:t xml:space="preserve"> </w:t>
      </w:r>
      <w:r>
        <w:t xml:space="preserve">to the correct message type, and use unique BizMsgIdr and current timestamp for CreDt.)</w:t>
      </w:r>
    </w:p>
    <w:p>
      <w:pPr>
        <w:numPr>
          <w:ilvl w:val="0"/>
          <w:numId w:val="1003"/>
        </w:numPr>
      </w:pPr>
      <w:r>
        <w:rPr>
          <w:b/>
          <w:bCs/>
        </w:rPr>
        <w:t xml:space="preserve">Namespaces:</w:t>
      </w:r>
      <w:r>
        <w:t xml:space="preserve"> </w:t>
      </w:r>
      <w:r>
        <w:t xml:space="preserve">Inside</w:t>
      </w:r>
      <w:r>
        <w:t xml:space="preserve"> </w:t>
      </w:r>
      <w:r>
        <w:rPr>
          <w:rStyle w:val="VerbatimChar"/>
        </w:rPr>
        <w:t xml:space="preserve">&lt;Document&gt;</w:t>
      </w:r>
      <w:r>
        <w:t xml:space="preserve">, use the ISO 20022 namespace for the specific message schema (e.g.,</w:t>
      </w:r>
      <w:r>
        <w:t xml:space="preserve"> </w:t>
      </w:r>
      <w:r>
        <w:rPr>
          <w:rStyle w:val="VerbatimChar"/>
        </w:rPr>
        <w:t xml:space="preserve">xmlns="urn:iso:std:iso:20022:tech:xsd:pacs.008.001.08"</w:t>
      </w:r>
      <w:r>
        <w:t xml:space="preserve">). NBG’s “IAP 1.2” is a restricted schema, but it uses the same base namespace and message definition</w:t>
      </w:r>
      <w:hyperlink r:id="rId28">
        <w:r>
          <w:rPr>
            <w:rStyle w:val="Hyperlink"/>
          </w:rPr>
          <w:t xml:space="preserve">[6]</w:t>
        </w:r>
      </w:hyperlink>
      <w:r>
        <w:t xml:space="preserve">.</w:t>
      </w:r>
    </w:p>
    <w:p>
      <w:pPr>
        <w:numPr>
          <w:ilvl w:val="0"/>
          <w:numId w:val="1003"/>
        </w:numPr>
      </w:pPr>
      <w:r>
        <w:rPr>
          <w:b/>
          <w:bCs/>
        </w:rPr>
        <w:t xml:space="preserve">Group Header (GrpHdr):</w:t>
      </w:r>
      <w:r>
        <w:t xml:space="preserve"> </w:t>
      </w:r>
      <w:r>
        <w:t xml:space="preserve">Contains metadata for the message batch. For a single payment, set:</w:t>
      </w:r>
    </w:p>
    <w:p>
      <w:pPr>
        <w:pStyle w:val="Compact"/>
        <w:numPr>
          <w:ilvl w:val="0"/>
          <w:numId w:val="1003"/>
        </w:numPr>
      </w:pPr>
      <w:r>
        <w:rPr>
          <w:rStyle w:val="VerbatimChar"/>
        </w:rPr>
        <w:t xml:space="preserve">&lt;MsgId&gt;</w:t>
      </w:r>
      <w:r>
        <w:t xml:space="preserve">: Unique message ID (could be generated from system sequence).</w:t>
      </w:r>
    </w:p>
    <w:p>
      <w:pPr>
        <w:pStyle w:val="Compact"/>
        <w:numPr>
          <w:ilvl w:val="0"/>
          <w:numId w:val="1003"/>
        </w:numPr>
      </w:pPr>
      <w:r>
        <w:rPr>
          <w:rStyle w:val="VerbatimChar"/>
        </w:rPr>
        <w:t xml:space="preserve">&lt;CreDtTm&gt;</w:t>
      </w:r>
      <w:r>
        <w:t xml:space="preserve">: Creation date-time of the message.</w:t>
      </w:r>
    </w:p>
    <w:p>
      <w:pPr>
        <w:pStyle w:val="Compact"/>
        <w:numPr>
          <w:ilvl w:val="0"/>
          <w:numId w:val="1003"/>
        </w:numPr>
      </w:pPr>
      <w:r>
        <w:rPr>
          <w:rStyle w:val="VerbatimChar"/>
        </w:rPr>
        <w:t xml:space="preserve">&lt;NbOfTxs&gt;</w:t>
      </w:r>
      <w:r>
        <w:t xml:space="preserve">: Number of transactions (e.g. “1”).</w:t>
      </w:r>
    </w:p>
    <w:p>
      <w:pPr>
        <w:pStyle w:val="Compact"/>
        <w:numPr>
          <w:ilvl w:val="0"/>
          <w:numId w:val="1003"/>
        </w:numPr>
      </w:pPr>
      <w:r>
        <w:rPr>
          <w:rStyle w:val="VerbatimChar"/>
        </w:rPr>
        <w:t xml:space="preserve">&lt;SttlmInf&gt;</w:t>
      </w:r>
      <w:r>
        <w:t xml:space="preserve">: Settlement method and network info. Use</w:t>
      </w:r>
      <w:r>
        <w:t xml:space="preserve"> </w:t>
      </w:r>
      <w:r>
        <w:rPr>
          <w:rStyle w:val="VerbatimChar"/>
        </w:rPr>
        <w:t xml:space="preserve">&lt;SttlmMtd&gt;CLRG&lt;/SttlmMtd&gt;</w:t>
      </w:r>
      <w:r>
        <w:t xml:space="preserve"> </w:t>
      </w:r>
      <w:r>
        <w:t xml:space="preserve">indicating clearing/RTGS system settlement (per NBG spec). Use</w:t>
      </w:r>
      <w:r>
        <w:t xml:space="preserve"> </w:t>
      </w:r>
      <w:r>
        <w:rPr>
          <w:rStyle w:val="VerbatimChar"/>
        </w:rPr>
        <w:t xml:space="preserve">&lt;ClrSys&gt;&lt;Cd&gt;RTGS&lt;/Cd&gt;&lt;/ClrSys&gt;</w:t>
      </w:r>
      <w:r>
        <w:t xml:space="preserve"> </w:t>
      </w:r>
      <w:r>
        <w:t xml:space="preserve">to specify the clearing system as RTGS</w:t>
      </w:r>
      <w:hyperlink r:id="rId29">
        <w:r>
          <w:rPr>
            <w:rStyle w:val="Hyperlink"/>
          </w:rPr>
          <w:t xml:space="preserve">[7]</w:t>
        </w:r>
      </w:hyperlink>
      <w:r>
        <w:t xml:space="preserve">.</w:t>
      </w:r>
      <w:r>
        <w:t xml:space="preserve"> </w:t>
      </w:r>
      <w:r>
        <w:rPr>
          <w:i/>
          <w:iCs/>
        </w:rPr>
        <w:t xml:space="preserve">(For ACH payments, this code would be “ACH”, but for RTGS it is “RTGS” as defined in Annex F.)</w:t>
      </w:r>
    </w:p>
    <w:p>
      <w:pPr>
        <w:numPr>
          <w:ilvl w:val="0"/>
          <w:numId w:val="1003"/>
        </w:numPr>
      </w:pPr>
      <w:r>
        <w:rPr>
          <w:i/>
          <w:iCs/>
        </w:rPr>
        <w:t xml:space="preserve">InstgAgt/InstdAgt in GrpHdr:</w:t>
      </w:r>
      <w:r>
        <w:t xml:space="preserve"> </w:t>
      </w:r>
      <w:r>
        <w:t xml:space="preserve">These are typically optional; NBG’s schema does not require them in GrpHdr (they focus on the transaction-level agents), so they can be omitted or left out as indicated in the specs.</w:t>
      </w:r>
    </w:p>
    <w:p>
      <w:pPr>
        <w:numPr>
          <w:ilvl w:val="0"/>
          <w:numId w:val="1003"/>
        </w:numPr>
      </w:pPr>
      <w:r>
        <w:rPr>
          <w:b/>
          <w:bCs/>
        </w:rPr>
        <w:t xml:space="preserve">Transaction Information (CdtTrfTxInf):</w:t>
      </w:r>
      <w:r>
        <w:t xml:space="preserve"> </w:t>
      </w:r>
      <w:r>
        <w:t xml:space="preserve">This section carries the payment details. Key sub-elements:</w:t>
      </w:r>
    </w:p>
    <w:p>
      <w:pPr>
        <w:pStyle w:val="Compact"/>
        <w:numPr>
          <w:ilvl w:val="0"/>
          <w:numId w:val="1003"/>
        </w:numPr>
      </w:pPr>
      <w:r>
        <w:rPr>
          <w:b/>
          <w:bCs/>
        </w:rPr>
        <w:t xml:space="preserve">Payment Identification (PmtId):</w:t>
      </w:r>
      <w:r>
        <w:t xml:space="preserve"> </w:t>
      </w:r>
      <w:r>
        <w:t xml:space="preserve">Include at least</w:t>
      </w:r>
      <w:r>
        <w:t xml:space="preserve"> </w:t>
      </w:r>
      <w:r>
        <w:rPr>
          <w:rStyle w:val="VerbatimChar"/>
        </w:rPr>
        <w:t xml:space="preserve">InstrId</w:t>
      </w:r>
      <w:r>
        <w:t xml:space="preserve"> </w:t>
      </w:r>
      <w:r>
        <w:t xml:space="preserve">(Instruction ID) and</w:t>
      </w:r>
      <w:r>
        <w:t xml:space="preserve"> </w:t>
      </w:r>
      <w:r>
        <w:rPr>
          <w:rStyle w:val="VerbatimChar"/>
        </w:rPr>
        <w:t xml:space="preserve">TxId</w:t>
      </w:r>
      <w:r>
        <w:t xml:space="preserve"> </w:t>
      </w:r>
      <w:r>
        <w:t xml:space="preserve">(Transaction ID). NBG’s rule is that</w:t>
      </w:r>
      <w:r>
        <w:t xml:space="preserve"> </w:t>
      </w:r>
      <w:r>
        <w:rPr>
          <w:rStyle w:val="VerbatimChar"/>
        </w:rPr>
        <w:t xml:space="preserve">TxId</w:t>
      </w:r>
      <w:r>
        <w:t xml:space="preserve"> </w:t>
      </w:r>
      <w:r>
        <w:t xml:space="preserve">must be unique and is used for duplicate checking and linking responses.</w:t>
      </w:r>
      <w:r>
        <w:t xml:space="preserve"> </w:t>
      </w:r>
      <w:r>
        <w:rPr>
          <w:rStyle w:val="VerbatimChar"/>
        </w:rPr>
        <w:t xml:space="preserve">InstrId</w:t>
      </w:r>
      <w:r>
        <w:t xml:space="preserve"> </w:t>
      </w:r>
      <w:r>
        <w:t xml:space="preserve">can mirror</w:t>
      </w:r>
      <w:r>
        <w:t xml:space="preserve"> </w:t>
      </w:r>
      <w:r>
        <w:rPr>
          <w:rStyle w:val="VerbatimChar"/>
        </w:rPr>
        <w:t xml:space="preserve">TxId</w:t>
      </w:r>
      <w:r>
        <w:t xml:space="preserve"> </w:t>
      </w:r>
      <w:r>
        <w:t xml:space="preserve">or an internal reference. Optionally include</w:t>
      </w:r>
      <w:r>
        <w:t xml:space="preserve"> </w:t>
      </w:r>
      <w:r>
        <w:rPr>
          <w:rStyle w:val="VerbatimChar"/>
        </w:rPr>
        <w:t xml:space="preserve">EndToEndId</w:t>
      </w:r>
      <w:r>
        <w:t xml:space="preserve"> </w:t>
      </w:r>
      <w:r>
        <w:t xml:space="preserve">if needed (e.g., for Request-to-Pay reference).</w:t>
      </w:r>
    </w:p>
    <w:p>
      <w:pPr>
        <w:pStyle w:val="Compact"/>
        <w:numPr>
          <w:ilvl w:val="0"/>
          <w:numId w:val="1003"/>
        </w:numPr>
      </w:pPr>
      <w:r>
        <w:rPr>
          <w:b/>
          <w:bCs/>
        </w:rPr>
        <w:t xml:space="preserve">Payment Type Information (PmtTpInf):</w:t>
      </w:r>
      <w:r>
        <w:t xml:space="preserve"> </w:t>
      </w:r>
      <w:r>
        <w:t xml:space="preserve">Use this to convey service level, local instrument, category purpose, or priority codes if required. In RTGS, the</w:t>
      </w:r>
      <w:r>
        <w:t xml:space="preserve"> </w:t>
      </w:r>
      <w:r>
        <w:rPr>
          <w:b/>
          <w:bCs/>
        </w:rPr>
        <w:t xml:space="preserve">Service Level/Proprietary</w:t>
      </w:r>
      <w:r>
        <w:t xml:space="preserve"> </w:t>
      </w:r>
      <w:r>
        <w:t xml:space="preserve">may carry a Transaction Type Code (TTC) and priority. For example, NBG uses a format like</w:t>
      </w:r>
      <w:r>
        <w:t xml:space="preserve"> </w:t>
      </w:r>
      <w:r>
        <w:rPr>
          <w:rStyle w:val="VerbatimChar"/>
        </w:rPr>
        <w:t xml:space="preserve">PRI:45,TTC:103</w:t>
      </w:r>
      <w:r>
        <w:t xml:space="preserve"> </w:t>
      </w:r>
      <w:r>
        <w:t xml:space="preserve">(priority 45, TTC 103) in</w:t>
      </w:r>
      <w:r>
        <w:t xml:space="preserve"> </w:t>
      </w:r>
      <w:r>
        <w:rPr>
          <w:rStyle w:val="VerbatimChar"/>
        </w:rPr>
        <w:t xml:space="preserve">&lt;SvcLvl&gt;&lt;Prtry&gt;</w:t>
      </w:r>
      <w:hyperlink r:id="rId30">
        <w:r>
          <w:rPr>
            <w:rStyle w:val="Hyperlink"/>
          </w:rPr>
          <w:t xml:space="preserve">[8]</w:t>
        </w:r>
      </w:hyperlink>
      <w:r>
        <w:t xml:space="preserve">. The prompt will instruct the AI to include such codes based on input (or a default if not provided). Charge Bearer</w:t>
      </w:r>
      <w:r>
        <w:t xml:space="preserve"> </w:t>
      </w:r>
      <w:r>
        <w:rPr>
          <w:rStyle w:val="VerbatimChar"/>
        </w:rPr>
        <w:t xml:space="preserve">&lt;ChrgBr&gt;</w:t>
      </w:r>
      <w:r>
        <w:t xml:space="preserve"> </w:t>
      </w:r>
      <w:r>
        <w:t xml:space="preserve">should be set to “SLEV” (shared) as per ISO standard practice (and required in SEPA/ACH context)</w:t>
      </w:r>
      <w:hyperlink r:id="rId31">
        <w:r>
          <w:rPr>
            <w:rStyle w:val="Hyperlink"/>
          </w:rPr>
          <w:t xml:space="preserve">[9]</w:t>
        </w:r>
      </w:hyperlink>
      <w:r>
        <w:t xml:space="preserve"> </w:t>
      </w:r>
      <w:r>
        <w:t xml:space="preserve">– in RTGS this is typically the default as well (no charges deducted by intermediary).</w:t>
      </w:r>
    </w:p>
    <w:p>
      <w:pPr>
        <w:pStyle w:val="Compact"/>
        <w:numPr>
          <w:ilvl w:val="0"/>
          <w:numId w:val="1003"/>
        </w:numPr>
      </w:pPr>
      <w:r>
        <w:rPr>
          <w:b/>
          <w:bCs/>
        </w:rPr>
        <w:t xml:space="preserve">Interbank Settlement Amount and Date:</w:t>
      </w:r>
      <w:r>
        <w:t xml:space="preserve"> </w:t>
      </w:r>
      <w:r>
        <w:rPr>
          <w:rStyle w:val="VerbatimChar"/>
        </w:rPr>
        <w:t xml:space="preserve">&lt;IntrBkSttlmAmt&gt;</w:t>
      </w:r>
      <w:r>
        <w:t xml:space="preserve"> </w:t>
      </w:r>
      <w:r>
        <w:t xml:space="preserve">with</w:t>
      </w:r>
      <w:r>
        <w:t xml:space="preserve"> </w:t>
      </w:r>
      <w:r>
        <w:rPr>
          <w:rStyle w:val="VerbatimChar"/>
        </w:rPr>
        <w:t xml:space="preserve">Ccy</w:t>
      </w:r>
      <w:r>
        <w:t xml:space="preserve"> </w:t>
      </w:r>
      <w:r>
        <w:t xml:space="preserve">attribute and amount value for the transaction</w:t>
      </w:r>
      <w:hyperlink r:id="rId32">
        <w:r>
          <w:rPr>
            <w:rStyle w:val="Hyperlink"/>
          </w:rPr>
          <w:t xml:space="preserve">[10]</w:t>
        </w:r>
      </w:hyperlink>
      <w:r>
        <w:t xml:space="preserve">. For example:</w:t>
      </w:r>
      <w:r>
        <w:t xml:space="preserve"> </w:t>
      </w:r>
      <w:r>
        <w:rPr>
          <w:rStyle w:val="VerbatimChar"/>
        </w:rPr>
        <w:t xml:space="preserve">&lt;IntrBkSttlmAmt Ccy="GEL"&gt;1000.00&lt;/IntrBkSttlmAmt&gt;</w:t>
      </w:r>
      <w:r>
        <w:t xml:space="preserve">. The currency will usually be GEL for domestic payments (NBG may allow others if configured).</w:t>
      </w:r>
      <w:r>
        <w:t xml:space="preserve"> </w:t>
      </w:r>
      <w:r>
        <w:rPr>
          <w:rStyle w:val="VerbatimChar"/>
        </w:rPr>
        <w:t xml:space="preserve">&lt;IntrBkSttlmDt&gt;</w:t>
      </w:r>
      <w:r>
        <w:t xml:space="preserve"> </w:t>
      </w:r>
      <w:r>
        <w:t xml:space="preserve">specifies the value date (settlement date)</w:t>
      </w:r>
      <w:hyperlink r:id="rId32">
        <w:r>
          <w:rPr>
            <w:rStyle w:val="Hyperlink"/>
          </w:rPr>
          <w:t xml:space="preserve">[10]</w:t>
        </w:r>
      </w:hyperlink>
      <w:hyperlink r:id="rId33">
        <w:r>
          <w:rPr>
            <w:rStyle w:val="Hyperlink"/>
          </w:rPr>
          <w:t xml:space="preserve">[11]</w:t>
        </w:r>
      </w:hyperlink>
      <w:r>
        <w:t xml:space="preserve"> </w:t>
      </w:r>
      <w:r>
        <w:t xml:space="preserve">– often the current business date for RTGS (or next business day if after cutoff).</w:t>
      </w:r>
    </w:p>
    <w:p>
      <w:pPr>
        <w:pStyle w:val="Compact"/>
        <w:numPr>
          <w:ilvl w:val="0"/>
          <w:numId w:val="1003"/>
        </w:numPr>
      </w:pPr>
      <w:r>
        <w:rPr>
          <w:b/>
          <w:bCs/>
        </w:rPr>
        <w:t xml:space="preserve">Debtor Agent (InstgAgt) and Creditor Agent (InstdAgt):</w:t>
      </w:r>
      <w:r>
        <w:t xml:space="preserve"> </w:t>
      </w:r>
      <w:r>
        <w:t xml:space="preserve">Identify the sending and receiving bank BICs. Use the SWIFT BIC in</w:t>
      </w:r>
      <w:r>
        <w:t xml:space="preserve"> </w:t>
      </w:r>
      <w:r>
        <w:rPr>
          <w:rStyle w:val="VerbatimChar"/>
        </w:rPr>
        <w:t xml:space="preserve">&lt;InstgAgt&gt;&lt;FinInstnId&gt;&lt;BICFI&gt;</w:t>
      </w:r>
      <w:r>
        <w:t xml:space="preserve"> </w:t>
      </w:r>
      <w:r>
        <w:t xml:space="preserve">for the Debtor’s bank (the bank</w:t>
      </w:r>
      <w:r>
        <w:t xml:space="preserve"> </w:t>
      </w:r>
      <w:r>
        <w:rPr>
          <w:b/>
          <w:bCs/>
        </w:rPr>
        <w:t xml:space="preserve">sending</w:t>
      </w:r>
      <w:r>
        <w:t xml:space="preserve"> </w:t>
      </w:r>
      <w:r>
        <w:t xml:space="preserve">the payment)</w:t>
      </w:r>
      <w:hyperlink r:id="rId34">
        <w:r>
          <w:rPr>
            <w:rStyle w:val="Hyperlink"/>
          </w:rPr>
          <w:t xml:space="preserve">[12]</w:t>
        </w:r>
      </w:hyperlink>
      <w:r>
        <w:t xml:space="preserve">. Likewise,</w:t>
      </w:r>
      <w:r>
        <w:t xml:space="preserve"> </w:t>
      </w:r>
      <w:r>
        <w:rPr>
          <w:rStyle w:val="VerbatimChar"/>
        </w:rPr>
        <w:t xml:space="preserve">&lt;InstdAgt&gt;&lt;FinInstnId&gt;&lt;BICFI&gt;</w:t>
      </w:r>
      <w:r>
        <w:t xml:space="preserve"> </w:t>
      </w:r>
      <w:r>
        <w:t xml:space="preserve">for the Creditor’s bank (the bank</w:t>
      </w:r>
      <w:r>
        <w:t xml:space="preserve"> </w:t>
      </w:r>
      <w:r>
        <w:rPr>
          <w:b/>
          <w:bCs/>
        </w:rPr>
        <w:t xml:space="preserve">receiving</w:t>
      </w:r>
      <w:r>
        <w:t xml:space="preserve"> </w:t>
      </w:r>
      <w:r>
        <w:t xml:space="preserve">the payment)</w:t>
      </w:r>
      <w:hyperlink r:id="rId35">
        <w:r>
          <w:rPr>
            <w:rStyle w:val="Hyperlink"/>
          </w:rPr>
          <w:t xml:space="preserve">[13]</w:t>
        </w:r>
      </w:hyperlink>
      <w:r>
        <w:t xml:space="preserve">. The prompt will ensure the AI places the correct BIC codes from the input context (e.g., if the user provides “DebtorAgent=BAGAGE22, CreditorAgent=NBGLGE22”).</w:t>
      </w:r>
    </w:p>
    <w:p>
      <w:pPr>
        <w:pStyle w:val="Compact"/>
        <w:numPr>
          <w:ilvl w:val="0"/>
          <w:numId w:val="1003"/>
        </w:numPr>
      </w:pPr>
      <w:r>
        <w:rPr>
          <w:b/>
          <w:bCs/>
        </w:rPr>
        <w:t xml:space="preserve">Debtor (Dbtr) and Debtor Account:</w:t>
      </w:r>
      <w:r>
        <w:t xml:space="preserve"> </w:t>
      </w:r>
      <w:r>
        <w:t xml:space="preserve">The Debtor is the</w:t>
      </w:r>
      <w:r>
        <w:t xml:space="preserve"> </w:t>
      </w:r>
      <w:r>
        <w:rPr>
          <w:i/>
          <w:iCs/>
        </w:rPr>
        <w:t xml:space="preserve">ordering customer</w:t>
      </w:r>
      <w:r>
        <w:t xml:space="preserve"> </w:t>
      </w:r>
      <w:r>
        <w:t xml:space="preserve">(person or company) who ultimately pays. Include</w:t>
      </w:r>
      <w:r>
        <w:t xml:space="preserve"> </w:t>
      </w:r>
      <w:r>
        <w:rPr>
          <w:rStyle w:val="VerbatimChar"/>
        </w:rPr>
        <w:t xml:space="preserve">&lt;Dbtr&gt;&lt;Nm&gt;</w:t>
      </w:r>
      <w:r>
        <w:t xml:space="preserve"> </w:t>
      </w:r>
      <w:r>
        <w:t xml:space="preserve">for the debtor’s name</w:t>
      </w:r>
      <w:hyperlink r:id="rId36">
        <w:r>
          <w:rPr>
            <w:rStyle w:val="Hyperlink"/>
          </w:rPr>
          <w:t xml:space="preserve">[14]</w:t>
        </w:r>
      </w:hyperlink>
      <w:r>
        <w:t xml:space="preserve">, and</w:t>
      </w:r>
      <w:r>
        <w:t xml:space="preserve"> </w:t>
      </w:r>
      <w:r>
        <w:rPr>
          <w:rStyle w:val="VerbatimChar"/>
        </w:rPr>
        <w:t xml:space="preserve">&lt;Dbtr&gt;&lt;Id&gt;</w:t>
      </w:r>
      <w:r>
        <w:t xml:space="preserve"> </w:t>
      </w:r>
      <w:r>
        <w:t xml:space="preserve">for an identifier if available. In Georgia’s system, this is often the national Tax ID or personal ID. The specs require a taxpayer ID with scheme “BILL” when available</w:t>
      </w:r>
      <w:hyperlink r:id="rId37">
        <w:r>
          <w:rPr>
            <w:rStyle w:val="Hyperlink"/>
          </w:rPr>
          <w:t xml:space="preserve">[15]</w:t>
        </w:r>
      </w:hyperlink>
      <w:r>
        <w:t xml:space="preserve">. For example:</w:t>
      </w:r>
      <w:r>
        <w:br/>
      </w:r>
    </w:p>
    <w:p>
      <w:pPr>
        <w:pStyle w:val="SourceCode"/>
        <w:numPr>
          <w:ilvl w:val="0"/>
          <w:numId w:val="1000"/>
        </w:numPr>
      </w:pPr>
      <w:r>
        <w:rPr>
          <w:rStyle w:val="VerbatimChar"/>
        </w:rPr>
        <w:t xml:space="preserve">&lt;Dbtr&gt;</w:t>
      </w:r>
      <w:r>
        <w:br/>
      </w:r>
      <w:r>
        <w:rPr>
          <w:rStyle w:val="VerbatimChar"/>
        </w:rPr>
        <w:t xml:space="preserve">  &lt;Nm&gt;John Doe&lt;/Nm&gt;</w:t>
      </w:r>
      <w:r>
        <w:br/>
      </w:r>
      <w:r>
        <w:rPr>
          <w:rStyle w:val="VerbatimChar"/>
        </w:rPr>
        <w:t xml:space="preserve">  &lt;Id&gt;</w:t>
      </w:r>
      <w:r>
        <w:br/>
      </w:r>
      <w:r>
        <w:rPr>
          <w:rStyle w:val="VerbatimChar"/>
        </w:rPr>
        <w:t xml:space="preserve">    &lt;PrvtId&gt; </w:t>
      </w:r>
      <w:r>
        <w:br/>
      </w:r>
      <w:r>
        <w:rPr>
          <w:rStyle w:val="VerbatimChar"/>
        </w:rPr>
        <w:t xml:space="preserve">      &lt;Othr&gt;</w:t>
      </w:r>
      <w:r>
        <w:br/>
      </w:r>
      <w:r>
        <w:rPr>
          <w:rStyle w:val="VerbatimChar"/>
        </w:rPr>
        <w:t xml:space="preserve">        &lt;Id&gt;01019912345&lt;/Id&gt; </w:t>
      </w:r>
      <w:r>
        <w:br/>
      </w:r>
      <w:r>
        <w:rPr>
          <w:rStyle w:val="VerbatimChar"/>
        </w:rPr>
        <w:t xml:space="preserve">        &lt;SchmeNm&gt;&lt;Cd&gt;BILL&lt;/Cd&gt;&lt;/SchmeNm&gt;</w:t>
      </w:r>
      <w:r>
        <w:br/>
      </w:r>
      <w:r>
        <w:rPr>
          <w:rStyle w:val="VerbatimChar"/>
        </w:rPr>
        <w:t xml:space="preserve">      &lt;/Othr&gt;</w:t>
      </w:r>
      <w:r>
        <w:br/>
      </w:r>
      <w:r>
        <w:rPr>
          <w:rStyle w:val="VerbatimChar"/>
        </w:rPr>
        <w:t xml:space="preserve">    &lt;/PrvtId&gt;</w:t>
      </w:r>
      <w:r>
        <w:br/>
      </w:r>
      <w:r>
        <w:rPr>
          <w:rStyle w:val="VerbatimChar"/>
        </w:rPr>
        <w:t xml:space="preserve">  &lt;/Id&gt;</w:t>
      </w:r>
      <w:r>
        <w:br/>
      </w:r>
      <w:r>
        <w:rPr>
          <w:rStyle w:val="VerbatimChar"/>
        </w:rPr>
        <w:t xml:space="preserve">&lt;/Dbtr&gt;</w:t>
      </w:r>
    </w:p>
    <w:p>
      <w:pPr>
        <w:pStyle w:val="Compact"/>
        <w:numPr>
          <w:ilvl w:val="0"/>
          <w:numId w:val="1000"/>
        </w:numPr>
      </w:pPr>
      <w:r>
        <w:t xml:space="preserve">The prompt will tell the AI to include such ID structure (OrgId for companies, PrvtId for individuals) if an ID is provided. If no ID, this element can be omitted (but name should be present).</w:t>
      </w:r>
      <w:r>
        <w:br/>
      </w:r>
      <w:r>
        <w:t xml:space="preserve">Next, add</w:t>
      </w:r>
      <w:r>
        <w:t xml:space="preserve"> </w:t>
      </w:r>
      <w:r>
        <w:rPr>
          <w:rStyle w:val="VerbatimChar"/>
        </w:rPr>
        <w:t xml:space="preserve">&lt;DbtrAcct&gt;</w:t>
      </w:r>
      <w:r>
        <w:t xml:space="preserve"> </w:t>
      </w:r>
      <w:r>
        <w:t xml:space="preserve">with either an IBAN or local account number for the ordering customer’s account. E.g.,</w:t>
      </w:r>
      <w:r>
        <w:t xml:space="preserve"> </w:t>
      </w:r>
      <w:r>
        <w:rPr>
          <w:rStyle w:val="VerbatimChar"/>
        </w:rPr>
        <w:t xml:space="preserve">&lt;DbtrAcct&gt;&lt;Id&gt;&lt;IBAN&gt;GE29NB0000000101904917&lt;/IBAN&gt;&lt;/Id&gt;&lt;/DbtrAcct&gt;</w:t>
      </w:r>
      <w:hyperlink r:id="rId38">
        <w:r>
          <w:rPr>
            <w:rStyle w:val="Hyperlink"/>
          </w:rPr>
          <w:t xml:space="preserve">[16]</w:t>
        </w:r>
      </w:hyperlink>
      <w:r>
        <w:t xml:space="preserve">. (If IBAN is not applicable, an</w:t>
      </w:r>
      <w:r>
        <w:t xml:space="preserve"> </w:t>
      </w:r>
      <w:r>
        <w:rPr>
          <w:rStyle w:val="VerbatimChar"/>
        </w:rPr>
        <w:t xml:space="preserve">&lt;Othr&gt;&lt;Id&gt;</w:t>
      </w:r>
      <w:r>
        <w:t xml:space="preserve"> </w:t>
      </w:r>
      <w:r>
        <w:t xml:space="preserve">with account number can be used</w:t>
      </w:r>
      <w:hyperlink r:id="rId39">
        <w:r>
          <w:rPr>
            <w:rStyle w:val="Hyperlink"/>
          </w:rPr>
          <w:t xml:space="preserve">[17]</w:t>
        </w:r>
      </w:hyperlink>
      <w:r>
        <w:t xml:space="preserve">.)</w:t>
      </w:r>
    </w:p>
    <w:p>
      <w:pPr>
        <w:pStyle w:val="Compact"/>
        <w:numPr>
          <w:ilvl w:val="0"/>
          <w:numId w:val="1003"/>
        </w:numPr>
      </w:pPr>
      <w:r>
        <w:rPr>
          <w:b/>
          <w:bCs/>
        </w:rPr>
        <w:t xml:space="preserve">Creditor (Cdtr) and Creditor Account:</w:t>
      </w:r>
      <w:r>
        <w:t xml:space="preserve"> </w:t>
      </w:r>
      <w:r>
        <w:t xml:space="preserve">The Creditor is the</w:t>
      </w:r>
      <w:r>
        <w:t xml:space="preserve"> </w:t>
      </w:r>
      <w:r>
        <w:rPr>
          <w:i/>
          <w:iCs/>
        </w:rPr>
        <w:t xml:space="preserve">beneficiary customer</w:t>
      </w:r>
      <w:r>
        <w:t xml:space="preserve">. Include</w:t>
      </w:r>
      <w:r>
        <w:t xml:space="preserve"> </w:t>
      </w:r>
      <w:r>
        <w:rPr>
          <w:rStyle w:val="VerbatimChar"/>
        </w:rPr>
        <w:t xml:space="preserve">&lt;Cdtr&gt;&lt;Nm&gt;</w:t>
      </w:r>
      <w:r>
        <w:t xml:space="preserve"> </w:t>
      </w:r>
      <w:r>
        <w:t xml:space="preserve">for the beneficiary’s name</w:t>
      </w:r>
      <w:hyperlink r:id="rId40">
        <w:r>
          <w:rPr>
            <w:rStyle w:val="Hyperlink"/>
          </w:rPr>
          <w:t xml:space="preserve">[18]</w:t>
        </w:r>
      </w:hyperlink>
      <w:r>
        <w:t xml:space="preserve"> </w:t>
      </w:r>
      <w:r>
        <w:t xml:space="preserve">(e.g., “Acme Corp”), and an optional ID if provided (e.g., their Tax ID in a similar</w:t>
      </w:r>
      <w:r>
        <w:t xml:space="preserve"> </w:t>
      </w:r>
      <w:r>
        <w:rPr>
          <w:rStyle w:val="VerbatimChar"/>
        </w:rPr>
        <w:t xml:space="preserve">&lt;Id&gt;</w:t>
      </w:r>
      <w:r>
        <w:t xml:space="preserve"> </w:t>
      </w:r>
      <w:r>
        <w:t xml:space="preserve">structure). Provide the beneficiary’s account in</w:t>
      </w:r>
      <w:r>
        <w:t xml:space="preserve"> </w:t>
      </w:r>
      <w:r>
        <w:rPr>
          <w:rStyle w:val="VerbatimChar"/>
        </w:rPr>
        <w:t xml:space="preserve">&lt;CdtrAcct&gt;</w:t>
      </w:r>
      <w:r>
        <w:t xml:space="preserve"> </w:t>
      </w:r>
      <w:r>
        <w:t xml:space="preserve">– typically an IBAN for domestic payments as well</w:t>
      </w:r>
      <w:hyperlink r:id="rId41">
        <w:r>
          <w:rPr>
            <w:rStyle w:val="Hyperlink"/>
          </w:rPr>
          <w:t xml:space="preserve">[19]</w:t>
        </w:r>
      </w:hyperlink>
      <w:r>
        <w:t xml:space="preserve">. For example:</w:t>
      </w:r>
      <w:r>
        <w:t xml:space="preserve"> </w:t>
      </w:r>
      <w:r>
        <w:rPr>
          <w:rStyle w:val="VerbatimChar"/>
        </w:rPr>
        <w:t xml:space="preserve">&lt;CdtrAcct&gt;&lt;Id&gt;&lt;IBAN&gt;GE64NB0000000101123456&lt;/IBAN&gt;&lt;/Id&gt;&lt;/CdtrAcct&gt;</w:t>
      </w:r>
      <w:r>
        <w:t xml:space="preserve">.</w:t>
      </w:r>
    </w:p>
    <w:p>
      <w:pPr>
        <w:pStyle w:val="Compact"/>
        <w:numPr>
          <w:ilvl w:val="0"/>
          <w:numId w:val="1003"/>
        </w:numPr>
      </w:pPr>
      <w:r>
        <w:rPr>
          <w:b/>
          <w:bCs/>
        </w:rPr>
        <w:t xml:space="preserve">Ultimate Parties (UltmtDbtr, UltmtCdtr):</w:t>
      </w:r>
      <w:r>
        <w:t xml:space="preserve"> </w:t>
      </w:r>
      <w:r>
        <w:t xml:space="preserve">If the payment involves on-behalf-of or third-party entities (e.g., an agent or a different ultimate originator/beneficiary), these can be included as</w:t>
      </w:r>
      <w:r>
        <w:t xml:space="preserve"> </w:t>
      </w:r>
      <w:r>
        <w:rPr>
          <w:rStyle w:val="VerbatimChar"/>
        </w:rPr>
        <w:t xml:space="preserve">&lt;UltmtDbtr&gt;</w:t>
      </w:r>
      <w:r>
        <w:t xml:space="preserve"> </w:t>
      </w:r>
      <w:r>
        <w:t xml:space="preserve">or</w:t>
      </w:r>
      <w:r>
        <w:t xml:space="preserve"> </w:t>
      </w:r>
      <w:r>
        <w:rPr>
          <w:rStyle w:val="VerbatimChar"/>
        </w:rPr>
        <w:t xml:space="preserve">&lt;UltmtCdtr&gt;</w:t>
      </w:r>
      <w:r>
        <w:t xml:space="preserve"> </w:t>
      </w:r>
      <w:r>
        <w:t xml:space="preserve">sections. NBG’s RTGS specifically mentions UltmtDbtr to carry a “Third Party Taxpayer Name or Ordering Customer Name” if applicable</w:t>
      </w:r>
      <w:hyperlink r:id="rId42">
        <w:r>
          <w:rPr>
            <w:rStyle w:val="Hyperlink"/>
          </w:rPr>
          <w:t xml:space="preserve">[20]</w:t>
        </w:r>
      </w:hyperlink>
      <w:r>
        <w:t xml:space="preserve">. The prompt will note that these are optional and used only if relevant (likely not needed for straightforward transfers where Debtor and Creditor are the actual parties).</w:t>
      </w:r>
    </w:p>
    <w:p>
      <w:pPr>
        <w:pStyle w:val="Compact"/>
        <w:numPr>
          <w:ilvl w:val="0"/>
          <w:numId w:val="1003"/>
        </w:numPr>
      </w:pPr>
      <w:r>
        <w:rPr>
          <w:b/>
          <w:bCs/>
        </w:rPr>
        <w:t xml:space="preserve">Remittance Information (RmtInf):</w:t>
      </w:r>
      <w:r>
        <w:t xml:space="preserve"> </w:t>
      </w:r>
      <w:r>
        <w:t xml:space="preserve">Any unstructured payment details or references can go here if needed. For example, a payment purpose or invoice number could be in</w:t>
      </w:r>
      <w:r>
        <w:t xml:space="preserve"> </w:t>
      </w:r>
      <w:r>
        <w:rPr>
          <w:rStyle w:val="VerbatimChar"/>
        </w:rPr>
        <w:t xml:space="preserve">&lt;Ustrd&gt;Payment for invoice 123&lt;/Ustrd&gt;</w:t>
      </w:r>
      <w:r>
        <w:t xml:space="preserve">. This is optional and can be included based on user input.</w:t>
      </w:r>
    </w:p>
    <w:p>
      <w:pPr>
        <w:pStyle w:val="FirstParagraph"/>
      </w:pPr>
      <w:r>
        <w:t xml:space="preserve">The AI, with this knowledge embedded, will generate</w:t>
      </w:r>
      <w:r>
        <w:t xml:space="preserve"> </w:t>
      </w:r>
      <w:r>
        <w:rPr>
          <w:b/>
          <w:bCs/>
        </w:rPr>
        <w:t xml:space="preserve">pacs.008 XML</w:t>
      </w:r>
      <w:r>
        <w:t xml:space="preserve"> </w:t>
      </w:r>
      <w:r>
        <w:t xml:space="preserve">strings or PL/SQL code that constructs such XML. It will ensure all mandatory elements are present (as per ISO schema and NBG business rules) and format values correctly (dates in ISO format YYYY-MM-DDThh:mm:ss for datetimes, currency codes, etc.). For instance, if the developer asks for a pacs.008 for a given transaction, the assistant might output a PL/SQL snippet that concatenates all the above XML elements with the provided data in the right places.</w:t>
      </w:r>
    </w:p>
    <w:bookmarkEnd w:id="43"/>
    <w:bookmarkStart w:id="47" w:name="X1556d12d36f52dff55363ed7344c098474e066c"/>
    <w:p>
      <w:pPr>
        <w:pStyle w:val="Heading3"/>
      </w:pPr>
      <w:r>
        <w:t xml:space="preserve">pacs.009 – FI to FI Institution Credit Transfer</w:t>
      </w:r>
    </w:p>
    <w:p>
      <w:pPr>
        <w:pStyle w:val="FirstParagraph"/>
      </w:pPr>
      <w:r>
        <w:rPr>
          <w:i/>
          <w:iCs/>
        </w:rPr>
        <w:t xml:space="preserve">Usage:</w:t>
      </w:r>
      <w:r>
        <w:t xml:space="preserve"> </w:t>
      </w:r>
      <w:r>
        <w:t xml:space="preserve">Interbank transfers, typically without end-customer information (replaces MT202)</w:t>
      </w:r>
      <w:hyperlink r:id="rId22">
        <w:r>
          <w:rPr>
            <w:rStyle w:val="Hyperlink"/>
          </w:rPr>
          <w:t xml:space="preserve">[2]</w:t>
        </w:r>
      </w:hyperlink>
      <w:r>
        <w:t xml:space="preserve">. This message is used for bank-to-bank payments such as liquidity transfers, settlements between banks, or participant funding transfers. In the Georgian ATS, pacs.009 may be used for both normal FI transfers and special cases like participant reserve movements (NBG might distinguish pacs.009 core versus pacs.010 for certain on-us transfers</w:t>
      </w:r>
      <w:hyperlink r:id="rId44">
        <w:r>
          <w:rPr>
            <w:rStyle w:val="Hyperlink"/>
          </w:rPr>
          <w:t xml:space="preserve">[21]</w:t>
        </w:r>
      </w:hyperlink>
      <w:r>
        <w:t xml:space="preserve">, but pacs.009.001.08 is the primary for interbank).</w:t>
      </w:r>
    </w:p>
    <w:p>
      <w:pPr>
        <w:pStyle w:val="BodyText"/>
      </w:pPr>
      <w:r>
        <w:rPr>
          <w:b/>
          <w:bCs/>
        </w:rPr>
        <w:t xml:space="preserve">Required Elements:</w:t>
      </w:r>
      <w:r>
        <w:t xml:space="preserve"> </w:t>
      </w:r>
      <w:r>
        <w:t xml:space="preserve">Pacs.009 shares a similar overall structure to pacs.008 but omits the customer-specific fields:</w:t>
      </w:r>
    </w:p>
    <w:p>
      <w:pPr>
        <w:numPr>
          <w:ilvl w:val="0"/>
          <w:numId w:val="1004"/>
        </w:numPr>
      </w:pPr>
      <w:r>
        <w:rPr>
          <w:b/>
          <w:bCs/>
        </w:rPr>
        <w:t xml:space="preserve">Envelope/AppHdr:</w:t>
      </w:r>
      <w:r>
        <w:t xml:space="preserve"> </w:t>
      </w:r>
      <w:r>
        <w:t xml:space="preserve">Same approach as pacs.008 – include header with BICs of sending and receiving institutions, message ID, definition (pacs.009.001.08), timestamp, etc</w:t>
      </w:r>
      <w:hyperlink r:id="rId25">
        <w:r>
          <w:rPr>
            <w:rStyle w:val="Hyperlink"/>
          </w:rPr>
          <w:t xml:space="preserve">[5]</w:t>
        </w:r>
      </w:hyperlink>
      <w:r>
        <w:t xml:space="preserve">. The “Fr” will be the Debtor Agent’s BIC and “To” the Creditor Agent’s BIC in the header, aligning with the institutions involved.</w:t>
      </w:r>
    </w:p>
    <w:p>
      <w:pPr>
        <w:numPr>
          <w:ilvl w:val="0"/>
          <w:numId w:val="1004"/>
        </w:numPr>
      </w:pPr>
      <w:r>
        <w:rPr>
          <w:b/>
          <w:bCs/>
        </w:rPr>
        <w:t xml:space="preserve">Document Root:</w:t>
      </w:r>
      <w:r>
        <w:t xml:space="preserve"> </w:t>
      </w:r>
      <w:r>
        <w:rPr>
          <w:rStyle w:val="VerbatimChar"/>
        </w:rPr>
        <w:t xml:space="preserve">&lt;Document xmlns="urn:iso:std:iso:20022:tech:xsd:pacs.009.001.08"&gt;</w:t>
      </w:r>
      <w:r>
        <w:t xml:space="preserve"> </w:t>
      </w:r>
      <w:r>
        <w:t xml:space="preserve">containing</w:t>
      </w:r>
      <w:r>
        <w:t xml:space="preserve"> </w:t>
      </w:r>
      <w:r>
        <w:rPr>
          <w:rStyle w:val="VerbatimChar"/>
        </w:rPr>
        <w:t xml:space="preserve">&lt;FICdtTrf&gt;</w:t>
      </w:r>
      <w:r>
        <w:t xml:space="preserve"> </w:t>
      </w:r>
      <w:r>
        <w:t xml:space="preserve">(Financial Institution Credit Transfer) as the message body root. The assistant will know that pacs.009 uses a slightly different root tag (often</w:t>
      </w:r>
      <w:r>
        <w:t xml:space="preserve"> </w:t>
      </w:r>
      <w:r>
        <w:rPr>
          <w:rStyle w:val="VerbatimChar"/>
        </w:rPr>
        <w:t xml:space="preserve">&lt;FICdtTrf&gt;</w:t>
      </w:r>
      <w:r>
        <w:t xml:space="preserve"> </w:t>
      </w:r>
      <w:r>
        <w:t xml:space="preserve">or similar) as opposed to</w:t>
      </w:r>
      <w:r>
        <w:t xml:space="preserve"> </w:t>
      </w:r>
      <w:r>
        <w:rPr>
          <w:rStyle w:val="VerbatimChar"/>
        </w:rPr>
        <w:t xml:space="preserve">&lt;FIToFICstmrCdtTrf&gt;</w:t>
      </w:r>
      <w:hyperlink r:id="rId45">
        <w:r>
          <w:rPr>
            <w:rStyle w:val="Hyperlink"/>
          </w:rPr>
          <w:t xml:space="preserve">[22]</w:t>
        </w:r>
      </w:hyperlink>
      <w:r>
        <w:t xml:space="preserve">. Inside, it will similarly have GrpHdr and one or more CdtTrfTxInf entries.</w:t>
      </w:r>
    </w:p>
    <w:p>
      <w:pPr>
        <w:numPr>
          <w:ilvl w:val="0"/>
          <w:numId w:val="1004"/>
        </w:numPr>
      </w:pPr>
      <w:r>
        <w:rPr>
          <w:b/>
          <w:bCs/>
        </w:rPr>
        <w:t xml:space="preserve">Group Header:</w:t>
      </w:r>
      <w:r>
        <w:t xml:space="preserve"> </w:t>
      </w:r>
      <w:r>
        <w:t xml:space="preserve">As with pacs.008, include</w:t>
      </w:r>
      <w:r>
        <w:t xml:space="preserve"> </w:t>
      </w:r>
      <w:r>
        <w:rPr>
          <w:rStyle w:val="VerbatimChar"/>
        </w:rPr>
        <w:t xml:space="preserve">&lt;MsgId&gt;</w:t>
      </w:r>
      <w:r>
        <w:t xml:space="preserve">,</w:t>
      </w:r>
      <w:r>
        <w:t xml:space="preserve"> </w:t>
      </w:r>
      <w:r>
        <w:rPr>
          <w:rStyle w:val="VerbatimChar"/>
        </w:rPr>
        <w:t xml:space="preserve">&lt;CreDtTm&gt;</w:t>
      </w:r>
      <w:r>
        <w:t xml:space="preserve">,</w:t>
      </w:r>
      <w:r>
        <w:t xml:space="preserve"> </w:t>
      </w:r>
      <w:r>
        <w:rPr>
          <w:rStyle w:val="VerbatimChar"/>
        </w:rPr>
        <w:t xml:space="preserve">&lt;NbOfTxs&gt;</w:t>
      </w:r>
      <w:r>
        <w:t xml:space="preserve">, and</w:t>
      </w:r>
      <w:r>
        <w:t xml:space="preserve"> </w:t>
      </w:r>
      <w:r>
        <w:rPr>
          <w:rStyle w:val="VerbatimChar"/>
        </w:rPr>
        <w:t xml:space="preserve">&lt;SttlmInf&gt;</w:t>
      </w:r>
      <w:r>
        <w:t xml:space="preserve">. Use</w:t>
      </w:r>
      <w:r>
        <w:t xml:space="preserve"> </w:t>
      </w:r>
      <w:r>
        <w:rPr>
          <w:rStyle w:val="VerbatimChar"/>
        </w:rPr>
        <w:t xml:space="preserve">&lt;SttlmMtd&gt;CLRG&lt;/SttlmMtd&gt;</w:t>
      </w:r>
      <w:r>
        <w:t xml:space="preserve"> </w:t>
      </w:r>
      <w:r>
        <w:t xml:space="preserve">and</w:t>
      </w:r>
      <w:r>
        <w:t xml:space="preserve"> </w:t>
      </w:r>
      <w:r>
        <w:rPr>
          <w:rStyle w:val="VerbatimChar"/>
        </w:rPr>
        <w:t xml:space="preserve">&lt;ClrSys&gt;&lt;Cd&gt;RTGS&lt;/Cd&gt;&lt;/ClrSys&gt;</w:t>
      </w:r>
      <w:r>
        <w:t xml:space="preserve"> </w:t>
      </w:r>
      <w:r>
        <w:t xml:space="preserve">for RTGS network</w:t>
      </w:r>
      <w:hyperlink r:id="rId29">
        <w:r>
          <w:rPr>
            <w:rStyle w:val="Hyperlink"/>
          </w:rPr>
          <w:t xml:space="preserve">[7]</w:t>
        </w:r>
      </w:hyperlink>
      <w:r>
        <w:t xml:space="preserve">. (If this pacs.009 is for a cross-border context with SWIFT CBPR+, the assistant might instead adhere to CBPR+ guidelines, but in NBG context “RTGS” code and CLRG method are used for domestic RTGS.)</w:t>
      </w:r>
    </w:p>
    <w:p>
      <w:pPr>
        <w:numPr>
          <w:ilvl w:val="0"/>
          <w:numId w:val="1004"/>
        </w:numPr>
      </w:pPr>
      <w:r>
        <w:rPr>
          <w:b/>
          <w:bCs/>
        </w:rPr>
        <w:t xml:space="preserve">Transaction Info:</w:t>
      </w:r>
    </w:p>
    <w:p>
      <w:pPr>
        <w:pStyle w:val="Compact"/>
        <w:numPr>
          <w:ilvl w:val="0"/>
          <w:numId w:val="1004"/>
        </w:numPr>
      </w:pPr>
      <w:r>
        <w:rPr>
          <w:b/>
          <w:bCs/>
        </w:rPr>
        <w:t xml:space="preserve">Payment ID:</w:t>
      </w:r>
      <w:r>
        <w:t xml:space="preserve"> </w:t>
      </w:r>
      <w:r>
        <w:rPr>
          <w:rStyle w:val="VerbatimChar"/>
        </w:rPr>
        <w:t xml:space="preserve">&lt;PmtId&gt;</w:t>
      </w:r>
      <w:r>
        <w:t xml:space="preserve"> </w:t>
      </w:r>
      <w:r>
        <w:t xml:space="preserve">with</w:t>
      </w:r>
      <w:r>
        <w:t xml:space="preserve"> </w:t>
      </w:r>
      <w:r>
        <w:rPr>
          <w:rStyle w:val="VerbatimChar"/>
        </w:rPr>
        <w:t xml:space="preserve">InstrId</w:t>
      </w:r>
      <w:r>
        <w:t xml:space="preserve"> </w:t>
      </w:r>
      <w:r>
        <w:t xml:space="preserve">(optional) and</w:t>
      </w:r>
      <w:r>
        <w:t xml:space="preserve"> </w:t>
      </w:r>
      <w:r>
        <w:rPr>
          <w:b/>
          <w:bCs/>
        </w:rPr>
        <w:t xml:space="preserve">mandatory</w:t>
      </w:r>
      <w:r>
        <w:t xml:space="preserve"> </w:t>
      </w:r>
      <w:r>
        <w:rPr>
          <w:rStyle w:val="VerbatimChar"/>
        </w:rPr>
        <w:t xml:space="preserve">TxId</w:t>
      </w:r>
      <w:r>
        <w:t xml:space="preserve"> </w:t>
      </w:r>
      <w:r>
        <w:t xml:space="preserve">(unique transaction reference). (EndToEndId is not typically used in pacs.009 as it’s FI-to-FI, so the AI can omit EndToEndId unless specifically needed).</w:t>
      </w:r>
    </w:p>
    <w:p>
      <w:pPr>
        <w:pStyle w:val="Compact"/>
        <w:numPr>
          <w:ilvl w:val="0"/>
          <w:numId w:val="1004"/>
        </w:numPr>
      </w:pPr>
      <w:r>
        <w:rPr>
          <w:b/>
          <w:bCs/>
        </w:rPr>
        <w:t xml:space="preserve">Settlement Details:</w:t>
      </w:r>
      <w:r>
        <w:t xml:space="preserve"> </w:t>
      </w:r>
      <w:r>
        <w:rPr>
          <w:rStyle w:val="VerbatimChar"/>
        </w:rPr>
        <w:t xml:space="preserve">&lt;IntrBkSttlmAmt Ccy="GEL"&gt;...&lt;/IntrBkSttlmAmt&gt;</w:t>
      </w:r>
      <w:r>
        <w:t xml:space="preserve"> </w:t>
      </w:r>
      <w:r>
        <w:t xml:space="preserve">for amount, and</w:t>
      </w:r>
      <w:r>
        <w:t xml:space="preserve"> </w:t>
      </w:r>
      <w:r>
        <w:rPr>
          <w:rStyle w:val="VerbatimChar"/>
        </w:rPr>
        <w:t xml:space="preserve">&lt;IntrBkSttlmDt&gt;</w:t>
      </w:r>
      <w:r>
        <w:t xml:space="preserve"> </w:t>
      </w:r>
      <w:r>
        <w:t xml:space="preserve">for value date, just like pacs.008.</w:t>
      </w:r>
    </w:p>
    <w:p>
      <w:pPr>
        <w:pStyle w:val="Compact"/>
        <w:numPr>
          <w:ilvl w:val="0"/>
          <w:numId w:val="1004"/>
        </w:numPr>
      </w:pPr>
      <w:r>
        <w:rPr>
          <w:b/>
          <w:bCs/>
        </w:rPr>
        <w:t xml:space="preserve">Debtor and Creditor:</w:t>
      </w:r>
      <w:r>
        <w:t xml:space="preserve"> </w:t>
      </w:r>
      <w:r>
        <w:t xml:space="preserve">In pacs.009, these represent the sending and receiving</w:t>
      </w:r>
      <w:r>
        <w:t xml:space="preserve"> </w:t>
      </w:r>
      <w:r>
        <w:rPr>
          <w:b/>
          <w:bCs/>
        </w:rPr>
        <w:t xml:space="preserve">institutions</w:t>
      </w:r>
      <w:r>
        <w:t xml:space="preserve"> </w:t>
      </w:r>
      <w:r>
        <w:t xml:space="preserve">rather than customers. The AI will populate</w:t>
      </w:r>
      <w:r>
        <w:t xml:space="preserve"> </w:t>
      </w:r>
      <w:r>
        <w:rPr>
          <w:rStyle w:val="VerbatimChar"/>
        </w:rPr>
        <w:t xml:space="preserve">&lt;Dbtr&gt;&lt;FinInstnId&gt;&lt;BICFI&gt;...&lt;/BICFI&gt;&lt;/FinInstnId&gt;&lt;/Dbtr&gt;</w:t>
      </w:r>
      <w:r>
        <w:t xml:space="preserve"> </w:t>
      </w:r>
      <w:r>
        <w:t xml:space="preserve">with the Debtor bank’s BIC (the bank sending the funds)</w:t>
      </w:r>
      <w:hyperlink r:id="rId45">
        <w:r>
          <w:rPr>
            <w:rStyle w:val="Hyperlink"/>
          </w:rPr>
          <w:t xml:space="preserve">[23]</w:t>
        </w:r>
      </w:hyperlink>
      <w:r>
        <w:t xml:space="preserve">, and</w:t>
      </w:r>
      <w:r>
        <w:t xml:space="preserve"> </w:t>
      </w:r>
      <w:r>
        <w:rPr>
          <w:rStyle w:val="VerbatimChar"/>
        </w:rPr>
        <w:t xml:space="preserve">&lt;Cdtr&gt;&lt;FinInstnId&gt;&lt;BICFI&gt;...&lt;/BICFI&gt;&lt;/FinInstnId&gt;&lt;/Cdtr&gt;</w:t>
      </w:r>
      <w:r>
        <w:t xml:space="preserve"> </w:t>
      </w:r>
      <w:r>
        <w:t xml:space="preserve">with the Creditor bank’s BIC (receiving bank)</w:t>
      </w:r>
      <w:hyperlink r:id="rId46">
        <w:r>
          <w:rPr>
            <w:rStyle w:val="Hyperlink"/>
          </w:rPr>
          <w:t xml:space="preserve">[24]</w:t>
        </w:r>
      </w:hyperlink>
      <w:r>
        <w:t xml:space="preserve">. There is no</w:t>
      </w:r>
      <w:r>
        <w:t xml:space="preserve"> </w:t>
      </w:r>
      <w:r>
        <w:rPr>
          <w:rStyle w:val="VerbatimChar"/>
        </w:rPr>
        <w:t xml:space="preserve">&lt;DbtrAcct&gt;</w:t>
      </w:r>
      <w:r>
        <w:t xml:space="preserve"> </w:t>
      </w:r>
      <w:r>
        <w:t xml:space="preserve">for a customer, but there might be an account reference if, for example, the Debtor bank holds an account at the central bank – however, in RTGS each bank’s settlement account is implicit. If the schema allows, NBG might use</w:t>
      </w:r>
      <w:r>
        <w:t xml:space="preserve"> </w:t>
      </w:r>
      <w:r>
        <w:rPr>
          <w:rStyle w:val="VerbatimChar"/>
        </w:rPr>
        <w:t xml:space="preserve">&lt;DbtrAcct&gt;&lt;Id&gt;&lt;Othr&gt;&lt;Id&gt;...&lt;/Id&gt;&lt;/Othr&gt;&lt;/Id&gt;&lt;/DbtrAcct&gt;</w:t>
      </w:r>
      <w:r>
        <w:t xml:space="preserve"> </w:t>
      </w:r>
      <w:r>
        <w:t xml:space="preserve">to specify the sending bank’s account number in the RTGS (if needed for clarity). The provided Annex suggests Debtor/Creditor Agent fields in GrpHdr were removed, implying they use only these transaction-level BICs.</w:t>
      </w:r>
    </w:p>
    <w:p>
      <w:pPr>
        <w:pStyle w:val="Compact"/>
        <w:numPr>
          <w:ilvl w:val="0"/>
          <w:numId w:val="1004"/>
        </w:numPr>
      </w:pPr>
      <w:r>
        <w:rPr>
          <w:b/>
          <w:bCs/>
        </w:rPr>
        <w:t xml:space="preserve">Additional Info:</w:t>
      </w:r>
      <w:r>
        <w:t xml:space="preserve"> </w:t>
      </w:r>
      <w:r>
        <w:t xml:space="preserve">Pacs.009 might include a</w:t>
      </w:r>
      <w:r>
        <w:t xml:space="preserve"> </w:t>
      </w:r>
      <w:r>
        <w:rPr>
          <w:rStyle w:val="VerbatimChar"/>
        </w:rPr>
        <w:t xml:space="preserve">&lt;Purp&gt;</w:t>
      </w:r>
      <w:r>
        <w:t xml:space="preserve"> </w:t>
      </w:r>
      <w:r>
        <w:t xml:space="preserve">or</w:t>
      </w:r>
      <w:r>
        <w:t xml:space="preserve"> </w:t>
      </w:r>
      <w:r>
        <w:rPr>
          <w:rStyle w:val="VerbatimChar"/>
        </w:rPr>
        <w:t xml:space="preserve">&lt;CtgyPurp&gt;</w:t>
      </w:r>
      <w:r>
        <w:t xml:space="preserve"> </w:t>
      </w:r>
      <w:r>
        <w:t xml:space="preserve">code to classify the transfer (e.g., “MP2M” for member transfer or similar) if required by NBG. Also, if the pacs.009 is being used for a</w:t>
      </w:r>
      <w:r>
        <w:t xml:space="preserve"> </w:t>
      </w:r>
      <w:r>
        <w:rPr>
          <w:b/>
          <w:bCs/>
        </w:rPr>
        <w:t xml:space="preserve">liquidity transfer</w:t>
      </w:r>
      <w:r>
        <w:t xml:space="preserve"> </w:t>
      </w:r>
      <w:r>
        <w:t xml:space="preserve">(moving funds between a bank’s own accounts), a different message pacs.010 or specific fields might apply, but for simplicity the AI can treat pacs.009 as the go-to for interbank payments.</w:t>
      </w:r>
    </w:p>
    <w:p>
      <w:pPr>
        <w:pStyle w:val="Compact"/>
        <w:numPr>
          <w:ilvl w:val="0"/>
          <w:numId w:val="1004"/>
        </w:numPr>
      </w:pPr>
      <w:r>
        <w:rPr>
          <w:b/>
          <w:bCs/>
        </w:rPr>
        <w:t xml:space="preserve">No End Customer Data:</w:t>
      </w:r>
      <w:r>
        <w:t xml:space="preserve"> </w:t>
      </w:r>
      <w:r>
        <w:t xml:space="preserve">There should be no Debtor/Creditor name or ID in pacs.009 (those fields are meant for customer transfers). The assistant will avoid any</w:t>
      </w:r>
      <w:r>
        <w:t xml:space="preserve"> </w:t>
      </w:r>
      <w:r>
        <w:rPr>
          <w:rStyle w:val="VerbatimChar"/>
        </w:rPr>
        <w:t xml:space="preserve">&lt;Dbtr&gt;&lt;Nm&gt;</w:t>
      </w:r>
      <w:r>
        <w:t xml:space="preserve"> </w:t>
      </w:r>
      <w:r>
        <w:t xml:space="preserve">or</w:t>
      </w:r>
      <w:r>
        <w:t xml:space="preserve"> </w:t>
      </w:r>
      <w:r>
        <w:rPr>
          <w:rStyle w:val="VerbatimChar"/>
        </w:rPr>
        <w:t xml:space="preserve">&lt;Cdtr&gt;&lt;Nm&gt;</w:t>
      </w:r>
      <w:r>
        <w:t xml:space="preserve"> </w:t>
      </w:r>
      <w:r>
        <w:t xml:space="preserve">for pacs.009. It will focus on BICs and amounts.</w:t>
      </w:r>
    </w:p>
    <w:p>
      <w:pPr>
        <w:pStyle w:val="FirstParagraph"/>
      </w:pPr>
      <w:r>
        <w:t xml:space="preserve">When asked to generate a pacs.009, the AI should output an XML structure with the above elements. For example, if a developer says “generate a pacs.009 for 5,000 GEL from NBG (BIC NBGOGE22) to Bank XYZ (BIC XYZBGE22)”, the assistant will produce something like: a</w:t>
      </w:r>
      <w:r>
        <w:t xml:space="preserve"> </w:t>
      </w:r>
      <w:r>
        <w:rPr>
          <w:rStyle w:val="VerbatimChar"/>
        </w:rPr>
        <w:t xml:space="preserve">&lt;Document&gt;...&lt;FICdtTrf&gt;</w:t>
      </w:r>
      <w:r>
        <w:t xml:space="preserve"> </w:t>
      </w:r>
      <w:r>
        <w:t xml:space="preserve">containing the GrpHdr with proper codes, and a CdtTrfTxInf with Debtor BIC NBGOGE22, Creditor BIC XYZBGE22, and the amount/date. It will ensure the</w:t>
      </w:r>
      <w:r>
        <w:t xml:space="preserve"> </w:t>
      </w:r>
      <w:r>
        <w:rPr>
          <w:rStyle w:val="VerbatimChar"/>
        </w:rPr>
        <w:t xml:space="preserve">&lt;MsgDefIdr&gt;</w:t>
      </w:r>
      <w:r>
        <w:t xml:space="preserve"> </w:t>
      </w:r>
      <w:r>
        <w:t xml:space="preserve">in AppHdr is “pacs.009.001.08” and all tags are closed properly, etc.</w:t>
      </w:r>
    </w:p>
    <w:p>
      <w:pPr>
        <w:pStyle w:val="BodyText"/>
      </w:pPr>
      <w:r>
        <w:rPr>
          <w:i/>
          <w:iCs/>
        </w:rPr>
        <w:t xml:space="preserve">(Note: If the context is SWIFT CBPR+ (cross-border), the AI will also know to follow CBPR+ usage guidelines – e.g., certain optional fields are disallowed and specific codes must be used. However, since the prompt focuses on NBG’s RTGS, which itself is a local implementation, it primarily follows the NBG spec. The prompt can mention to the AI: “Adhere to CBPR+ rules if instructed for cross-border messages, otherwise use NBG local format”.)</w:t>
      </w:r>
    </w:p>
    <w:bookmarkEnd w:id="47"/>
    <w:bookmarkStart w:id="50" w:name="X6929bd284d83082a1079b4ba3d76c12d5fca9c7"/>
    <w:p>
      <w:pPr>
        <w:pStyle w:val="Heading3"/>
      </w:pPr>
      <w:r>
        <w:t xml:space="preserve">camt.056 – FI to FI Payment Cancellation Request</w:t>
      </w:r>
    </w:p>
    <w:p>
      <w:pPr>
        <w:pStyle w:val="FirstParagraph"/>
      </w:pPr>
      <w:r>
        <w:rPr>
          <w:i/>
          <w:iCs/>
        </w:rPr>
        <w:t xml:space="preserve">Usage:</w:t>
      </w:r>
      <w:r>
        <w:t xml:space="preserve"> </w:t>
      </w:r>
      <w:r>
        <w:t xml:space="preserve">A request to cancel or recall a previously sent payment. This message is sent by the instructing bank to the instructed bank (or central system) to ask for cancellation of an</w:t>
      </w:r>
      <w:r>
        <w:t xml:space="preserve"> </w:t>
      </w:r>
      <w:r>
        <w:rPr>
          <w:b/>
          <w:bCs/>
        </w:rPr>
        <w:t xml:space="preserve">unsettled or settled</w:t>
      </w:r>
      <w:r>
        <w:t xml:space="preserve"> </w:t>
      </w:r>
      <w:r>
        <w:t xml:space="preserve">payment. In ISO terms, camt.056.001.</w:t>
      </w:r>
      <w:r>
        <w:t xml:space="preserve"> </w:t>
      </w:r>
      <w:r>
        <w:rPr>
          <w:i/>
          <w:iCs/>
        </w:rPr>
        <w:t xml:space="preserve">is used instead of MT192/292 (cancellation requests)</w:t>
      </w:r>
      <w:hyperlink r:id="rId23">
        <w:r>
          <w:rPr>
            <w:rStyle w:val="Hyperlink"/>
            <w:i/>
            <w:iCs/>
          </w:rPr>
          <w:t xml:space="preserve">[3]</w:t>
        </w:r>
      </w:hyperlink>
      <w:r>
        <w:rPr>
          <w:i/>
          <w:iCs/>
        </w:rPr>
        <w:t xml:space="preserve"> </w:t>
      </w:r>
      <w:r>
        <w:rPr>
          <w:i/>
          <w:iCs/>
        </w:rPr>
        <w:t xml:space="preserve">or MT204 (recall request) in some usages. The AI should understand both use-cases:</w:t>
      </w:r>
      <w:r>
        <w:t xml:space="preserve"> </w:t>
      </w:r>
      <w:r>
        <w:t xml:space="preserve">cancellation</w:t>
      </w:r>
      <w:r>
        <w:t xml:space="preserve"> </w:t>
      </w:r>
      <w:r>
        <w:rPr>
          <w:i/>
          <w:iCs/>
        </w:rPr>
        <w:t xml:space="preserve">(stopping an in-process payment) and</w:t>
      </w:r>
      <w:r>
        <w:t xml:space="preserve"> </w:t>
      </w:r>
      <w:r>
        <w:t xml:space="preserve">recall</w:t>
      </w:r>
      <w:r>
        <w:t xml:space="preserve"> </w:t>
      </w:r>
      <w:r>
        <w:rPr>
          <w:i/>
          <w:iCs/>
        </w:rPr>
        <w:t xml:space="preserve">(asking for return of funds for a settled payment). In Georgia’s IPS/RTGS context, camt.056 is a</w:t>
      </w:r>
      <w:r>
        <w:t xml:space="preserve"> </w:t>
      </w:r>
      <w:r>
        <w:rPr>
          <w:i/>
          <w:iCs/>
        </w:rPr>
        <w:t xml:space="preserve">Recall Request</w:t>
      </w:r>
      <w:r>
        <w:t xml:space="preserve">* message for Instant or RTGS payments.</w:t>
      </w:r>
    </w:p>
    <w:p>
      <w:pPr>
        <w:pStyle w:val="BodyText"/>
      </w:pPr>
      <w:r>
        <w:rPr>
          <w:b/>
          <w:bCs/>
        </w:rPr>
        <w:t xml:space="preserve">Structure and Fields:</w:t>
      </w:r>
      <w:r>
        <w:br/>
      </w:r>
      <w:r>
        <w:t xml:space="preserve">-</w:t>
      </w:r>
      <w:r>
        <w:t xml:space="preserve"> </w:t>
      </w:r>
      <w:r>
        <w:rPr>
          <w:b/>
          <w:bCs/>
        </w:rPr>
        <w:t xml:space="preserve">Root Element:</w:t>
      </w:r>
      <w:r>
        <w:t xml:space="preserve"> </w:t>
      </w:r>
      <w:r>
        <w:rPr>
          <w:rStyle w:val="VerbatimChar"/>
        </w:rPr>
        <w:t xml:space="preserve">&lt;FIToFIPmtCxlReq&gt;</w:t>
      </w:r>
      <w:r>
        <w:t xml:space="preserve"> </w:t>
      </w:r>
      <w:r>
        <w:t xml:space="preserve">– Financial Institution To Financial Institution Payment Cancellation Request. The Document wrapper will use the camt.056 schema namespace (</w:t>
      </w:r>
      <w:r>
        <w:rPr>
          <w:rStyle w:val="VerbatimChar"/>
        </w:rPr>
        <w:t xml:space="preserve">...:camt.056.001.xx</w:t>
      </w:r>
      <w:r>
        <w:t xml:space="preserve">). The assistant will ensure the</w:t>
      </w:r>
      <w:r>
        <w:t xml:space="preserve"> </w:t>
      </w:r>
      <w:r>
        <w:rPr>
          <w:rStyle w:val="VerbatimChar"/>
        </w:rPr>
        <w:t xml:space="preserve">&lt;MsgDefIdr&gt;</w:t>
      </w:r>
      <w:r>
        <w:t xml:space="preserve"> </w:t>
      </w:r>
      <w:r>
        <w:t xml:space="preserve">in the AppHdr is set to</w:t>
      </w:r>
      <w:r>
        <w:t xml:space="preserve"> </w:t>
      </w:r>
      <w:r>
        <w:rPr>
          <w:rStyle w:val="VerbatimChar"/>
        </w:rPr>
        <w:t xml:space="preserve">camt.056.001.XX</w:t>
      </w:r>
      <w:r>
        <w:t xml:space="preserve"> </w:t>
      </w:r>
      <w:r>
        <w:t xml:space="preserve">(e.g. 11 or the appropriate version) when generating the header.</w:t>
      </w:r>
    </w:p>
    <w:p>
      <w:pPr>
        <w:pStyle w:val="Compact"/>
        <w:numPr>
          <w:ilvl w:val="0"/>
          <w:numId w:val="1005"/>
        </w:numPr>
      </w:pPr>
      <w:r>
        <w:rPr>
          <w:b/>
          <w:bCs/>
        </w:rPr>
        <w:t xml:space="preserve">Group Header (Assgnmt):</w:t>
      </w:r>
      <w:r>
        <w:t xml:space="preserve"> </w:t>
      </w:r>
      <w:r>
        <w:t xml:space="preserve">This is an</w:t>
      </w:r>
      <w:r>
        <w:t xml:space="preserve"> </w:t>
      </w:r>
      <w:r>
        <w:rPr>
          <w:i/>
          <w:iCs/>
        </w:rPr>
        <w:t xml:space="preserve">Assignment</w:t>
      </w:r>
      <w:r>
        <w:t xml:space="preserve"> </w:t>
      </w:r>
      <w:r>
        <w:t xml:space="preserve">block detailing the case assignment between the sending and receiving parties:</w:t>
      </w:r>
    </w:p>
    <w:p>
      <w:pPr>
        <w:pStyle w:val="Compact"/>
        <w:numPr>
          <w:ilvl w:val="0"/>
          <w:numId w:val="1005"/>
        </w:numPr>
      </w:pPr>
      <w:r>
        <w:rPr>
          <w:rStyle w:val="VerbatimChar"/>
        </w:rPr>
        <w:t xml:space="preserve">&lt;Id&gt;</w:t>
      </w:r>
      <w:r>
        <w:t xml:space="preserve">: A unique identification of this cancellation request (like a case reference). The sending bank generates this ID.</w:t>
      </w:r>
    </w:p>
    <w:p>
      <w:pPr>
        <w:pStyle w:val="Compact"/>
        <w:numPr>
          <w:ilvl w:val="0"/>
          <w:numId w:val="1005"/>
        </w:numPr>
      </w:pPr>
      <w:r>
        <w:rPr>
          <w:rStyle w:val="VerbatimChar"/>
        </w:rPr>
        <w:t xml:space="preserve">&lt;Assgnr&gt;</w:t>
      </w:r>
      <w:r>
        <w:t xml:space="preserve">: The instructing party (who is requesting the cancellation). This contains an</w:t>
      </w:r>
      <w:r>
        <w:t xml:space="preserve"> </w:t>
      </w:r>
      <w:r>
        <w:rPr>
          <w:rStyle w:val="VerbatimChar"/>
        </w:rPr>
        <w:t xml:space="preserve">&lt;Agt&gt;&lt;FinInstnId&gt;&lt;BICFI&gt;</w:t>
      </w:r>
      <w:r>
        <w:t xml:space="preserve"> </w:t>
      </w:r>
      <w:r>
        <w:t xml:space="preserve">with the BIC of the requesting bank.</w:t>
      </w:r>
    </w:p>
    <w:p>
      <w:pPr>
        <w:pStyle w:val="Compact"/>
        <w:numPr>
          <w:ilvl w:val="0"/>
          <w:numId w:val="1005"/>
        </w:numPr>
      </w:pPr>
      <w:r>
        <w:rPr>
          <w:rStyle w:val="VerbatimChar"/>
        </w:rPr>
        <w:t xml:space="preserve">&lt;Assgne&gt;</w:t>
      </w:r>
      <w:r>
        <w:t xml:space="preserve">: The instructed party (who will process the cancellation request). This is the other institution’s BIC in</w:t>
      </w:r>
      <w:r>
        <w:t xml:space="preserve"> </w:t>
      </w:r>
      <w:r>
        <w:rPr>
          <w:rStyle w:val="VerbatimChar"/>
        </w:rPr>
        <w:t xml:space="preserve">&lt;Agt&gt;&lt;FinInstnId&gt;&lt;BICFI&gt;</w:t>
      </w:r>
      <w:r>
        <w:t xml:space="preserve">. For example, if Bank A asks Bank B to cancel a payment, Bank A is Assigner and Bank B is Assignee. In an RTGS recall to central system, the Assignee might be the central RTGS operator or the counterparty bank depending on model.</w:t>
      </w:r>
    </w:p>
    <w:p>
      <w:pPr>
        <w:numPr>
          <w:ilvl w:val="0"/>
          <w:numId w:val="1005"/>
        </w:numPr>
      </w:pPr>
      <w:r>
        <w:rPr>
          <w:rStyle w:val="VerbatimChar"/>
        </w:rPr>
        <w:t xml:space="preserve">&lt;CreDtTm&gt;</w:t>
      </w:r>
      <w:r>
        <w:t xml:space="preserve">: Date-Time of assignment creation. The AI will include the current timestamp in ISO format.</w:t>
      </w:r>
    </w:p>
    <w:p>
      <w:pPr>
        <w:numPr>
          <w:ilvl w:val="0"/>
          <w:numId w:val="1005"/>
        </w:numPr>
      </w:pPr>
      <w:r>
        <w:rPr>
          <w:b/>
          <w:bCs/>
        </w:rPr>
        <w:t xml:space="preserve">Underlying (Undrlyg) Cancellation Details:</w:t>
      </w:r>
      <w:r>
        <w:t xml:space="preserve"> </w:t>
      </w:r>
      <w:r>
        <w:t xml:space="preserve">The camt.056 typically has an</w:t>
      </w:r>
      <w:r>
        <w:t xml:space="preserve"> </w:t>
      </w:r>
      <w:r>
        <w:rPr>
          <w:rStyle w:val="VerbatimChar"/>
        </w:rPr>
        <w:t xml:space="preserve">&lt;Undrlyg&gt;</w:t>
      </w:r>
      <w:r>
        <w:t xml:space="preserve"> </w:t>
      </w:r>
      <w:r>
        <w:t xml:space="preserve">section containing the payment information that is being recalled/cancelled. Within this:</w:t>
      </w:r>
    </w:p>
    <w:p>
      <w:pPr>
        <w:pStyle w:val="Compact"/>
        <w:numPr>
          <w:ilvl w:val="0"/>
          <w:numId w:val="1005"/>
        </w:numPr>
      </w:pPr>
      <w:r>
        <w:rPr>
          <w:b/>
          <w:bCs/>
        </w:rPr>
        <w:t xml:space="preserve">Original Group Information (</w:t>
      </w:r>
      <w:r>
        <w:rPr>
          <w:rStyle w:val="VerbatimChar"/>
          <w:b/>
          <w:bCs/>
        </w:rPr>
        <w:t xml:space="preserve">OrgnlGrpInf</w:t>
      </w:r>
      <w:r>
        <w:rPr>
          <w:b/>
          <w:bCs/>
        </w:rPr>
        <w:t xml:space="preserve">):</w:t>
      </w:r>
      <w:r>
        <w:t xml:space="preserve"> </w:t>
      </w:r>
      <w:r>
        <w:t xml:space="preserve">References the original message’s group info – e.g., the original pacs.008/009’s Message ID and Message Name. For instance, it includes</w:t>
      </w:r>
      <w:r>
        <w:t xml:space="preserve"> </w:t>
      </w:r>
      <w:r>
        <w:rPr>
          <w:rStyle w:val="VerbatimChar"/>
        </w:rPr>
        <w:t xml:space="preserve">&lt;OrgnlMsgId&gt;</w:t>
      </w:r>
      <w:r>
        <w:t xml:space="preserve"> </w:t>
      </w:r>
      <w:r>
        <w:t xml:space="preserve">and</w:t>
      </w:r>
      <w:r>
        <w:t xml:space="preserve"> </w:t>
      </w:r>
      <w:r>
        <w:rPr>
          <w:rStyle w:val="VerbatimChar"/>
        </w:rPr>
        <w:t xml:space="preserve">&lt;OrgnlMsgNmId&gt;</w:t>
      </w:r>
      <w:r>
        <w:t xml:space="preserve">. The original message name ID for a recall of a pacs.008 would be “pacs.008.001.08”. The assistant will populate these if known (or leave placeholders for the developer to fill in the original MsgId of the payment).</w:t>
      </w:r>
    </w:p>
    <w:p>
      <w:pPr>
        <w:pStyle w:val="Compact"/>
        <w:numPr>
          <w:ilvl w:val="0"/>
          <w:numId w:val="1005"/>
        </w:numPr>
      </w:pPr>
      <w:r>
        <w:rPr>
          <w:b/>
          <w:bCs/>
        </w:rPr>
        <w:t xml:space="preserve">Original Instruction Information (</w:t>
      </w:r>
      <w:r>
        <w:rPr>
          <w:rStyle w:val="VerbatimChar"/>
          <w:b/>
          <w:bCs/>
        </w:rPr>
        <w:t xml:space="preserve">TxInf</w:t>
      </w:r>
      <w:r>
        <w:rPr>
          <w:b/>
          <w:bCs/>
        </w:rPr>
        <w:t xml:space="preserve">):</w:t>
      </w:r>
      <w:r>
        <w:t xml:space="preserve"> </w:t>
      </w:r>
      <w:r>
        <w:t xml:space="preserve">Details of the specific transaction to cancel:</w:t>
      </w:r>
    </w:p>
    <w:p>
      <w:pPr>
        <w:pStyle w:val="Compact"/>
        <w:numPr>
          <w:ilvl w:val="1"/>
          <w:numId w:val="1006"/>
        </w:numPr>
      </w:pPr>
      <w:r>
        <w:rPr>
          <w:rStyle w:val="VerbatimChar"/>
        </w:rPr>
        <w:t xml:space="preserve">&lt;CxlId&gt;</w:t>
      </w:r>
      <w:r>
        <w:t xml:space="preserve">: The cancellation request ID (can be same as Assignment Id or separate). This is like an “instruction ID” for the cancellation itself.</w:t>
      </w:r>
    </w:p>
    <w:p>
      <w:pPr>
        <w:pStyle w:val="Compact"/>
        <w:numPr>
          <w:ilvl w:val="1"/>
          <w:numId w:val="1006"/>
        </w:numPr>
      </w:pPr>
      <w:r>
        <w:rPr>
          <w:b/>
          <w:bCs/>
        </w:rPr>
        <w:t xml:space="preserve">Original Payment References (</w:t>
      </w:r>
      <w:r>
        <w:rPr>
          <w:rStyle w:val="VerbatimChar"/>
          <w:b/>
          <w:bCs/>
        </w:rPr>
        <w:t xml:space="preserve">OrgnlTxRef</w:t>
      </w:r>
      <w:r>
        <w:rPr>
          <w:b/>
          <w:bCs/>
        </w:rPr>
        <w:t xml:space="preserve"> </w:t>
      </w:r>
      <w:r>
        <w:rPr>
          <w:b/>
          <w:bCs/>
        </w:rPr>
        <w:t xml:space="preserve">block):</w:t>
      </w:r>
      <w:r>
        <w:t xml:space="preserve"> </w:t>
      </w:r>
      <w:r>
        <w:t xml:space="preserve">This includes multiple fields copied from the original payment instruction that identify it: original End-to-End ID, original Instruction ID, original interbank amount, original Debtor, Creditor, DebtorAgent, CreditorAgent, etc. For example, the AI should include something like:</w:t>
      </w:r>
      <w:r>
        <w:br/>
      </w:r>
    </w:p>
    <w:p>
      <w:pPr>
        <w:pStyle w:val="SourceCode"/>
        <w:numPr>
          <w:ilvl w:val="1"/>
          <w:numId w:val="1000"/>
        </w:numPr>
      </w:pPr>
      <w:r>
        <w:rPr>
          <w:rStyle w:val="VerbatimChar"/>
        </w:rPr>
        <w:t xml:space="preserve">&lt;OrgnlTxRef&gt;  </w:t>
      </w:r>
      <w:r>
        <w:br/>
      </w:r>
      <w:r>
        <w:rPr>
          <w:rStyle w:val="VerbatimChar"/>
        </w:rPr>
        <w:t xml:space="preserve">   &lt;IntrBkSttlmAmt Ccy="GEL"&gt;1000.00&lt;/IntrBkSttlmAmt&gt;  </w:t>
      </w:r>
      <w:r>
        <w:br/>
      </w:r>
      <w:r>
        <w:rPr>
          <w:rStyle w:val="VerbatimChar"/>
        </w:rPr>
        <w:t xml:space="preserve">   &lt;ReqdIntrBkSttlmDt&gt;2025-01-15&lt;/ReqdIntrBkSttlmDt&gt;  </w:t>
      </w:r>
      <w:r>
        <w:br/>
      </w:r>
      <w:r>
        <w:rPr>
          <w:rStyle w:val="VerbatimChar"/>
        </w:rPr>
        <w:t xml:space="preserve">   &lt;Dbtr&gt;&lt;FinInstnId&gt;&lt;BICFI&gt;BAGAGE22&lt;/BICFI&gt;&lt;/FinInstnId&gt;&lt;/Dbtr&gt;  </w:t>
      </w:r>
      <w:r>
        <w:br/>
      </w:r>
      <w:r>
        <w:rPr>
          <w:rStyle w:val="VerbatimChar"/>
        </w:rPr>
        <w:t xml:space="preserve">   &lt;Cdtr&gt;&lt;FinInstnId&gt;&lt;BICFI&gt;NBGLGE22&lt;/BICFI&gt;&lt;/FinInstnId&gt;&lt;/Cdtr&gt;  </w:t>
      </w:r>
      <w:r>
        <w:br/>
      </w:r>
      <w:r>
        <w:rPr>
          <w:rStyle w:val="VerbatimChar"/>
        </w:rPr>
        <w:t xml:space="preserve">   &lt;DbtrAcct&gt;&lt;Id&gt;&lt;IBAN&gt;GE33BG00000000...&lt;/IBAN&gt;&lt;/Id&gt;&lt;/DbtrAcct&gt;  </w:t>
      </w:r>
      <w:r>
        <w:br/>
      </w:r>
      <w:r>
        <w:rPr>
          <w:rStyle w:val="VerbatimChar"/>
        </w:rPr>
        <w:t xml:space="preserve">   &lt;CdtrAcct&gt;&lt;Id&gt;&lt;IBAN&gt;GE44NB00000000...&lt;/IBAN&gt;&lt;/Id&gt;&lt;/CdtrAcct&gt;  </w:t>
      </w:r>
      <w:r>
        <w:br/>
      </w:r>
      <w:r>
        <w:rPr>
          <w:rStyle w:val="VerbatimChar"/>
        </w:rPr>
        <w:t xml:space="preserve">   &lt;OrgnlEndToEndId&gt;PAYMENT-12345&lt;/OrgnlEndToEndId&gt;  </w:t>
      </w:r>
      <w:r>
        <w:br/>
      </w:r>
      <w:r>
        <w:rPr>
          <w:rStyle w:val="VerbatimChar"/>
        </w:rPr>
        <w:t xml:space="preserve">   &lt;OrgnlInstrId&gt;TX998877&lt;/OrgnlInstrId&gt;  </w:t>
      </w:r>
      <w:r>
        <w:br/>
      </w:r>
      <w:r>
        <w:rPr>
          <w:rStyle w:val="VerbatimChar"/>
        </w:rPr>
        <w:t xml:space="preserve">   &lt;OrgnlTxId&gt;RTGS2025011500001234&lt;/OrgnlTxId&gt;  </w:t>
      </w:r>
      <w:r>
        <w:br/>
      </w:r>
      <w:r>
        <w:rPr>
          <w:rStyle w:val="VerbatimChar"/>
        </w:rPr>
        <w:t xml:space="preserve">&lt;/OrgnlTxRef&gt;</w:t>
      </w:r>
    </w:p>
    <w:p>
      <w:pPr>
        <w:pStyle w:val="Compact"/>
        <w:numPr>
          <w:ilvl w:val="1"/>
          <w:numId w:val="1000"/>
        </w:numPr>
      </w:pPr>
      <w:r>
        <w:t xml:space="preserve">The key fields are the original transaction identifiers (EndToEndId/InstrId/TxId as applicable) and original amounts/date for verification. NBG’s IPS spec indicates that certain fields must match the original (e.g., original IntrBkSttlmDt not older than allowed, DebtorAgent must equal the assigner, etc)</w:t>
      </w:r>
      <w:hyperlink r:id="rId48">
        <w:r>
          <w:rPr>
            <w:rStyle w:val="Hyperlink"/>
          </w:rPr>
          <w:t xml:space="preserve">[25]</w:t>
        </w:r>
      </w:hyperlink>
      <w:hyperlink r:id="rId49">
        <w:r>
          <w:rPr>
            <w:rStyle w:val="Hyperlink"/>
          </w:rPr>
          <w:t xml:space="preserve">[26]</w:t>
        </w:r>
      </w:hyperlink>
      <w:r>
        <w:t xml:space="preserve">. The AI will not enforce those rules itself but will include the fields so the system can validate them.</w:t>
      </w:r>
    </w:p>
    <w:p>
      <w:pPr>
        <w:pStyle w:val="Compact"/>
        <w:numPr>
          <w:ilvl w:val="1"/>
          <w:numId w:val="1006"/>
        </w:numPr>
      </w:pPr>
      <w:r>
        <w:rPr>
          <w:b/>
          <w:bCs/>
        </w:rPr>
        <w:t xml:space="preserve">Cancellation Reason:</w:t>
      </w:r>
      <w:r>
        <w:t xml:space="preserve"> </w:t>
      </w:r>
      <w:r>
        <w:t xml:space="preserve">camt.056 allows specifying a reason code (e.g.,</w:t>
      </w:r>
      <w:r>
        <w:t xml:space="preserve"> </w:t>
      </w:r>
      <w:r>
        <w:rPr>
          <w:rStyle w:val="VerbatimChar"/>
        </w:rPr>
        <w:t xml:space="preserve">DUPL</w:t>
      </w:r>
      <w:r>
        <w:t xml:space="preserve"> </w:t>
      </w:r>
      <w:r>
        <w:t xml:space="preserve">for duplicate,</w:t>
      </w:r>
      <w:r>
        <w:t xml:space="preserve"> </w:t>
      </w:r>
      <w:r>
        <w:rPr>
          <w:rStyle w:val="VerbatimChar"/>
        </w:rPr>
        <w:t xml:space="preserve">FRAD</w:t>
      </w:r>
      <w:r>
        <w:t xml:space="preserve"> </w:t>
      </w:r>
      <w:r>
        <w:t xml:space="preserve">for fraud, etc). This is in</w:t>
      </w:r>
      <w:r>
        <w:t xml:space="preserve"> </w:t>
      </w:r>
      <w:r>
        <w:rPr>
          <w:rStyle w:val="VerbatimChar"/>
        </w:rPr>
        <w:t xml:space="preserve">&lt;CxlRsnInf&gt;</w:t>
      </w:r>
      <w:r>
        <w:t xml:space="preserve"> </w:t>
      </w:r>
      <w:r>
        <w:t xml:space="preserve">with a</w:t>
      </w:r>
      <w:r>
        <w:t xml:space="preserve"> </w:t>
      </w:r>
      <w:r>
        <w:rPr>
          <w:rStyle w:val="VerbatimChar"/>
        </w:rPr>
        <w:t xml:space="preserve">&lt;Cd&gt;</w:t>
      </w:r>
      <w:r>
        <w:t xml:space="preserve"> </w:t>
      </w:r>
      <w:r>
        <w:t xml:space="preserve">inside. If the developer provides a reason, the assistant should include it; otherwise it might omit or use a placeholder. (NBG may require a reason code for recall; the prompt can mention that if needed.)</w:t>
      </w:r>
    </w:p>
    <w:p>
      <w:pPr>
        <w:pStyle w:val="FirstParagraph"/>
      </w:pPr>
      <w:r>
        <w:t xml:space="preserve">The assistant, armed with this knowledge, will produce camt.056 XML or PL/SQL code to construct it, ensuring the structure is correct. For example, if asked “parse a camt.056 and extract the original transaction ID”, the AI knows to look into</w:t>
      </w:r>
      <w:r>
        <w:t xml:space="preserve"> </w:t>
      </w:r>
      <w:r>
        <w:rPr>
          <w:rStyle w:val="VerbatimChar"/>
        </w:rPr>
        <w:t xml:space="preserve">OrgnlTxRef</w:t>
      </w:r>
      <w:r>
        <w:t xml:space="preserve"> </w:t>
      </w:r>
      <w:r>
        <w:t xml:space="preserve">for fields like</w:t>
      </w:r>
      <w:r>
        <w:t xml:space="preserve"> </w:t>
      </w:r>
      <w:r>
        <w:rPr>
          <w:rStyle w:val="VerbatimChar"/>
        </w:rPr>
        <w:t xml:space="preserve">OrgnlInstrId</w:t>
      </w:r>
      <w:r>
        <w:t xml:space="preserve"> </w:t>
      </w:r>
      <w:r>
        <w:t xml:space="preserve">or</w:t>
      </w:r>
      <w:r>
        <w:t xml:space="preserve"> </w:t>
      </w:r>
      <w:r>
        <w:rPr>
          <w:rStyle w:val="VerbatimChar"/>
        </w:rPr>
        <w:t xml:space="preserve">OrgnlTxId</w:t>
      </w:r>
      <w:r>
        <w:t xml:space="preserve">. If asked to generate a camt.056, it will ask for or use provided original references and format them in the XML appropriately.</w:t>
      </w:r>
    </w:p>
    <w:bookmarkEnd w:id="50"/>
    <w:bookmarkStart w:id="53" w:name="additional-message-types"/>
    <w:p>
      <w:pPr>
        <w:pStyle w:val="Heading3"/>
      </w:pPr>
      <w:r>
        <w:t xml:space="preserve">Additional Message Types</w:t>
      </w:r>
    </w:p>
    <w:p>
      <w:pPr>
        <w:pStyle w:val="FirstParagraph"/>
      </w:pPr>
      <w:r>
        <w:rPr>
          <w:i/>
          <w:iCs/>
        </w:rPr>
        <w:t xml:space="preserve">(The prompt can also cover other messages if needed. For instance,</w:t>
      </w:r>
      <w:r>
        <w:t xml:space="preserve"> </w:t>
      </w:r>
      <w:r>
        <w:rPr>
          <w:i/>
          <w:iCs/>
        </w:rPr>
        <w:t xml:space="preserve">pacs.002</w:t>
      </w:r>
      <w:r>
        <w:t xml:space="preserve"> </w:t>
      </w:r>
      <w:r>
        <w:rPr>
          <w:i/>
          <w:iCs/>
        </w:rPr>
        <w:t xml:space="preserve">(Payment Status Report) is the confirmation/rejection message in ISO 20022, typically generated in response to pacs.008 or pacs.009. The AI can be told that pacs.002 contains the original message reference and a status code (e.g., ACCP or RJCT)</w:t>
      </w:r>
      <w:hyperlink r:id="rId51">
        <w:r>
          <w:rPr>
            <w:rStyle w:val="Hyperlink"/>
            <w:i/>
            <w:iCs/>
          </w:rPr>
          <w:t xml:space="preserve">[27]</w:t>
        </w:r>
      </w:hyperlink>
      <w:hyperlink r:id="rId52">
        <w:r>
          <w:rPr>
            <w:rStyle w:val="Hyperlink"/>
            <w:i/>
            <w:iCs/>
          </w:rPr>
          <w:t xml:space="preserve">[28]</w:t>
        </w:r>
      </w:hyperlink>
      <w:r>
        <w:rPr>
          <w:i/>
          <w:iCs/>
        </w:rPr>
        <w:t xml:space="preserve">. Similarly,</w:t>
      </w:r>
      <w:r>
        <w:t xml:space="preserve"> </w:t>
      </w:r>
      <w:r>
        <w:rPr>
          <w:i/>
          <w:iCs/>
        </w:rPr>
        <w:t xml:space="preserve">pacs.004</w:t>
      </w:r>
      <w:r>
        <w:t xml:space="preserve"> </w:t>
      </w:r>
      <w:r>
        <w:rPr>
          <w:i/>
          <w:iCs/>
        </w:rPr>
        <w:t xml:space="preserve">(Payment Return) is used to actually return funds for a recall, effectively the positive response to camt.056</w:t>
      </w:r>
      <w:hyperlink r:id="rId24">
        <w:r>
          <w:rPr>
            <w:rStyle w:val="Hyperlink"/>
            <w:i/>
            <w:iCs/>
          </w:rPr>
          <w:t xml:space="preserve">[4]</w:t>
        </w:r>
      </w:hyperlink>
      <w:r>
        <w:rPr>
          <w:i/>
          <w:iCs/>
        </w:rPr>
        <w:t xml:space="preserve">. However, these are secondary to the main question, so the prompt’s focus remains on pacs.008, pacs.009, and camt.056.)</w:t>
      </w:r>
    </w:p>
    <w:bookmarkEnd w:id="53"/>
    <w:bookmarkEnd w:id="54"/>
    <w:bookmarkStart w:id="59" w:name="oracle-plsql-implementation-strategy"/>
    <w:p>
      <w:pPr>
        <w:pStyle w:val="Heading2"/>
      </w:pPr>
      <w:r>
        <w:t xml:space="preserve">Oracle PL/SQL Implementation Strategy</w:t>
      </w:r>
    </w:p>
    <w:p>
      <w:pPr>
        <w:pStyle w:val="FirstParagraph"/>
      </w:pPr>
      <w:r>
        <w:t xml:space="preserve">To integrate these ISO messages into the existing Oracle system, the AI assistant will follow these guidelines when generating code or advice:</w:t>
      </w:r>
    </w:p>
    <w:p>
      <w:pPr>
        <w:numPr>
          <w:ilvl w:val="0"/>
          <w:numId w:val="1007"/>
        </w:numPr>
      </w:pPr>
      <w:r>
        <w:rPr>
          <w:b/>
          <w:bCs/>
        </w:rPr>
        <w:t xml:space="preserve">Modular XML Generation:</w:t>
      </w:r>
      <w:r>
        <w:t xml:space="preserve"> </w:t>
      </w:r>
      <w:r>
        <w:t xml:space="preserve">Create</w:t>
      </w:r>
      <w:r>
        <w:t xml:space="preserve"> </w:t>
      </w:r>
      <w:r>
        <w:rPr>
          <w:b/>
          <w:bCs/>
        </w:rPr>
        <w:t xml:space="preserve">reusable PL/SQL procedures or functions</w:t>
      </w:r>
      <w:r>
        <w:t xml:space="preserve"> </w:t>
      </w:r>
      <w:r>
        <w:t xml:space="preserve">for constructing each message type. For example, a function</w:t>
      </w:r>
      <w:r>
        <w:t xml:space="preserve"> </w:t>
      </w:r>
      <w:r>
        <w:rPr>
          <w:rStyle w:val="VerbatimChar"/>
        </w:rPr>
        <w:t xml:space="preserve">generate_pacs008_xml(p_payment_id IN NUMBER) RETURN CLOB</w:t>
      </w:r>
      <w:r>
        <w:t xml:space="preserve"> </w:t>
      </w:r>
      <w:r>
        <w:t xml:space="preserve">could query the necessary data (payer, payee, amount, etc.) and return the well-formed pacs.008 XML as a CLOB. Similarly,</w:t>
      </w:r>
      <w:r>
        <w:t xml:space="preserve"> </w:t>
      </w:r>
      <w:r>
        <w:rPr>
          <w:rStyle w:val="VerbatimChar"/>
        </w:rPr>
        <w:t xml:space="preserve">generate_pacs009_xml(...)</w:t>
      </w:r>
      <w:r>
        <w:t xml:space="preserve"> </w:t>
      </w:r>
      <w:r>
        <w:t xml:space="preserve">and</w:t>
      </w:r>
      <w:r>
        <w:t xml:space="preserve"> </w:t>
      </w:r>
      <w:r>
        <w:rPr>
          <w:rStyle w:val="VerbatimChar"/>
        </w:rPr>
        <w:t xml:space="preserve">generate_camt056_xml(...)</w:t>
      </w:r>
      <w:r>
        <w:t xml:space="preserve"> </w:t>
      </w:r>
      <w:r>
        <w:t xml:space="preserve">for their respective messages. This modular approach ensures each message format is defined in one place and can be tested independently. It aligns with the requirement for “reusable XML generation templates” per message type. Developers can maintain these functions as templates, updating values or adding optional fields easily.</w:t>
      </w:r>
    </w:p>
    <w:p>
      <w:pPr>
        <w:numPr>
          <w:ilvl w:val="0"/>
          <w:numId w:val="1007"/>
        </w:numPr>
      </w:pPr>
      <w:r>
        <w:rPr>
          <w:b/>
          <w:bCs/>
        </w:rPr>
        <w:t xml:space="preserve">Preserve Existing Logic:</w:t>
      </w:r>
      <w:r>
        <w:t xml:space="preserve"> </w:t>
      </w:r>
      <w:r>
        <w:t xml:space="preserve">The higher-level batch processes (e.g., the</w:t>
      </w:r>
      <w:r>
        <w:t xml:space="preserve"> </w:t>
      </w:r>
      <w:r>
        <w:rPr>
          <w:b/>
          <w:bCs/>
        </w:rPr>
        <w:t xml:space="preserve">JOB_PROCESS_MESSAGES</w:t>
      </w:r>
      <w:r>
        <w:t xml:space="preserve"> </w:t>
      </w:r>
      <w:r>
        <w:t xml:space="preserve">scheduler and sender jobs) should remain largely unchanged, except where they call the new XML generators instead of old MT formatters. The prompt will remind the AI that functions like</w:t>
      </w:r>
      <w:r>
        <w:t xml:space="preserve"> </w:t>
      </w:r>
      <w:r>
        <w:rPr>
          <w:rStyle w:val="VerbatimChar"/>
        </w:rPr>
        <w:t xml:space="preserve">JOB_SEND_MT_MESSAGE</w:t>
      </w:r>
      <w:r>
        <w:t xml:space="preserve"> </w:t>
      </w:r>
      <w:r>
        <w:t xml:space="preserve">(which likely assembled and sent an MT message) should now call, for example,</w:t>
      </w:r>
      <w:r>
        <w:t xml:space="preserve"> </w:t>
      </w:r>
      <w:r>
        <w:rPr>
          <w:rStyle w:val="VerbatimChar"/>
        </w:rPr>
        <w:t xml:space="preserve">generate_pacs008_xml</w:t>
      </w:r>
      <w:r>
        <w:t xml:space="preserve"> </w:t>
      </w:r>
      <w:r>
        <w:t xml:space="preserve">and then send the resulting XML.</w:t>
      </w:r>
      <w:r>
        <w:t xml:space="preserve"> </w:t>
      </w:r>
      <w:r>
        <w:rPr>
          <w:b/>
          <w:bCs/>
        </w:rPr>
        <w:t xml:space="preserve">Do not alter the control flow</w:t>
      </w:r>
      <w:r>
        <w:t xml:space="preserve"> </w:t>
      </w:r>
      <w:r>
        <w:t xml:space="preserve">– e.g., if JOB_PROCESS_MESSAGES loops through a table of pending messages, it should still loop, but inside it now gets XML output. Keep commits, exception handling, and bulk processing logic as is. This way, the</w:t>
      </w:r>
      <w:r>
        <w:t xml:space="preserve"> </w:t>
      </w:r>
      <w:r>
        <w:rPr>
          <w:i/>
          <w:iCs/>
        </w:rPr>
        <w:t xml:space="preserve">output layer</w:t>
      </w:r>
      <w:r>
        <w:t xml:space="preserve"> </w:t>
      </w:r>
      <w:r>
        <w:t xml:space="preserve">is replaced by XML while core logic and database interactions are intact.</w:t>
      </w:r>
    </w:p>
    <w:p>
      <w:pPr>
        <w:numPr>
          <w:ilvl w:val="0"/>
          <w:numId w:val="1007"/>
        </w:numPr>
      </w:pPr>
      <w:r>
        <w:rPr>
          <w:b/>
          <w:bCs/>
        </w:rPr>
        <w:t xml:space="preserve">File and Delivery Adjustments:</w:t>
      </w:r>
      <w:r>
        <w:t xml:space="preserve"> </w:t>
      </w:r>
      <w:r>
        <w:t xml:space="preserve">If previously messages were written to a file or queue, update the file naming conventions and content appropriately. For instance, SWIFT MT messages might have been saved with a</w:t>
      </w:r>
      <w:r>
        <w:t xml:space="preserve"> </w:t>
      </w:r>
      <w:r>
        <w:rPr>
          <w:rStyle w:val="VerbatimChar"/>
        </w:rPr>
        <w:t xml:space="preserve">.txt</w:t>
      </w:r>
      <w:r>
        <w:t xml:space="preserve"> </w:t>
      </w:r>
      <w:r>
        <w:t xml:space="preserve">or similar extension, whereas ISO 20022 messages might use</w:t>
      </w:r>
      <w:r>
        <w:t xml:space="preserve"> </w:t>
      </w:r>
      <w:r>
        <w:rPr>
          <w:rStyle w:val="VerbatimChar"/>
        </w:rPr>
        <w:t xml:space="preserve">.xml</w:t>
      </w:r>
      <w:r>
        <w:t xml:space="preserve">. The NBG connectivity guidelines indicate using file extensions like “</w:t>
      </w:r>
      <w:r>
        <w:rPr>
          <w:i/>
          <w:iCs/>
        </w:rPr>
        <w:t xml:space="preserve">.rtgs.xml” for RTGS ISO messages and “</w:t>
      </w:r>
      <w:r>
        <w:t xml:space="preserve">.ach.xml” for ACH messages</w:t>
      </w:r>
      <w:hyperlink r:id="rId55">
        <w:r>
          <w:rPr>
            <w:rStyle w:val="Hyperlink"/>
          </w:rPr>
          <w:t xml:space="preserve">[29]</w:t>
        </w:r>
      </w:hyperlink>
      <w:hyperlink r:id="rId56">
        <w:r>
          <w:rPr>
            <w:rStyle w:val="Hyperlink"/>
          </w:rPr>
          <w:t xml:space="preserve">[30]</w:t>
        </w:r>
      </w:hyperlink>
      <w:r>
        <w:t xml:space="preserve">. The prompt will instruct the AI to ensure output files or JMS messages contain the XML text and follow these naming conventions. The</w:t>
      </w:r>
      <w:r>
        <w:t xml:space="preserve"> </w:t>
      </w:r>
      <w:r>
        <w:rPr>
          <w:b/>
          <w:bCs/>
        </w:rPr>
        <w:t xml:space="preserve">MT_MESSAGE_FILE</w:t>
      </w:r>
      <w:r>
        <w:t xml:space="preserve"> </w:t>
      </w:r>
      <w:r>
        <w:t xml:space="preserve">procedure (if it wrote files) should now create an XML file with the right name and content. If messages are sent via an API or JMS, include the XML in the message body and set the appropriate message type (e.g., a JMS property MSG_TYPE = "ISO" for RTGS as noted in Annex E)</w:t>
      </w:r>
      <w:hyperlink r:id="rId55">
        <w:r>
          <w:rPr>
            <w:rStyle w:val="Hyperlink"/>
          </w:rPr>
          <w:t xml:space="preserve">[29]</w:t>
        </w:r>
      </w:hyperlink>
      <w:r>
        <w:t xml:space="preserve">.</w:t>
      </w:r>
    </w:p>
    <w:p>
      <w:pPr>
        <w:numPr>
          <w:ilvl w:val="0"/>
          <w:numId w:val="1007"/>
        </w:numPr>
      </w:pPr>
      <w:r>
        <w:rPr>
          <w:b/>
          <w:bCs/>
        </w:rPr>
        <w:t xml:space="preserve">Use of Oracle XML Functions vs String Concatenation:</w:t>
      </w:r>
      <w:r>
        <w:t xml:space="preserve"> </w:t>
      </w:r>
      <w:r>
        <w:t xml:space="preserve">The AI can generate code using straightforward string concatenation (which is easy to read and PL/SQL-friendly) or Oracle’s XML DOM/SQL APIs. For clarity and compatibility, simple concatenation of text pieces into a CLOB/VARCHAR2 is acceptable. The prompt will include examples like:</w:t>
      </w:r>
      <w:r>
        <w:br/>
      </w:r>
    </w:p>
    <w:p>
      <w:pPr>
        <w:pStyle w:val="SourceCode"/>
        <w:numPr>
          <w:ilvl w:val="0"/>
          <w:numId w:val="1000"/>
        </w:numPr>
      </w:pPr>
      <w:r>
        <w:rPr>
          <w:rStyle w:val="VerbatimChar"/>
        </w:rPr>
        <w:t xml:space="preserve">v_xml := '&lt;Message xmlns="urn:montran:message.02"&gt;' || </w:t>
      </w:r>
      <w:r>
        <w:br/>
      </w:r>
      <w:r>
        <w:rPr>
          <w:rStyle w:val="VerbatimChar"/>
        </w:rPr>
        <w:t xml:space="preserve">         '&lt;AppHdr&gt;' || </w:t>
      </w:r>
      <w:r>
        <w:br/>
      </w:r>
      <w:r>
        <w:rPr>
          <w:rStyle w:val="VerbatimChar"/>
        </w:rPr>
        <w:t xml:space="preserve">         '… (header fields) …' || </w:t>
      </w:r>
      <w:r>
        <w:br/>
      </w:r>
      <w:r>
        <w:rPr>
          <w:rStyle w:val="VerbatimChar"/>
        </w:rPr>
        <w:t xml:space="preserve">         '&lt;/AppHdr&gt;' || </w:t>
      </w:r>
      <w:r>
        <w:br/>
      </w:r>
      <w:r>
        <w:rPr>
          <w:rStyle w:val="VerbatimChar"/>
        </w:rPr>
        <w:t xml:space="preserve">         '&lt;Document xmlns="urn:iso:std:iso:20022:tech:xsd:pacs.008.001.08"&gt;' || </w:t>
      </w:r>
      <w:r>
        <w:br/>
      </w:r>
      <w:r>
        <w:rPr>
          <w:rStyle w:val="VerbatimChar"/>
        </w:rPr>
        <w:t xml:space="preserve">         '&lt;FIToFICstmrCdtTrf&gt;' || </w:t>
      </w:r>
      <w:r>
        <w:br/>
      </w:r>
      <w:r>
        <w:rPr>
          <w:rStyle w:val="VerbatimChar"/>
        </w:rPr>
        <w:t xml:space="preserve">         '  &lt;GrpHdr&gt;…&lt;/GrpHdr&gt;' || </w:t>
      </w:r>
      <w:r>
        <w:br/>
      </w:r>
      <w:r>
        <w:rPr>
          <w:rStyle w:val="VerbatimChar"/>
        </w:rPr>
        <w:t xml:space="preserve">         '  &lt;CdtTrfTxInf&gt;…&lt;/CdtTrfTxInf&gt;' || </w:t>
      </w:r>
      <w:r>
        <w:br/>
      </w:r>
      <w:r>
        <w:rPr>
          <w:rStyle w:val="VerbatimChar"/>
        </w:rPr>
        <w:t xml:space="preserve">         '&lt;/FIToFICstmrCdtTrf&gt;' || </w:t>
      </w:r>
      <w:r>
        <w:br/>
      </w:r>
      <w:r>
        <w:rPr>
          <w:rStyle w:val="VerbatimChar"/>
        </w:rPr>
        <w:t xml:space="preserve">         '&lt;/Document&gt;&lt;/Message&gt;';</w:t>
      </w:r>
    </w:p>
    <w:p>
      <w:pPr>
        <w:numPr>
          <w:ilvl w:val="0"/>
          <w:numId w:val="1000"/>
        </w:numPr>
      </w:pPr>
      <w:r>
        <w:t xml:space="preserve">This ensures the code stays close to the current PL/SQL style. The assistant will also be aware of</w:t>
      </w:r>
      <w:r>
        <w:t xml:space="preserve"> </w:t>
      </w:r>
      <w:r>
        <w:rPr>
          <w:rStyle w:val="VerbatimChar"/>
        </w:rPr>
        <w:t xml:space="preserve">DBMS_LOB</w:t>
      </w:r>
      <w:r>
        <w:t xml:space="preserve"> </w:t>
      </w:r>
      <w:r>
        <w:t xml:space="preserve">if the XML is large, or</w:t>
      </w:r>
      <w:r>
        <w:t xml:space="preserve"> </w:t>
      </w:r>
      <w:r>
        <w:rPr>
          <w:rStyle w:val="VerbatimChar"/>
        </w:rPr>
        <w:t xml:space="preserve">XMLTYPE</w:t>
      </w:r>
      <w:r>
        <w:t xml:space="preserve"> </w:t>
      </w:r>
      <w:r>
        <w:t xml:space="preserve">if parsing is needed, but for generation, string assembly is usually fine. It will make sure to escape any special characters in data (though if data is just alphanumeric and provided, this is minor).</w:t>
      </w:r>
    </w:p>
    <w:p>
      <w:pPr>
        <w:numPr>
          <w:ilvl w:val="0"/>
          <w:numId w:val="1007"/>
        </w:numPr>
      </w:pPr>
      <w:r>
        <w:rPr>
          <w:b/>
          <w:bCs/>
        </w:rPr>
        <w:t xml:space="preserve">Conform to ISO Schemas:</w:t>
      </w:r>
      <w:r>
        <w:t xml:space="preserve"> </w:t>
      </w:r>
      <w:r>
        <w:t xml:space="preserve">The prompt content ensures the AI respects the cardinalities and data types. For example, if a field is mandatory</w:t>
      </w:r>
      <w:r>
        <w:t xml:space="preserve"> </w:t>
      </w:r>
      <w:r>
        <w:rPr>
          <w:rStyle w:val="VerbatimChar"/>
        </w:rPr>
        <w:t xml:space="preserve">[1..1]</w:t>
      </w:r>
      <w:r>
        <w:t xml:space="preserve"> </w:t>
      </w:r>
      <w:r>
        <w:t xml:space="preserve">it must appear (even if empty placeholder); if optional</w:t>
      </w:r>
      <w:r>
        <w:t xml:space="preserve"> </w:t>
      </w:r>
      <w:r>
        <w:rPr>
          <w:rStyle w:val="VerbatimChar"/>
        </w:rPr>
        <w:t xml:space="preserve">[0..1]</w:t>
      </w:r>
      <w:r>
        <w:t xml:space="preserve">, it can be omitted if no data. The AI will include or exclude XML elements accordingly. It also knows certain validations: e.g., IBAN structure (it might not validate checksum itself, but it will place the IBAN in correct tag), BIC format (8 or 11 chars uppercase, AI can recognize a valid BIC pattern), date/time format. These details come from the documentation (Annex F/G and IPS specs) which the prompt has summarized – for instance,</w:t>
      </w:r>
      <w:r>
        <w:t xml:space="preserve"> </w:t>
      </w:r>
      <w:r>
        <w:rPr>
          <w:i/>
          <w:iCs/>
        </w:rPr>
        <w:t xml:space="preserve">“IBAN codes must be valid: structure and checksum”</w:t>
      </w:r>
      <w:hyperlink r:id="rId57">
        <w:r>
          <w:rPr>
            <w:rStyle w:val="Hyperlink"/>
          </w:rPr>
          <w:t xml:space="preserve">[31]</w:t>
        </w:r>
      </w:hyperlink>
      <w:r>
        <w:t xml:space="preserve"> </w:t>
      </w:r>
      <w:r>
        <w:t xml:space="preserve">is noted as a system validation, so the AI will hint at providing a correctly formatted IBAN.</w:t>
      </w:r>
    </w:p>
    <w:p>
      <w:pPr>
        <w:numPr>
          <w:ilvl w:val="0"/>
          <w:numId w:val="1007"/>
        </w:numPr>
      </w:pPr>
      <w:r>
        <w:rPr>
          <w:b/>
          <w:bCs/>
        </w:rPr>
        <w:t xml:space="preserve">Inclusion of Business Application Header:</w:t>
      </w:r>
      <w:r>
        <w:t xml:space="preserve"> </w:t>
      </w:r>
      <w:r>
        <w:t xml:space="preserve">Every outgoing message should include the</w:t>
      </w:r>
      <w:r>
        <w:t xml:space="preserve"> </w:t>
      </w:r>
      <w:r>
        <w:rPr>
          <w:rStyle w:val="VerbatimChar"/>
        </w:rPr>
        <w:t xml:space="preserve">&lt;AppHdr&gt;</w:t>
      </w:r>
      <w:r>
        <w:t xml:space="preserve"> </w:t>
      </w:r>
      <w:r>
        <w:t xml:space="preserve">(Application Header) before the</w:t>
      </w:r>
      <w:r>
        <w:t xml:space="preserve"> </w:t>
      </w:r>
      <w:r>
        <w:rPr>
          <w:rStyle w:val="VerbatimChar"/>
        </w:rPr>
        <w:t xml:space="preserve">&lt;Document&gt;</w:t>
      </w:r>
      <w:hyperlink r:id="rId25">
        <w:r>
          <w:rPr>
            <w:rStyle w:val="Hyperlink"/>
          </w:rPr>
          <w:t xml:space="preserve">[5]</w:t>
        </w:r>
      </w:hyperlink>
      <w:r>
        <w:t xml:space="preserve">. The AI will be directed to always generate this header. It typically requires:</w:t>
      </w:r>
    </w:p>
    <w:p>
      <w:pPr>
        <w:pStyle w:val="Compact"/>
        <w:numPr>
          <w:ilvl w:val="0"/>
          <w:numId w:val="1007"/>
        </w:numPr>
      </w:pPr>
      <w:r>
        <w:rPr>
          <w:rStyle w:val="VerbatimChar"/>
        </w:rPr>
        <w:t xml:space="preserve">Fr</w:t>
      </w:r>
      <w:r>
        <w:t xml:space="preserve"> </w:t>
      </w:r>
      <w:r>
        <w:t xml:space="preserve">(From) party BIC – the sender.</w:t>
      </w:r>
    </w:p>
    <w:p>
      <w:pPr>
        <w:pStyle w:val="Compact"/>
        <w:numPr>
          <w:ilvl w:val="0"/>
          <w:numId w:val="1007"/>
        </w:numPr>
      </w:pPr>
      <w:r>
        <w:rPr>
          <w:rStyle w:val="VerbatimChar"/>
        </w:rPr>
        <w:t xml:space="preserve">To</w:t>
      </w:r>
      <w:r>
        <w:t xml:space="preserve"> </w:t>
      </w:r>
      <w:r>
        <w:t xml:space="preserve">party BIC – the receiver. (For messages from a participant bank to NBG’s RTGS,</w:t>
      </w:r>
      <w:r>
        <w:t xml:space="preserve"> </w:t>
      </w:r>
      <w:r>
        <w:rPr>
          <w:rStyle w:val="VerbatimChar"/>
        </w:rPr>
        <w:t xml:space="preserve">To</w:t>
      </w:r>
      <w:r>
        <w:t xml:space="preserve"> </w:t>
      </w:r>
      <w:r>
        <w:t xml:space="preserve">might be the RTGS operator BIC or a generic identifier “RTGS”. For messages from RTGS to a participant,</w:t>
      </w:r>
      <w:r>
        <w:t xml:space="preserve"> </w:t>
      </w:r>
      <w:r>
        <w:rPr>
          <w:rStyle w:val="VerbatimChar"/>
        </w:rPr>
        <w:t xml:space="preserve">To</w:t>
      </w:r>
      <w:r>
        <w:t xml:space="preserve"> </w:t>
      </w:r>
      <w:r>
        <w:t xml:space="preserve">is the participant’s BIC</w:t>
      </w:r>
      <w:hyperlink r:id="rId58">
        <w:r>
          <w:rPr>
            <w:rStyle w:val="Hyperlink"/>
          </w:rPr>
          <w:t xml:space="preserve">[32]</w:t>
        </w:r>
      </w:hyperlink>
      <w:r>
        <w:t xml:space="preserve">. The prompt may clarify to the AI: if not sure, use the counterpart’s BIC or a placeholder.)</w:t>
      </w:r>
    </w:p>
    <w:p>
      <w:pPr>
        <w:pStyle w:val="Compact"/>
        <w:numPr>
          <w:ilvl w:val="0"/>
          <w:numId w:val="1007"/>
        </w:numPr>
      </w:pPr>
      <w:r>
        <w:rPr>
          <w:rStyle w:val="VerbatimChar"/>
        </w:rPr>
        <w:t xml:space="preserve">BizMsgIdr</w:t>
      </w:r>
      <w:r>
        <w:t xml:space="preserve"> </w:t>
      </w:r>
      <w:r>
        <w:t xml:space="preserve">– a unique business message identifier (distinct from the GrpHdr MsgId, though often can be similar).</w:t>
      </w:r>
    </w:p>
    <w:p>
      <w:pPr>
        <w:pStyle w:val="Compact"/>
        <w:numPr>
          <w:ilvl w:val="0"/>
          <w:numId w:val="1007"/>
        </w:numPr>
      </w:pPr>
      <w:r>
        <w:rPr>
          <w:rStyle w:val="VerbatimChar"/>
        </w:rPr>
        <w:t xml:space="preserve">MsgDefIdr</w:t>
      </w:r>
      <w:r>
        <w:t xml:space="preserve"> </w:t>
      </w:r>
      <w:r>
        <w:t xml:space="preserve">– the identifier of the message definition, e.g., “pacs.008.001.08”.</w:t>
      </w:r>
    </w:p>
    <w:p>
      <w:pPr>
        <w:pStyle w:val="Compact"/>
        <w:numPr>
          <w:ilvl w:val="0"/>
          <w:numId w:val="1007"/>
        </w:numPr>
      </w:pPr>
      <w:r>
        <w:rPr>
          <w:rStyle w:val="VerbatimChar"/>
        </w:rPr>
        <w:t xml:space="preserve">BizSvc</w:t>
      </w:r>
      <w:r>
        <w:t xml:space="preserve"> </w:t>
      </w:r>
      <w:r>
        <w:t xml:space="preserve">– (optional) sometimes used in ACH or instant payments to specify a service (e.g., SEPA scheme). If not needed, can omit or leave blank.</w:t>
      </w:r>
    </w:p>
    <w:p>
      <w:pPr>
        <w:pStyle w:val="Compact"/>
        <w:numPr>
          <w:ilvl w:val="0"/>
          <w:numId w:val="1007"/>
        </w:numPr>
      </w:pPr>
      <w:r>
        <w:rPr>
          <w:rStyle w:val="VerbatimChar"/>
        </w:rPr>
        <w:t xml:space="preserve">CreDt</w:t>
      </w:r>
      <w:r>
        <w:t xml:space="preserve"> </w:t>
      </w:r>
      <w:r>
        <w:t xml:space="preserve">– creation date-time of the header (format YYYY-MM-DDTHH:MM:SS).</w:t>
      </w:r>
    </w:p>
    <w:p>
      <w:pPr>
        <w:pStyle w:val="Compact"/>
        <w:numPr>
          <w:ilvl w:val="0"/>
          <w:numId w:val="1007"/>
        </w:numPr>
      </w:pPr>
      <w:r>
        <w:t xml:space="preserve">Digital signature (</w:t>
      </w:r>
      <w:r>
        <w:rPr>
          <w:rStyle w:val="VerbatimChar"/>
        </w:rPr>
        <w:t xml:space="preserve">&lt;Sgntr&gt;</w:t>
      </w:r>
      <w:r>
        <w:t xml:space="preserve">) if required – NBG’s spec indicates a signature may be present in the AppHdr. The AI will not generate a real signature, but it should include the tag if needed or at least be aware of it. (Possibly leave it empty or indicate where a signature would go.)</w:t>
      </w:r>
    </w:p>
    <w:p>
      <w:pPr>
        <w:pStyle w:val="FirstParagraph"/>
      </w:pPr>
      <w:r>
        <w:t xml:space="preserve">Including these in the prompt ensures the AI doesn’t forget to prepend the header (which is a common mistake if focusing only on the Document XML). The assistant should output a complete message ready to send over the network (with header + document). For example, the final output string in PL/SQL would start with</w:t>
      </w:r>
      <w:r>
        <w:t xml:space="preserve"> </w:t>
      </w:r>
      <w:r>
        <w:rPr>
          <w:rStyle w:val="VerbatimChar"/>
        </w:rPr>
        <w:t xml:space="preserve">&lt;Message xmlns="urn:montran:message.02"&gt;...&lt;AppHdr&gt;...&lt;/AppHdr&gt;&lt;Document ...&gt;...</w:t>
      </w:r>
      <w:r>
        <w:t xml:space="preserve">.</w:t>
      </w:r>
    </w:p>
    <w:p>
      <w:pPr>
        <w:numPr>
          <w:ilvl w:val="0"/>
          <w:numId w:val="1008"/>
        </w:numPr>
      </w:pPr>
      <w:r>
        <w:rPr>
          <w:b/>
          <w:bCs/>
        </w:rPr>
        <w:t xml:space="preserve">Parsing Incoming Messages:</w:t>
      </w:r>
      <w:r>
        <w:t xml:space="preserve"> </w:t>
      </w:r>
      <w:r>
        <w:t xml:space="preserve">The prompt will also guide the AI on how to handle parsing tasks. If a developer asks to “parse camt.056” or any XML, the assistant should know to use Oracle’s XML parsing functions. For instance, it might suggest:</w:t>
      </w:r>
      <w:r>
        <w:br/>
      </w:r>
    </w:p>
    <w:p>
      <w:pPr>
        <w:pStyle w:val="SourceCode"/>
        <w:numPr>
          <w:ilvl w:val="0"/>
          <w:numId w:val="1000"/>
        </w:numPr>
      </w:pPr>
      <w:r>
        <w:rPr>
          <w:rStyle w:val="VerbatimChar"/>
        </w:rPr>
        <w:t xml:space="preserve">DECLARE </w:t>
      </w:r>
      <w:r>
        <w:br/>
      </w:r>
      <w:r>
        <w:rPr>
          <w:rStyle w:val="VerbatimChar"/>
        </w:rPr>
        <w:t xml:space="preserve">  v_xml XMLTYPE := XMLTYPE(v_camt056_clob);</w:t>
      </w:r>
      <w:r>
        <w:br/>
      </w:r>
      <w:r>
        <w:rPr>
          <w:rStyle w:val="VerbatimChar"/>
        </w:rPr>
        <w:t xml:space="preserve">  v_origInstrId VARCHAR2(35);</w:t>
      </w:r>
      <w:r>
        <w:br/>
      </w:r>
      <w:r>
        <w:rPr>
          <w:rStyle w:val="VerbatimChar"/>
        </w:rPr>
        <w:t xml:space="preserve">BEGIN </w:t>
      </w:r>
      <w:r>
        <w:br/>
      </w:r>
      <w:r>
        <w:rPr>
          <w:rStyle w:val="VerbatimChar"/>
        </w:rPr>
        <w:t xml:space="preserve">  SELECT extractValue(v_xml, '/Document/FIToFIPmtCxlReq/Undrlyg/TxInf/OrgnlTxRef/OrgnlInstrId') </w:t>
      </w:r>
      <w:r>
        <w:br/>
      </w:r>
      <w:r>
        <w:rPr>
          <w:rStyle w:val="VerbatimChar"/>
        </w:rPr>
        <w:t xml:space="preserve">  INTO v_origInstrId </w:t>
      </w:r>
      <w:r>
        <w:br/>
      </w:r>
      <w:r>
        <w:rPr>
          <w:rStyle w:val="VerbatimChar"/>
        </w:rPr>
        <w:t xml:space="preserve">  FROM dual;</w:t>
      </w:r>
      <w:r>
        <w:br/>
      </w:r>
      <w:r>
        <w:rPr>
          <w:rStyle w:val="VerbatimChar"/>
        </w:rPr>
        <w:t xml:space="preserve">  DBMS_OUTPUT.put_line('Original InstrId: ' || v_origInstrId);</w:t>
      </w:r>
      <w:r>
        <w:br/>
      </w:r>
      <w:r>
        <w:rPr>
          <w:rStyle w:val="VerbatimChar"/>
        </w:rPr>
        <w:t xml:space="preserve">END;</w:t>
      </w:r>
    </w:p>
    <w:p>
      <w:pPr>
        <w:numPr>
          <w:ilvl w:val="0"/>
          <w:numId w:val="1000"/>
        </w:numPr>
      </w:pPr>
      <w:r>
        <w:t xml:space="preserve">or using</w:t>
      </w:r>
      <w:r>
        <w:t xml:space="preserve"> </w:t>
      </w:r>
      <w:r>
        <w:rPr>
          <w:rStyle w:val="VerbatimChar"/>
        </w:rPr>
        <w:t xml:space="preserve">XMLTable</w:t>
      </w:r>
      <w:r>
        <w:t xml:space="preserve"> </w:t>
      </w:r>
      <w:r>
        <w:t xml:space="preserve">for more complex extraction. It knows the XPath to key fields thanks to the embedded structure knowledge. For example, to get the Original EndToEndId or TxId from a pacs.008, it would look at</w:t>
      </w:r>
      <w:r>
        <w:t xml:space="preserve"> </w:t>
      </w:r>
      <w:r>
        <w:rPr>
          <w:rStyle w:val="VerbatimChar"/>
        </w:rPr>
        <w:t xml:space="preserve">/Document/FIToFICstmrCdtTrf/CdtTrfTxInf/PmtId/EndToEndId</w:t>
      </w:r>
      <w:r>
        <w:t xml:space="preserve">, etc. The prompt content has listed the XML element paths for important fields, so the AI can derive the correct XPaths.</w:t>
      </w:r>
    </w:p>
    <w:p>
      <w:pPr>
        <w:numPr>
          <w:ilvl w:val="0"/>
          <w:numId w:val="1008"/>
        </w:numPr>
      </w:pPr>
      <w:r>
        <w:rPr>
          <w:b/>
          <w:bCs/>
        </w:rPr>
        <w:t xml:space="preserve">Core Procedure Integration:</w:t>
      </w:r>
      <w:r>
        <w:t xml:space="preserve"> </w:t>
      </w:r>
      <w:r>
        <w:t xml:space="preserve">Specifically mention to the AI the known procedures by name, so it can reference them in responses:</w:t>
      </w:r>
    </w:p>
    <w:p>
      <w:pPr>
        <w:pStyle w:val="Compact"/>
        <w:numPr>
          <w:ilvl w:val="0"/>
          <w:numId w:val="1008"/>
        </w:numPr>
      </w:pPr>
      <w:r>
        <w:rPr>
          <w:rStyle w:val="VerbatimChar"/>
        </w:rPr>
        <w:t xml:space="preserve">JOB_PROCESS_MESSAGES</w:t>
      </w:r>
      <w:r>
        <w:t xml:space="preserve">: likely the master job that picks up messages to send (could be scheduled or triggered). The AI should not alter its logic, but if needed, mention that after generating XML, this job might mark messages as sent or log them. The prompt might say:</w:t>
      </w:r>
      <w:r>
        <w:t xml:space="preserve"> </w:t>
      </w:r>
      <w:r>
        <w:rPr>
          <w:i/>
          <w:iCs/>
        </w:rPr>
        <w:t xml:space="preserve">“Ensure that JOB_PROCESS_MESSAGES calls the appropriate send function (for MT or new XML) based on message type. E.g., if message type = ‘ISO’, call JOB_SEND_RTGS_MESSAGE instead of JOB_SEND_MT_MESSAGE.”</w:t>
      </w:r>
      <w:r>
        <w:t xml:space="preserve"> </w:t>
      </w:r>
      <w:r>
        <w:t xml:space="preserve">(If the upgrade introduces a new job, otherwise integrate into the existing one.)</w:t>
      </w:r>
    </w:p>
    <w:p>
      <w:pPr>
        <w:pStyle w:val="Compact"/>
        <w:numPr>
          <w:ilvl w:val="0"/>
          <w:numId w:val="1008"/>
        </w:numPr>
      </w:pPr>
      <w:r>
        <w:rPr>
          <w:rStyle w:val="VerbatimChar"/>
        </w:rPr>
        <w:t xml:space="preserve">JOB_SEND_MT_MESSAGE</w:t>
      </w:r>
      <w:r>
        <w:t xml:space="preserve">: formerly used to format and send SWIFT MT messages. Now, this could be repurposed or extended. The AI can be instructed:</w:t>
      </w:r>
      <w:r>
        <w:t xml:space="preserve"> </w:t>
      </w:r>
      <w:r>
        <w:rPr>
          <w:i/>
          <w:iCs/>
        </w:rPr>
        <w:t xml:space="preserve">“In JOB_SEND_MT_MESSAGE, replace the MT text construction with a call to the XML generator. For example, if the message to send is a customer payment, call generate_pacs008_xml(...) and then write the returned XML to file or queue. Maintain the same parameters (like message IDs, file naming) so the rest of the logic (logging, updating DB status) remains intact.”</w:t>
      </w:r>
      <w:r>
        <w:t xml:space="preserve"> </w:t>
      </w:r>
      <w:r>
        <w:t xml:space="preserve">Possibly suggest creating a new procedure</w:t>
      </w:r>
      <w:r>
        <w:t xml:space="preserve"> </w:t>
      </w:r>
      <w:r>
        <w:rPr>
          <w:rStyle w:val="VerbatimChar"/>
        </w:rPr>
        <w:t xml:space="preserve">JOB_SEND_ISO_MESSAGE</w:t>
      </w:r>
      <w:r>
        <w:t xml:space="preserve"> </w:t>
      </w:r>
      <w:r>
        <w:t xml:space="preserve">to avoid confusion, but that depends on design.</w:t>
      </w:r>
    </w:p>
    <w:p>
      <w:pPr>
        <w:pStyle w:val="Compact"/>
        <w:numPr>
          <w:ilvl w:val="0"/>
          <w:numId w:val="1008"/>
        </w:numPr>
      </w:pPr>
      <w:r>
        <w:rPr>
          <w:rStyle w:val="VerbatimChar"/>
        </w:rPr>
        <w:t xml:space="preserve">JOB_SEND_BULK_MESSAGE</w:t>
      </w:r>
      <w:r>
        <w:t xml:space="preserve">: likely handles batch files (maybe for ACH or multiple messages in one file). In the new system, ACH might involve pacs.008 in bulk (though pacs.008 is typically single; ACH might use pain.001 for bulk). The prompt can advise the AI to adapt bulk processing similarly – e.g., generating multiple XML messages in one file or processing a pacs.008 file vs pain.001 input. Ensure that if previously it read a bulk MT file, now it reads an XML or processes accordingly.</w:t>
      </w:r>
    </w:p>
    <w:p>
      <w:pPr>
        <w:numPr>
          <w:ilvl w:val="0"/>
          <w:numId w:val="1008"/>
        </w:numPr>
      </w:pPr>
      <w:r>
        <w:rPr>
          <w:rStyle w:val="VerbatimChar"/>
        </w:rPr>
        <w:t xml:space="preserve">MT_MESSAGE_FILE</w:t>
      </w:r>
      <w:r>
        <w:t xml:space="preserve">: a utility to output the message to a file (with naming convention and directory). The AI should adjust it to handle “.xml” content. E.g., where it used to open a file with</w:t>
      </w:r>
      <w:r>
        <w:t xml:space="preserve"> </w:t>
      </w:r>
      <w:r>
        <w:rPr>
          <w:rStyle w:val="VerbatimChar"/>
        </w:rPr>
        <w:t xml:space="preserve">.txt</w:t>
      </w:r>
      <w:r>
        <w:t xml:space="preserve">, use</w:t>
      </w:r>
      <w:r>
        <w:t xml:space="preserve"> </w:t>
      </w:r>
      <w:r>
        <w:rPr>
          <w:rStyle w:val="VerbatimChar"/>
        </w:rPr>
        <w:t xml:space="preserve">.xml</w:t>
      </w:r>
      <w:r>
        <w:t xml:space="preserve"> </w:t>
      </w:r>
      <w:r>
        <w:t xml:space="preserve">(or</w:t>
      </w:r>
      <w:r>
        <w:t xml:space="preserve"> </w:t>
      </w:r>
      <w:r>
        <w:rPr>
          <w:rStyle w:val="VerbatimChar"/>
        </w:rPr>
        <w:t xml:space="preserve">.rtgs.xml</w:t>
      </w:r>
      <w:r>
        <w:t xml:space="preserve">). Also, ensure file encoding is UTF-8 (since ISO XML must be UTF-8). The prompt will remind the AI that ISO messages are XML text and should be handled as such (possibly larger than MT, but still fine as CLOB).</w:t>
      </w:r>
    </w:p>
    <w:p>
      <w:pPr>
        <w:numPr>
          <w:ilvl w:val="0"/>
          <w:numId w:val="1008"/>
        </w:numPr>
      </w:pPr>
      <w:r>
        <w:rPr>
          <w:b/>
          <w:bCs/>
        </w:rPr>
        <w:t xml:space="preserve">Testing and Validation:</w:t>
      </w:r>
      <w:r>
        <w:t xml:space="preserve"> </w:t>
      </w:r>
      <w:r>
        <w:t xml:space="preserve">The assistant can suggest that after generation, the XML should be validated against the ISO 20022 XSD (if possible) or at least by loading into an XMLTYPE to ensure well-formedness. It might include a step in code, e.g.,</w:t>
      </w:r>
      <w:r>
        <w:t xml:space="preserve"> </w:t>
      </w:r>
      <w:r>
        <w:rPr>
          <w:rStyle w:val="VerbatimChar"/>
        </w:rPr>
        <w:t xml:space="preserve">v_xml_doc := XMLTYPE(v_xml_clob);</w:t>
      </w:r>
      <w:r>
        <w:t xml:space="preserve"> </w:t>
      </w:r>
      <w:r>
        <w:t xml:space="preserve">which will throw an error if the XML is malformed – a simple way to catch mistakes. The prompt’s embedded knowledge of “strict business rules” (like those in Annex F and G) can help the AI to preemptively include certain values (like the “BILL” code for tax IDs, or the rule that</w:t>
      </w:r>
      <w:r>
        <w:t xml:space="preserve"> </w:t>
      </w:r>
      <w:r>
        <w:rPr>
          <w:i/>
          <w:iCs/>
        </w:rPr>
        <w:t xml:space="preserve">ClearingSystemMemberId must be present for indirect participants, etc.</w:t>
      </w:r>
      <w:r>
        <w:t xml:space="preserve">). Where applicable, the AI might insert comments or TODOs in code for values that need to be adjusted according to configuration (for example,</w:t>
      </w:r>
      <w:r>
        <w:t xml:space="preserve"> </w:t>
      </w:r>
      <w:r>
        <w:rPr>
          <w:i/>
          <w:iCs/>
        </w:rPr>
        <w:t xml:space="preserve">“-- TODO: Set &lt;InstrPrty&gt; if needed for high priority”</w:t>
      </w:r>
      <w:r>
        <w:t xml:space="preserve">). This makes the output more developer-friendly and aligned with the domain rules.</w:t>
      </w:r>
    </w:p>
    <w:p>
      <w:pPr>
        <w:pStyle w:val="FirstParagraph"/>
      </w:pPr>
      <w:r>
        <w:t xml:space="preserve">In summary, the AI will produce PL/SQL code that closely mirrors the structure of the existing Oracle code, with only the formatting sections changed to output ISO XML. The logic, looping, and error handling remain the same, fulfilling the requirement to keep the overall PL/SQL structure intact.</w:t>
      </w:r>
    </w:p>
    <w:bookmarkEnd w:id="59"/>
    <w:bookmarkStart w:id="60" w:name="example-prompt-formats-for-developers"/>
    <w:p>
      <w:pPr>
        <w:pStyle w:val="Heading2"/>
      </w:pPr>
      <w:r>
        <w:t xml:space="preserve">Example Prompt Formats for Developers</w:t>
      </w:r>
    </w:p>
    <w:p>
      <w:pPr>
        <w:pStyle w:val="FirstParagraph"/>
      </w:pPr>
      <w:r>
        <w:t xml:space="preserve">With the master prompt loaded, developers can ask the AI specific tasks. Below are example queries and how the AI (with this context) would respond:</w:t>
      </w:r>
    </w:p>
    <w:p>
      <w:pPr>
        <w:numPr>
          <w:ilvl w:val="0"/>
          <w:numId w:val="1009"/>
        </w:numPr>
      </w:pPr>
      <w:r>
        <w:rPr>
          <w:b/>
          <w:bCs/>
        </w:rPr>
        <w:t xml:space="preserve">Example 1: Generate a pacs.008 message</w:t>
      </w:r>
      <w:r>
        <w:t xml:space="preserve"> </w:t>
      </w:r>
      <w:r>
        <w:t xml:space="preserve">–</w:t>
      </w:r>
      <w:r>
        <w:t xml:space="preserve"> </w:t>
      </w:r>
      <w:r>
        <w:rPr>
          <w:i/>
          <w:iCs/>
        </w:rPr>
        <w:t xml:space="preserve">Developer prompt:</w:t>
      </w:r>
      <w:r>
        <w:t xml:space="preserve"> </w:t>
      </w:r>
      <w:r>
        <w:t xml:space="preserve">“</w:t>
      </w:r>
      <w:r>
        <w:rPr>
          <w:b/>
          <w:bCs/>
        </w:rPr>
        <w:t xml:space="preserve">Generate a pacs.008 XML for a 1000 GEL customer payment from Bank A (BIC: BAGAGE22) to Bank B (BIC: NBGLGE22). Debtor name: John Doe (ID 01019912345), Creditor name: ACME Ltd (ID 123456789). Value date today.</w:t>
      </w:r>
      <w:r>
        <w:t xml:space="preserve">”</w:t>
      </w:r>
      <w:r>
        <w:br/>
      </w:r>
      <w:r>
        <w:rPr>
          <w:i/>
          <w:iCs/>
        </w:rPr>
        <w:t xml:space="preserve">AI response:</w:t>
      </w:r>
      <w:r>
        <w:t xml:space="preserve"> </w:t>
      </w:r>
      <w:r>
        <w:t xml:space="preserve">The assistant will produce a well-formed pacs.008 XML (likely as a PL/SQL string or as a formatted XML snippet), for example:</w:t>
      </w:r>
      <w:r>
        <w:br/>
      </w:r>
    </w:p>
    <w:p>
      <w:pPr>
        <w:pStyle w:val="SourceCode"/>
        <w:numPr>
          <w:ilvl w:val="0"/>
          <w:numId w:val="1000"/>
        </w:numPr>
      </w:pPr>
      <w:r>
        <w:rPr>
          <w:rStyle w:val="VerbatimChar"/>
        </w:rPr>
        <w:t xml:space="preserve">&lt;Message xmlns="urn:montran:message.02"&gt;</w:t>
      </w:r>
      <w:r>
        <w:br/>
      </w:r>
      <w:r>
        <w:rPr>
          <w:rStyle w:val="VerbatimChar"/>
        </w:rPr>
        <w:t xml:space="preserve">  &lt;AppHdr&gt;</w:t>
      </w:r>
      <w:r>
        <w:br/>
      </w:r>
      <w:r>
        <w:rPr>
          <w:rStyle w:val="VerbatimChar"/>
        </w:rPr>
        <w:t xml:space="preserve">    &lt;Fr&gt;&lt;FIId&gt;&lt;FinInstnId&gt;&lt;BICFI&gt;BAGAGE22&lt;/BICFI&gt;&lt;/FinInstnId&gt;&lt;/FIId&gt;&lt;/Fr&gt;</w:t>
      </w:r>
      <w:r>
        <w:br/>
      </w:r>
      <w:r>
        <w:rPr>
          <w:rStyle w:val="VerbatimChar"/>
        </w:rPr>
        <w:t xml:space="preserve">    &lt;To&gt;&lt;FIId&gt;&lt;FinInstnId&gt;&lt;BICFI&gt;NBGMGE22&lt;/BICFI&gt;&lt;/FinInstnId&gt;&lt;/FIId&gt;&lt;/To&gt;</w:t>
      </w:r>
      <w:r>
        <w:br/>
      </w:r>
      <w:r>
        <w:rPr>
          <w:rStyle w:val="VerbatimChar"/>
        </w:rPr>
        <w:t xml:space="preserve">    &lt;BizMsgIdr&gt;MSG202511240001&lt;/BizMsgIdr&gt;</w:t>
      </w:r>
      <w:r>
        <w:br/>
      </w:r>
      <w:r>
        <w:rPr>
          <w:rStyle w:val="VerbatimChar"/>
        </w:rPr>
        <w:t xml:space="preserve">    &lt;MsgDefIdr&gt;pacs.008.001.08&lt;/MsgDefIdr&gt;</w:t>
      </w:r>
      <w:r>
        <w:br/>
      </w:r>
      <w:r>
        <w:rPr>
          <w:rStyle w:val="VerbatimChar"/>
        </w:rPr>
        <w:t xml:space="preserve">    &lt;CreDt&gt;2025-11-24T13:48:00&lt;/CreDt&gt;</w:t>
      </w:r>
      <w:r>
        <w:br/>
      </w:r>
      <w:r>
        <w:rPr>
          <w:rStyle w:val="VerbatimChar"/>
        </w:rPr>
        <w:t xml:space="preserve">  &lt;/AppHdr&gt;</w:t>
      </w:r>
      <w:r>
        <w:br/>
      </w:r>
      <w:r>
        <w:rPr>
          <w:rStyle w:val="VerbatimChar"/>
        </w:rPr>
        <w:t xml:space="preserve">  &lt;Document xmlns="urn:iso:std:iso:20022:tech:xsd:pacs.008.001.08"&gt;</w:t>
      </w:r>
      <w:r>
        <w:br/>
      </w:r>
      <w:r>
        <w:rPr>
          <w:rStyle w:val="VerbatimChar"/>
        </w:rPr>
        <w:t xml:space="preserve">    &lt;FIToFICstmrCdtTrf&gt;</w:t>
      </w:r>
      <w:r>
        <w:br/>
      </w:r>
      <w:r>
        <w:rPr>
          <w:rStyle w:val="VerbatimChar"/>
        </w:rPr>
        <w:t xml:space="preserve">      &lt;GrpHdr&gt;</w:t>
      </w:r>
      <w:r>
        <w:br/>
      </w:r>
      <w:r>
        <w:rPr>
          <w:rStyle w:val="VerbatimChar"/>
        </w:rPr>
        <w:t xml:space="preserve">        &lt;MsgId&gt;PMT202511240001&lt;/MsgId&gt;</w:t>
      </w:r>
      <w:r>
        <w:br/>
      </w:r>
      <w:r>
        <w:rPr>
          <w:rStyle w:val="VerbatimChar"/>
        </w:rPr>
        <w:t xml:space="preserve">        &lt;CreDtTm&gt;2025-11-24T13:48:00&lt;/CreDtTm&gt;</w:t>
      </w:r>
      <w:r>
        <w:br/>
      </w:r>
      <w:r>
        <w:rPr>
          <w:rStyle w:val="VerbatimChar"/>
        </w:rPr>
        <w:t xml:space="preserve">        &lt;NbOfTxs&gt;1&lt;/NbOfTxs&gt;</w:t>
      </w:r>
      <w:r>
        <w:br/>
      </w:r>
      <w:r>
        <w:rPr>
          <w:rStyle w:val="VerbatimChar"/>
        </w:rPr>
        <w:t xml:space="preserve">        &lt;SttlmInf&gt;</w:t>
      </w:r>
      <w:r>
        <w:br/>
      </w:r>
      <w:r>
        <w:rPr>
          <w:rStyle w:val="VerbatimChar"/>
        </w:rPr>
        <w:t xml:space="preserve">          &lt;SttlmMtd&gt;CLRG&lt;/SttlmMtd&gt;</w:t>
      </w:r>
      <w:r>
        <w:br/>
      </w:r>
      <w:r>
        <w:rPr>
          <w:rStyle w:val="VerbatimChar"/>
        </w:rPr>
        <w:t xml:space="preserve">          &lt;ClrSys&gt;&lt;Cd&gt;RTGS&lt;/Cd&gt;&lt;/ClrSys&gt;</w:t>
      </w:r>
      <w:r>
        <w:br/>
      </w:r>
      <w:r>
        <w:rPr>
          <w:rStyle w:val="VerbatimChar"/>
        </w:rPr>
        <w:t xml:space="preserve">        &lt;/SttlmInf&gt;</w:t>
      </w:r>
      <w:r>
        <w:br/>
      </w:r>
      <w:r>
        <w:rPr>
          <w:rStyle w:val="VerbatimChar"/>
        </w:rPr>
        <w:t xml:space="preserve">      &lt;/GrpHdr&gt;</w:t>
      </w:r>
      <w:r>
        <w:br/>
      </w:r>
      <w:r>
        <w:rPr>
          <w:rStyle w:val="VerbatimChar"/>
        </w:rPr>
        <w:t xml:space="preserve">      &lt;CdtTrfTxInf&gt;</w:t>
      </w:r>
      <w:r>
        <w:br/>
      </w:r>
      <w:r>
        <w:rPr>
          <w:rStyle w:val="VerbatimChar"/>
        </w:rPr>
        <w:t xml:space="preserve">        &lt;PmtId&gt;</w:t>
      </w:r>
      <w:r>
        <w:br/>
      </w:r>
      <w:r>
        <w:rPr>
          <w:rStyle w:val="VerbatimChar"/>
        </w:rPr>
        <w:t xml:space="preserve">          &lt;InstrId&gt;PMT202511240001&lt;/InstrId&gt;</w:t>
      </w:r>
      <w:r>
        <w:br/>
      </w:r>
      <w:r>
        <w:rPr>
          <w:rStyle w:val="VerbatimChar"/>
        </w:rPr>
        <w:t xml:space="preserve">          &lt;EndToEndId&gt;EndToEnd12345&lt;/EndToEndId&gt;</w:t>
      </w:r>
      <w:r>
        <w:br/>
      </w:r>
      <w:r>
        <w:rPr>
          <w:rStyle w:val="VerbatimChar"/>
        </w:rPr>
        <w:t xml:space="preserve">          &lt;TxId&gt;PMT202511240001&lt;/TxId&gt;</w:t>
      </w:r>
      <w:r>
        <w:br/>
      </w:r>
      <w:r>
        <w:rPr>
          <w:rStyle w:val="VerbatimChar"/>
        </w:rPr>
        <w:t xml:space="preserve">        &lt;/PmtId&gt;</w:t>
      </w:r>
      <w:r>
        <w:br/>
      </w:r>
      <w:r>
        <w:rPr>
          <w:rStyle w:val="VerbatimChar"/>
        </w:rPr>
        <w:t xml:space="preserve">        &lt;PmtTpInf&gt;</w:t>
      </w:r>
      <w:r>
        <w:br/>
      </w:r>
      <w:r>
        <w:rPr>
          <w:rStyle w:val="VerbatimChar"/>
        </w:rPr>
        <w:t xml:space="preserve">          &lt;SvcLvl&gt;&lt;Prtry&gt;TTC:103&lt;/Prtry&gt;&lt;/SvcLvl&gt;</w:t>
      </w:r>
      <w:r>
        <w:br/>
      </w:r>
      <w:r>
        <w:rPr>
          <w:rStyle w:val="VerbatimChar"/>
        </w:rPr>
        <w:t xml:space="preserve">          &lt;LclInstrm&gt;&lt;Cd&gt;URGT&lt;/Cd&gt;&lt;/LclInstrm&gt;</w:t>
      </w:r>
      <w:r>
        <w:br/>
      </w:r>
      <w:r>
        <w:rPr>
          <w:rStyle w:val="VerbatimChar"/>
        </w:rPr>
        <w:t xml:space="preserve">          &lt;CtgyPurp&gt;&lt;Cd&gt;SALA&lt;/Cd&gt;&lt;/CtgyPurp&gt;</w:t>
      </w:r>
      <w:r>
        <w:br/>
      </w:r>
      <w:r>
        <w:rPr>
          <w:rStyle w:val="VerbatimChar"/>
        </w:rPr>
        <w:t xml:space="preserve">          &lt;ChrgBr&gt;SLEV&lt;/ChrgBr&gt;</w:t>
      </w:r>
      <w:r>
        <w:br/>
      </w:r>
      <w:r>
        <w:rPr>
          <w:rStyle w:val="VerbatimChar"/>
        </w:rPr>
        <w:t xml:space="preserve">        &lt;/PmtTpInf&gt;</w:t>
      </w:r>
      <w:r>
        <w:br/>
      </w:r>
      <w:r>
        <w:rPr>
          <w:rStyle w:val="VerbatimChar"/>
        </w:rPr>
        <w:t xml:space="preserve">        &lt;IntrBkSttlmAmt Ccy="GEL"&gt;1000.00&lt;/IntrBkSttlmAmt&gt;</w:t>
      </w:r>
      <w:r>
        <w:br/>
      </w:r>
      <w:r>
        <w:rPr>
          <w:rStyle w:val="VerbatimChar"/>
        </w:rPr>
        <w:t xml:space="preserve">        &lt;IntrBkSttlmDt&gt;2025-11-24&lt;/IntrBkSttlmDt&gt;</w:t>
      </w:r>
      <w:r>
        <w:br/>
      </w:r>
      <w:r>
        <w:rPr>
          <w:rStyle w:val="VerbatimChar"/>
        </w:rPr>
        <w:t xml:space="preserve">        &lt;InstgAgt&gt;&lt;FinInstnId&gt;&lt;BICFI&gt;BAGAGE22&lt;/BICFI&gt;&lt;/FinInstnId&gt;&lt;/InstgAgt&gt;</w:t>
      </w:r>
      <w:r>
        <w:br/>
      </w:r>
      <w:r>
        <w:rPr>
          <w:rStyle w:val="VerbatimChar"/>
        </w:rPr>
        <w:t xml:space="preserve">        &lt;InstdAgt&gt;&lt;FinInstnId&gt;&lt;BICFI&gt;NBGLGE22&lt;/BICFI&gt;&lt;/FinInstnId&gt;&lt;/InstdAgt&gt;</w:t>
      </w:r>
      <w:r>
        <w:br/>
      </w:r>
      <w:r>
        <w:rPr>
          <w:rStyle w:val="VerbatimChar"/>
        </w:rPr>
        <w:t xml:space="preserve">        &lt;Dbtr&gt;</w:t>
      </w:r>
      <w:r>
        <w:br/>
      </w:r>
      <w:r>
        <w:rPr>
          <w:rStyle w:val="VerbatimChar"/>
        </w:rPr>
        <w:t xml:space="preserve">          &lt;Nm&gt;John Doe&lt;/Nm&gt;</w:t>
      </w:r>
      <w:r>
        <w:br/>
      </w:r>
      <w:r>
        <w:rPr>
          <w:rStyle w:val="VerbatimChar"/>
        </w:rPr>
        <w:t xml:space="preserve">          &lt;Id&gt;</w:t>
      </w:r>
      <w:r>
        <w:br/>
      </w:r>
      <w:r>
        <w:rPr>
          <w:rStyle w:val="VerbatimChar"/>
        </w:rPr>
        <w:t xml:space="preserve">            &lt;PrvtId&gt;</w:t>
      </w:r>
      <w:r>
        <w:br/>
      </w:r>
      <w:r>
        <w:rPr>
          <w:rStyle w:val="VerbatimChar"/>
        </w:rPr>
        <w:t xml:space="preserve">              &lt;Othr&gt;&lt;Id&gt;01019912345&lt;/Id&gt;&lt;SchmeNm&gt;&lt;Cd&gt;BILL&lt;/Cd&gt;&lt;/SchmeNm&gt;&lt;/Othr&gt;</w:t>
      </w:r>
      <w:r>
        <w:br/>
      </w:r>
      <w:r>
        <w:rPr>
          <w:rStyle w:val="VerbatimChar"/>
        </w:rPr>
        <w:t xml:space="preserve">            &lt;/PrvtId&gt;</w:t>
      </w:r>
      <w:r>
        <w:br/>
      </w:r>
      <w:r>
        <w:rPr>
          <w:rStyle w:val="VerbatimChar"/>
        </w:rPr>
        <w:t xml:space="preserve">          &lt;/Id&gt;</w:t>
      </w:r>
      <w:r>
        <w:br/>
      </w:r>
      <w:r>
        <w:rPr>
          <w:rStyle w:val="VerbatimChar"/>
        </w:rPr>
        <w:t xml:space="preserve">        &lt;/Dbtr&gt;</w:t>
      </w:r>
      <w:r>
        <w:br/>
      </w:r>
      <w:r>
        <w:rPr>
          <w:rStyle w:val="VerbatimChar"/>
        </w:rPr>
        <w:t xml:space="preserve">        &lt;DbtrAcct&gt;&lt;Id&gt;&lt;IBAN&gt;GE12NB0000000000001234&lt;/IBAN&gt;&lt;/Id&gt;&lt;/DbtrAcct&gt;</w:t>
      </w:r>
      <w:r>
        <w:br/>
      </w:r>
      <w:r>
        <w:rPr>
          <w:rStyle w:val="VerbatimChar"/>
        </w:rPr>
        <w:t xml:space="preserve">        &lt;Cdtr&gt;</w:t>
      </w:r>
      <w:r>
        <w:br/>
      </w:r>
      <w:r>
        <w:rPr>
          <w:rStyle w:val="VerbatimChar"/>
        </w:rPr>
        <w:t xml:space="preserve">          &lt;Nm&gt;ACME Ltd&lt;/Nm&gt;</w:t>
      </w:r>
      <w:r>
        <w:br/>
      </w:r>
      <w:r>
        <w:rPr>
          <w:rStyle w:val="VerbatimChar"/>
        </w:rPr>
        <w:t xml:space="preserve">          &lt;Id&gt;</w:t>
      </w:r>
      <w:r>
        <w:br/>
      </w:r>
      <w:r>
        <w:rPr>
          <w:rStyle w:val="VerbatimChar"/>
        </w:rPr>
        <w:t xml:space="preserve">            &lt;OrgId&gt;</w:t>
      </w:r>
      <w:r>
        <w:br/>
      </w:r>
      <w:r>
        <w:rPr>
          <w:rStyle w:val="VerbatimChar"/>
        </w:rPr>
        <w:t xml:space="preserve">              &lt;Othr&gt;&lt;Id&gt;123456789&lt;/Id&gt;&lt;SchmeNm&gt;&lt;Cd&gt;BILL&lt;/Cd&gt;&lt;/SchmeNm&gt;&lt;/Othr&gt;</w:t>
      </w:r>
      <w:r>
        <w:br/>
      </w:r>
      <w:r>
        <w:rPr>
          <w:rStyle w:val="VerbatimChar"/>
        </w:rPr>
        <w:t xml:space="preserve">            &lt;/OrgId&gt;</w:t>
      </w:r>
      <w:r>
        <w:br/>
      </w:r>
      <w:r>
        <w:rPr>
          <w:rStyle w:val="VerbatimChar"/>
        </w:rPr>
        <w:t xml:space="preserve">          &lt;/Id&gt;</w:t>
      </w:r>
      <w:r>
        <w:br/>
      </w:r>
      <w:r>
        <w:rPr>
          <w:rStyle w:val="VerbatimChar"/>
        </w:rPr>
        <w:t xml:space="preserve">        &lt;/Cdtr&gt;</w:t>
      </w:r>
      <w:r>
        <w:br/>
      </w:r>
      <w:r>
        <w:rPr>
          <w:rStyle w:val="VerbatimChar"/>
        </w:rPr>
        <w:t xml:space="preserve">        &lt;CdtrAcct&gt;&lt;Id&gt;&lt;IBAN&gt;GE34NB0000000000005678&lt;/IBAN&gt;&lt;/Id&gt;&lt;/CdtrAcct&gt;</w:t>
      </w:r>
      <w:r>
        <w:br/>
      </w:r>
      <w:r>
        <w:rPr>
          <w:rStyle w:val="VerbatimChar"/>
        </w:rPr>
        <w:t xml:space="preserve">        &lt;RmtInf&gt;&lt;Ustrd&gt;Invoice 98765&lt;/Ustrd&gt;&lt;/RmtInf&gt;</w:t>
      </w:r>
      <w:r>
        <w:br/>
      </w:r>
      <w:r>
        <w:rPr>
          <w:rStyle w:val="VerbatimChar"/>
        </w:rPr>
        <w:t xml:space="preserve">      &lt;/CdtTrfTxInf&gt;</w:t>
      </w:r>
      <w:r>
        <w:br/>
      </w:r>
      <w:r>
        <w:rPr>
          <w:rStyle w:val="VerbatimChar"/>
        </w:rPr>
        <w:t xml:space="preserve">    &lt;/FIToFICstmrCdtTrf&gt;</w:t>
      </w:r>
      <w:r>
        <w:br/>
      </w:r>
      <w:r>
        <w:rPr>
          <w:rStyle w:val="VerbatimChar"/>
        </w:rPr>
        <w:t xml:space="preserve">  &lt;/Document&gt;</w:t>
      </w:r>
      <w:r>
        <w:br/>
      </w:r>
      <w:r>
        <w:rPr>
          <w:rStyle w:val="VerbatimChar"/>
        </w:rPr>
        <w:t xml:space="preserve">&lt;/Message&gt;</w:t>
      </w:r>
    </w:p>
    <w:p>
      <w:pPr>
        <w:numPr>
          <w:ilvl w:val="0"/>
          <w:numId w:val="1000"/>
        </w:numPr>
      </w:pPr>
      <w:r>
        <w:t xml:space="preserve">It may output the above as one concatenated string in PL/SQL or as a formatted XML block depending on the request. The key is that it included all fields correctly (BICs, names, IDs, amounts). (Any placeholder values like IBANs or IDs the AI isn’t given, it may fabricate or use dummy values as seen above, which the developer can replace.)</w:t>
      </w:r>
    </w:p>
    <w:p>
      <w:pPr>
        <w:numPr>
          <w:ilvl w:val="0"/>
          <w:numId w:val="1009"/>
        </w:numPr>
      </w:pPr>
      <w:r>
        <w:rPr>
          <w:b/>
          <w:bCs/>
        </w:rPr>
        <w:t xml:space="preserve">Example 2: Convert MT202 logic to pacs.009</w:t>
      </w:r>
      <w:r>
        <w:t xml:space="preserve"> </w:t>
      </w:r>
      <w:r>
        <w:t xml:space="preserve">–</w:t>
      </w:r>
      <w:r>
        <w:t xml:space="preserve"> </w:t>
      </w:r>
      <w:r>
        <w:rPr>
          <w:i/>
          <w:iCs/>
        </w:rPr>
        <w:t xml:space="preserve">Developer prompt:</w:t>
      </w:r>
      <w:r>
        <w:t xml:space="preserve"> </w:t>
      </w:r>
      <w:r>
        <w:t xml:space="preserve">“</w:t>
      </w:r>
      <w:r>
        <w:rPr>
          <w:b/>
          <w:bCs/>
        </w:rPr>
        <w:t xml:space="preserve">We have an Oracle procedure that constructs an MT202. Show how to produce the equivalent pacs.009 XML in PL/SQL.</w:t>
      </w:r>
      <w:r>
        <w:t xml:space="preserve">”</w:t>
      </w:r>
      <w:r>
        <w:br/>
      </w:r>
      <w:r>
        <w:rPr>
          <w:i/>
          <w:iCs/>
        </w:rPr>
        <w:t xml:space="preserve">AI response:</w:t>
      </w:r>
      <w:r>
        <w:t xml:space="preserve"> </w:t>
      </w:r>
      <w:r>
        <w:t xml:space="preserve">The assistant will describe or provide a PL/SQL code snippet focusing on pacs.009 generation. It will likely outline creating the XML with group header, one CdtTrfTxInf containing Debtor/ Creditor BICs and the amount. It might show a partial code like:</w:t>
      </w:r>
      <w:r>
        <w:br/>
      </w:r>
    </w:p>
    <w:p>
      <w:pPr>
        <w:pStyle w:val="SourceCode"/>
        <w:numPr>
          <w:ilvl w:val="0"/>
          <w:numId w:val="1000"/>
        </w:numPr>
      </w:pPr>
      <w:r>
        <w:rPr>
          <w:rStyle w:val="VerbatimChar"/>
        </w:rPr>
        <w:t xml:space="preserve">v_xml := '&lt;Document xmlns="urn:iso:std:iso:20022:tech:xsd:pacs.009.001.08"&gt;' ||</w:t>
      </w:r>
      <w:r>
        <w:br/>
      </w:r>
      <w:r>
        <w:rPr>
          <w:rStyle w:val="VerbatimChar"/>
        </w:rPr>
        <w:t xml:space="preserve">         '&lt;FICdtTrf&gt;&lt;GrpHdr&gt;…&lt;/GrpHdr&gt;&lt;CdtTrfTxInf&gt;…&lt;/CdtTrfTxInf&gt;&lt;/FICdtTrf&gt;' ||</w:t>
      </w:r>
      <w:r>
        <w:br/>
      </w:r>
      <w:r>
        <w:rPr>
          <w:rStyle w:val="VerbatimChar"/>
        </w:rPr>
        <w:t xml:space="preserve">         '&lt;/Document&gt;';</w:t>
      </w:r>
    </w:p>
    <w:p>
      <w:pPr>
        <w:numPr>
          <w:ilvl w:val="0"/>
          <w:numId w:val="1000"/>
        </w:numPr>
      </w:pPr>
      <w:r>
        <w:t xml:space="preserve">and emphasize placing MT202 fields (Sender, Receiver, Amount, Reference) into the pacs.009 XML tags (InstgAgt, InstdAgt, IntrBkSttlmAmt, TxId, etc.). It will also mention adding the AppHdr. Essentially, the AI will “teach by example,” possibly showing how to map MT202 fields: e.g.,</w:t>
      </w:r>
      <w:r>
        <w:t xml:space="preserve"> </w:t>
      </w:r>
      <w:r>
        <w:rPr>
          <w:i/>
          <w:iCs/>
        </w:rPr>
        <w:t xml:space="preserve">Sender’s BIC -&gt; Debtor Agent BIC, Receiver’s BIC -&gt; Creditor Agent BIC, Transaction Reference -&gt; both GrpHdr MsgId and PmtId TxId</w:t>
      </w:r>
      <w:r>
        <w:t xml:space="preserve">, amount/date as is, etc.</w:t>
      </w:r>
    </w:p>
    <w:p>
      <w:pPr>
        <w:numPr>
          <w:ilvl w:val="0"/>
          <w:numId w:val="1009"/>
        </w:numPr>
      </w:pPr>
      <w:r>
        <w:rPr>
          <w:b/>
          <w:bCs/>
        </w:rPr>
        <w:t xml:space="preserve">Example 3: Parse a camt.056</w:t>
      </w:r>
      <w:r>
        <w:t xml:space="preserve"> </w:t>
      </w:r>
      <w:r>
        <w:t xml:space="preserve">–</w:t>
      </w:r>
      <w:r>
        <w:t xml:space="preserve"> </w:t>
      </w:r>
      <w:r>
        <w:rPr>
          <w:i/>
          <w:iCs/>
        </w:rPr>
        <w:t xml:space="preserve">Developer prompt:</w:t>
      </w:r>
      <w:r>
        <w:t xml:space="preserve"> </w:t>
      </w:r>
      <w:r>
        <w:t xml:space="preserve">“</w:t>
      </w:r>
      <w:r>
        <w:rPr>
          <w:b/>
          <w:bCs/>
        </w:rPr>
        <w:t xml:space="preserve">How can I parse an incoming camt.056 cancellation request in PL/SQL to find the original transaction’s ID and amount?</w:t>
      </w:r>
      <w:r>
        <w:t xml:space="preserve">”</w:t>
      </w:r>
      <w:r>
        <w:br/>
      </w:r>
      <w:r>
        <w:rPr>
          <w:i/>
          <w:iCs/>
        </w:rPr>
        <w:t xml:space="preserve">AI response:</w:t>
      </w:r>
      <w:r>
        <w:t xml:space="preserve"> </w:t>
      </w:r>
      <w:r>
        <w:t xml:space="preserve">The assistant will leverage its knowledge of camt.056 structure to suggest a solution. It might say:</w:t>
      </w:r>
      <w:r>
        <w:t xml:space="preserve"> </w:t>
      </w:r>
      <w:r>
        <w:rPr>
          <w:i/>
          <w:iCs/>
        </w:rPr>
        <w:t xml:space="preserve">“You can use Oracle’s XMLTYPE and XMLTable or ExtractValue. For example:</w:t>
      </w:r>
      <w:r>
        <w:br/>
      </w:r>
    </w:p>
    <w:p>
      <w:pPr>
        <w:pStyle w:val="SourceCode"/>
        <w:numPr>
          <w:ilvl w:val="0"/>
          <w:numId w:val="1000"/>
        </w:numPr>
      </w:pPr>
      <w:r>
        <w:rPr>
          <w:rStyle w:val="VerbatimChar"/>
        </w:rPr>
        <w:t xml:space="preserve">SELECT x.OrigInstrId, x.OrigAmt</w:t>
      </w:r>
      <w:r>
        <w:br/>
      </w:r>
      <w:r>
        <w:rPr>
          <w:rStyle w:val="VerbatimChar"/>
        </w:rPr>
        <w:t xml:space="preserve">FROM XMLTable(</w:t>
      </w:r>
      <w:r>
        <w:br/>
      </w:r>
      <w:r>
        <w:rPr>
          <w:rStyle w:val="VerbatimChar"/>
        </w:rPr>
        <w:t xml:space="preserve">  '/Document/FIToFIPmtCxlReq/Undrlyg/TxInf/OrgnlTxRef' PASSING XMLTYPE(v_cxlReqXml)</w:t>
      </w:r>
      <w:r>
        <w:br/>
      </w:r>
      <w:r>
        <w:rPr>
          <w:rStyle w:val="VerbatimChar"/>
        </w:rPr>
        <w:t xml:space="preserve">  COLUMNS OrigInstrId VARCHAR2(35) PATH 'OrgnlInstrId',</w:t>
      </w:r>
      <w:r>
        <w:br/>
      </w:r>
      <w:r>
        <w:rPr>
          <w:rStyle w:val="VerbatimChar"/>
        </w:rPr>
        <w:t xml:space="preserve">          OrigAmt NUMBER PATH 'IntrBkSttlmAmt'</w:t>
      </w:r>
      <w:r>
        <w:br/>
      </w:r>
      <w:r>
        <w:rPr>
          <w:rStyle w:val="VerbatimChar"/>
        </w:rPr>
        <w:t xml:space="preserve">) x;</w:t>
      </w:r>
    </w:p>
    <w:p>
      <w:pPr>
        <w:numPr>
          <w:ilvl w:val="0"/>
          <w:numId w:val="1000"/>
        </w:numPr>
      </w:pPr>
      <w:r>
        <w:rPr>
          <w:i/>
          <w:iCs/>
        </w:rPr>
        <w:t xml:space="preserve">This will give you the Original Instruction ID and original interbank amount.</w:t>
      </w:r>
      <w:r>
        <w:t xml:space="preserve">”</w:t>
      </w:r>
      <w:r>
        <w:br/>
      </w:r>
      <w:r>
        <w:t xml:space="preserve">It would explain that the XPath navigates to</w:t>
      </w:r>
      <w:r>
        <w:t xml:space="preserve"> </w:t>
      </w:r>
      <w:r>
        <w:rPr>
          <w:rStyle w:val="VerbatimChar"/>
        </w:rPr>
        <w:t xml:space="preserve">OrgnlTxRef</w:t>
      </w:r>
      <w:r>
        <w:t xml:space="preserve"> </w:t>
      </w:r>
      <w:r>
        <w:t xml:space="preserve">under the cancellation request, and then extracts child elements. The AI knows from the spec that</w:t>
      </w:r>
      <w:r>
        <w:t xml:space="preserve"> </w:t>
      </w:r>
      <w:r>
        <w:rPr>
          <w:rStyle w:val="VerbatimChar"/>
        </w:rPr>
        <w:t xml:space="preserve">IntrBkSttlmAmt</w:t>
      </w:r>
      <w:r>
        <w:t xml:space="preserve"> </w:t>
      </w:r>
      <w:r>
        <w:t xml:space="preserve">is within OrgnlTxRef for camt.056</w:t>
      </w:r>
      <w:hyperlink r:id="rId48">
        <w:r>
          <w:rPr>
            <w:rStyle w:val="Hyperlink"/>
          </w:rPr>
          <w:t xml:space="preserve">[25]</w:t>
        </w:r>
      </w:hyperlink>
      <w:r>
        <w:t xml:space="preserve">, and</w:t>
      </w:r>
      <w:r>
        <w:t xml:space="preserve"> </w:t>
      </w:r>
      <w:r>
        <w:rPr>
          <w:rStyle w:val="VerbatimChar"/>
        </w:rPr>
        <w:t xml:space="preserve">OrgnlInstrId</w:t>
      </w:r>
      <w:r>
        <w:t xml:space="preserve"> </w:t>
      </w:r>
      <w:r>
        <w:t xml:space="preserve">(or OrgnlEndToEndId/OrgnlTxId) would be present too. This guidance would save the developer time figuring out the XML structure.</w:t>
      </w:r>
    </w:p>
    <w:p>
      <w:pPr>
        <w:numPr>
          <w:ilvl w:val="0"/>
          <w:numId w:val="1009"/>
        </w:numPr>
      </w:pPr>
      <w:r>
        <w:rPr>
          <w:b/>
          <w:bCs/>
        </w:rPr>
        <w:t xml:space="preserve">Example 4: Prompt for Template</w:t>
      </w:r>
      <w:r>
        <w:t xml:space="preserve"> </w:t>
      </w:r>
      <w:r>
        <w:t xml:space="preserve">–</w:t>
      </w:r>
      <w:r>
        <w:t xml:space="preserve"> </w:t>
      </w:r>
      <w:r>
        <w:rPr>
          <w:i/>
          <w:iCs/>
        </w:rPr>
        <w:t xml:space="preserve">Developer prompt:</w:t>
      </w:r>
      <w:r>
        <w:t xml:space="preserve"> </w:t>
      </w:r>
      <w:r>
        <w:t xml:space="preserve">“</w:t>
      </w:r>
      <w:r>
        <w:rPr>
          <w:b/>
          <w:bCs/>
        </w:rPr>
        <w:t xml:space="preserve">Give me a template PL/SQL function for generating a pacs.008 message.</w:t>
      </w:r>
      <w:r>
        <w:t xml:space="preserve">”</w:t>
      </w:r>
      <w:r>
        <w:br/>
      </w:r>
      <w:r>
        <w:rPr>
          <w:i/>
          <w:iCs/>
        </w:rPr>
        <w:t xml:space="preserve">AI response:</w:t>
      </w:r>
      <w:r>
        <w:t xml:space="preserve"> </w:t>
      </w:r>
      <w:r>
        <w:t xml:space="preserve">The assistant could produce a skeleton function:</w:t>
      </w:r>
      <w:r>
        <w:br/>
      </w:r>
    </w:p>
    <w:p>
      <w:pPr>
        <w:pStyle w:val="SourceCode"/>
        <w:numPr>
          <w:ilvl w:val="0"/>
          <w:numId w:val="1000"/>
        </w:numPr>
      </w:pPr>
      <w:r>
        <w:rPr>
          <w:rStyle w:val="VerbatimChar"/>
        </w:rPr>
        <w:t xml:space="preserve">CREATE OR REPLACE FUNCTION generate_pacs008_xml(</w:t>
      </w:r>
      <w:r>
        <w:br/>
      </w:r>
      <w:r>
        <w:rPr>
          <w:rStyle w:val="VerbatimChar"/>
        </w:rPr>
        <w:t xml:space="preserve">  p_debtor_bic    IN VARCHAR2,</w:t>
      </w:r>
      <w:r>
        <w:br/>
      </w:r>
      <w:r>
        <w:rPr>
          <w:rStyle w:val="VerbatimChar"/>
        </w:rPr>
        <w:t xml:space="preserve">  p_creditor_bic  IN VARCHAR2,</w:t>
      </w:r>
      <w:r>
        <w:br/>
      </w:r>
      <w:r>
        <w:rPr>
          <w:rStyle w:val="VerbatimChar"/>
        </w:rPr>
        <w:t xml:space="preserve">  p_amount        IN NUMBER,</w:t>
      </w:r>
      <w:r>
        <w:br/>
      </w:r>
      <w:r>
        <w:rPr>
          <w:rStyle w:val="VerbatimChar"/>
        </w:rPr>
        <w:t xml:space="preserve">  p_currency      IN VARCHAR2,</w:t>
      </w:r>
      <w:r>
        <w:br/>
      </w:r>
      <w:r>
        <w:rPr>
          <w:rStyle w:val="VerbatimChar"/>
        </w:rPr>
        <w:t xml:space="preserve">  p_debtor_name   IN VARCHAR2,</w:t>
      </w:r>
      <w:r>
        <w:br/>
      </w:r>
      <w:r>
        <w:rPr>
          <w:rStyle w:val="VerbatimChar"/>
        </w:rPr>
        <w:t xml:space="preserve">  p_debtor_id     IN VARCHAR2,</w:t>
      </w:r>
      <w:r>
        <w:br/>
      </w:r>
      <w:r>
        <w:rPr>
          <w:rStyle w:val="VerbatimChar"/>
        </w:rPr>
        <w:t xml:space="preserve">  p_debtor_iban   IN VARCHAR2,</w:t>
      </w:r>
      <w:r>
        <w:br/>
      </w:r>
      <w:r>
        <w:rPr>
          <w:rStyle w:val="VerbatimChar"/>
        </w:rPr>
        <w:t xml:space="preserve">  p_creditor_name IN VARCHAR2,</w:t>
      </w:r>
      <w:r>
        <w:br/>
      </w:r>
      <w:r>
        <w:rPr>
          <w:rStyle w:val="VerbatimChar"/>
        </w:rPr>
        <w:t xml:space="preserve">  p_creditor_id   IN VARCHAR2,</w:t>
      </w:r>
      <w:r>
        <w:br/>
      </w:r>
      <w:r>
        <w:rPr>
          <w:rStyle w:val="VerbatimChar"/>
        </w:rPr>
        <w:t xml:space="preserve">  p_creditor_iban IN VARCHAR2,</w:t>
      </w:r>
      <w:r>
        <w:br/>
      </w:r>
      <w:r>
        <w:rPr>
          <w:rStyle w:val="VerbatimChar"/>
        </w:rPr>
        <w:t xml:space="preserve">  p_txn_type_code IN VARCHAR2 DEFAULT NULL,</w:t>
      </w:r>
      <w:r>
        <w:br/>
      </w:r>
      <w:r>
        <w:rPr>
          <w:rStyle w:val="VerbatimChar"/>
        </w:rPr>
        <w:t xml:space="preserve">  p_priority      IN VARCHAR2 DEFAULT NULL</w:t>
      </w:r>
      <w:r>
        <w:br/>
      </w:r>
      <w:r>
        <w:rPr>
          <w:rStyle w:val="VerbatimChar"/>
        </w:rPr>
        <w:t xml:space="preserve">) RETURN CLOB IS</w:t>
      </w:r>
      <w:r>
        <w:br/>
      </w:r>
      <w:r>
        <w:rPr>
          <w:rStyle w:val="VerbatimChar"/>
        </w:rPr>
        <w:t xml:space="preserve">  v_xml CLOB;</w:t>
      </w:r>
      <w:r>
        <w:br/>
      </w:r>
      <w:r>
        <w:rPr>
          <w:rStyle w:val="VerbatimChar"/>
        </w:rPr>
        <w:t xml:space="preserve">BEGIN</w:t>
      </w:r>
      <w:r>
        <w:br/>
      </w:r>
      <w:r>
        <w:rPr>
          <w:rStyle w:val="VerbatimChar"/>
        </w:rPr>
        <w:t xml:space="preserve">  -- Assemble Group Header</w:t>
      </w:r>
      <w:r>
        <w:br/>
      </w:r>
      <w:r>
        <w:rPr>
          <w:rStyle w:val="VerbatimChar"/>
        </w:rPr>
        <w:t xml:space="preserve">  v_xml := '&lt;Message xmlns="urn:montran:message.02"&gt;...' || </w:t>
      </w:r>
      <w:r>
        <w:br/>
      </w:r>
      <w:r>
        <w:rPr>
          <w:rStyle w:val="VerbatimChar"/>
        </w:rPr>
        <w:t xml:space="preserve">           '&lt;AppHdr&gt;...&lt;/AppHdr&gt;' ||</w:t>
      </w:r>
      <w:r>
        <w:br/>
      </w:r>
      <w:r>
        <w:rPr>
          <w:rStyle w:val="VerbatimChar"/>
        </w:rPr>
        <w:t xml:space="preserve">           '&lt;Document xmlns="urn:iso:std:iso:20022:tech:xsd:pacs.008.001.08"&gt;' ||</w:t>
      </w:r>
      <w:r>
        <w:br/>
      </w:r>
      <w:r>
        <w:rPr>
          <w:rStyle w:val="VerbatimChar"/>
        </w:rPr>
        <w:t xml:space="preserve">           '&lt;FIToFICstmrCdtTrf&gt;&lt;GrpHdr&gt;' ||</w:t>
      </w:r>
      <w:r>
        <w:br/>
      </w:r>
      <w:r>
        <w:rPr>
          <w:rStyle w:val="VerbatimChar"/>
        </w:rPr>
        <w:t xml:space="preserve">           '&lt;MsgId&gt;' || generate_msg_id() || '&lt;/MsgId&gt;' ||</w:t>
      </w:r>
      <w:r>
        <w:br/>
      </w:r>
      <w:r>
        <w:rPr>
          <w:rStyle w:val="VerbatimChar"/>
        </w:rPr>
        <w:t xml:space="preserve">           '&lt;CreDtTm&gt;' || TO_CHAR(SYSDATE, 'YYYY-MM-DD"T"HH24:MI:SS') || '&lt;/CreDtTm&gt;' ||</w:t>
      </w:r>
      <w:r>
        <w:br/>
      </w:r>
      <w:r>
        <w:rPr>
          <w:rStyle w:val="VerbatimChar"/>
        </w:rPr>
        <w:t xml:space="preserve">           '&lt;NbOfTxs&gt;1&lt;/NbOfTxs&gt;' ||</w:t>
      </w:r>
      <w:r>
        <w:br/>
      </w:r>
      <w:r>
        <w:rPr>
          <w:rStyle w:val="VerbatimChar"/>
        </w:rPr>
        <w:t xml:space="preserve">           '&lt;SttlmInf&gt;&lt;SttlmMtd&gt;CLRG&lt;/SttlmMtd&gt;&lt;ClrSys&gt;&lt;Cd&gt;RTGS&lt;/Cd&gt;&lt;/ClrSys&gt;&lt;/SttlmInf&gt;' ||</w:t>
      </w:r>
      <w:r>
        <w:br/>
      </w:r>
      <w:r>
        <w:rPr>
          <w:rStyle w:val="VerbatimChar"/>
        </w:rPr>
        <w:t xml:space="preserve">           '&lt;/GrpHdr&gt;' ||</w:t>
      </w:r>
      <w:r>
        <w:br/>
      </w:r>
      <w:r>
        <w:rPr>
          <w:rStyle w:val="VerbatimChar"/>
        </w:rPr>
        <w:t xml:space="preserve">           '&lt;CdtTrfTxInf&gt;&lt;PmtId&gt;&lt;InstrId&gt;' || ... || '&lt;/InstrId&gt;&lt;TxId&gt;' || ... || '&lt;/TxId&gt;&lt;/PmtId&gt;' ||</w:t>
      </w:r>
      <w:r>
        <w:br/>
      </w:r>
      <w:r>
        <w:rPr>
          <w:rStyle w:val="VerbatimChar"/>
        </w:rPr>
        <w:t xml:space="preserve">           '&lt;IntrBkSttlmAmt Ccy="' || p_currency || '"&gt;' || TO_CHAR(p_amount, '999999.99') || '&lt;/IntrBkSttlmAmt&gt;' ||</w:t>
      </w:r>
      <w:r>
        <w:br/>
      </w:r>
      <w:r>
        <w:rPr>
          <w:rStyle w:val="VerbatimChar"/>
        </w:rPr>
        <w:t xml:space="preserve">           '&lt;InstgAgt&gt;&lt;FinInstnId&gt;&lt;BICFI&gt;' || p_debtor_bic || '&lt;/BICFI&gt;&lt;/FinInstnId&gt;&lt;/InstgAgt&gt;' ||</w:t>
      </w:r>
      <w:r>
        <w:br/>
      </w:r>
      <w:r>
        <w:rPr>
          <w:rStyle w:val="VerbatimChar"/>
        </w:rPr>
        <w:t xml:space="preserve">           '&lt;InstdAgt&gt;&lt;FinInstnId&gt;&lt;BICFI&gt;' || p_creditor_bic || '&lt;/BICFI&gt;&lt;/FinInstnId&gt;&lt;/InstdAgt&gt;' ||</w:t>
      </w:r>
      <w:r>
        <w:br/>
      </w:r>
      <w:r>
        <w:rPr>
          <w:rStyle w:val="VerbatimChar"/>
        </w:rPr>
        <w:t xml:space="preserve">           '&lt;Dbtr&gt;&lt;Nm&gt;' || p_debtor_name || '&lt;/Nm&gt;' || ... || '&lt;/Dbtr&gt;' ||</w:t>
      </w:r>
      <w:r>
        <w:br/>
      </w:r>
      <w:r>
        <w:rPr>
          <w:rStyle w:val="VerbatimChar"/>
        </w:rPr>
        <w:t xml:space="preserve">           '&lt;DbtrAcct&gt;&lt;Id&gt;&lt;IBAN&gt;' || p_debtor_iban || '&lt;/IBAN&gt;&lt;/Id&gt;&lt;/DbtrAcct&gt;' ||</w:t>
      </w:r>
      <w:r>
        <w:br/>
      </w:r>
      <w:r>
        <w:rPr>
          <w:rStyle w:val="VerbatimChar"/>
        </w:rPr>
        <w:t xml:space="preserve">           '&lt;Cdtr&gt;&lt;Nm&gt;' || p_creditor_name || '&lt;/Nm&gt;' || ... || '&lt;/Cdtr&gt;' ||</w:t>
      </w:r>
      <w:r>
        <w:br/>
      </w:r>
      <w:r>
        <w:rPr>
          <w:rStyle w:val="VerbatimChar"/>
        </w:rPr>
        <w:t xml:space="preserve">           '&lt;CdtrAcct&gt;&lt;Id&gt;&lt;IBAN&gt;' || p_creditor_iban || '&lt;/IBAN&gt;&lt;/Id&gt;&lt;/CdtrAcct&gt;' ||</w:t>
      </w:r>
      <w:r>
        <w:br/>
      </w:r>
      <w:r>
        <w:rPr>
          <w:rStyle w:val="VerbatimChar"/>
        </w:rPr>
        <w:t xml:space="preserve">           '&lt;/CdtTrfTxInf&gt;&lt;/FIToFICstmrCdtTrf&gt;&lt;/Document&gt;&lt;/Message&gt;';</w:t>
      </w:r>
      <w:r>
        <w:br/>
      </w:r>
      <w:r>
        <w:rPr>
          <w:rStyle w:val="VerbatimChar"/>
        </w:rPr>
        <w:t xml:space="preserve">  RETURN v_xml;</w:t>
      </w:r>
      <w:r>
        <w:br/>
      </w:r>
      <w:r>
        <w:rPr>
          <w:rStyle w:val="VerbatimChar"/>
        </w:rPr>
        <w:t xml:space="preserve">END;</w:t>
      </w:r>
    </w:p>
    <w:p>
      <w:pPr>
        <w:numPr>
          <w:ilvl w:val="0"/>
          <w:numId w:val="1000"/>
        </w:numPr>
      </w:pPr>
      <w:r>
        <w:t xml:space="preserve">(with</w:t>
      </w:r>
      <w:r>
        <w:t xml:space="preserve"> </w:t>
      </w:r>
      <w:r>
        <w:rPr>
          <w:rStyle w:val="VerbatimChar"/>
        </w:rPr>
        <w:t xml:space="preserve">...</w:t>
      </w:r>
      <w:r>
        <w:t xml:space="preserve"> </w:t>
      </w:r>
      <w:r>
        <w:t xml:space="preserve">indicating parts the AI fills in or assumes other helper functions like</w:t>
      </w:r>
      <w:r>
        <w:t xml:space="preserve"> </w:t>
      </w:r>
      <w:r>
        <w:rPr>
          <w:rStyle w:val="VerbatimChar"/>
        </w:rPr>
        <w:t xml:space="preserve">generate_msg_id()</w:t>
      </w:r>
      <w:r>
        <w:t xml:space="preserve">). It will comment the code to explain each section. This gives developers a starting point for their actual implementation. The assistant, having been primed with the field-by-field requirements, will naturally include important tags (like SttlmInf, PmtId, etc.) even if the developer omitted them in the prompt.</w:t>
      </w:r>
    </w:p>
    <w:p>
      <w:pPr>
        <w:pStyle w:val="FirstParagraph"/>
      </w:pPr>
      <w:r>
        <w:t xml:space="preserve">These examples illustrate how the</w:t>
      </w:r>
      <w:r>
        <w:t xml:space="preserve"> </w:t>
      </w:r>
      <w:r>
        <w:rPr>
          <w:b/>
          <w:bCs/>
        </w:rPr>
        <w:t xml:space="preserve">master prompt content guides the AI</w:t>
      </w:r>
      <w:r>
        <w:t xml:space="preserve"> </w:t>
      </w:r>
      <w:r>
        <w:t xml:space="preserve">to produce accurate, context-aware outputs. Developers should phrase their requests with relevant details (amounts, BICs, names, etc.) and the AI will leverage the embedded knowledge to fill in the rest. The result is a smarter coding assistant that understands ISO 20022 message composition and the Oracle environment.</w:t>
      </w:r>
    </w:p>
    <w:bookmarkEnd w:id="60"/>
    <w:bookmarkStart w:id="61" w:name="how-to-use-this-prompt-guide"/>
    <w:p>
      <w:pPr>
        <w:pStyle w:val="Heading2"/>
      </w:pPr>
      <w:r>
        <w:t xml:space="preserve">How to Use This Prompt Guide</w:t>
      </w:r>
    </w:p>
    <w:p>
      <w:pPr>
        <w:numPr>
          <w:ilvl w:val="0"/>
          <w:numId w:val="1010"/>
        </w:numPr>
      </w:pPr>
      <w:r>
        <w:rPr>
          <w:b/>
          <w:bCs/>
        </w:rPr>
        <w:t xml:space="preserve">Copy the Master Prompt:</w:t>
      </w:r>
      <w:r>
        <w:t xml:space="preserve"> </w:t>
      </w:r>
      <w:r>
        <w:t xml:space="preserve">Take the consolidated prompt (this document’s core content) and paste it into your VS Code AI assistant or Copilot Chat as an initial system or user message. This primes the AI with the domain knowledge. You might start with a statement like:</w:t>
      </w:r>
      <w:r>
        <w:t xml:space="preserve"> </w:t>
      </w:r>
      <w:r>
        <w:rPr>
          <w:i/>
          <w:iCs/>
        </w:rPr>
        <w:t xml:space="preserve">“You are an expert in Oracle PL/SQL and ISO20022 (Georgian RTGS). The following is reference information to help you generate code… [then paste the structured info].”</w:t>
      </w:r>
      <w:r>
        <w:t xml:space="preserve"> </w:t>
      </w:r>
      <w:r>
        <w:t xml:space="preserve">Ensure the prompt includes the key points above (message mappings, field requirements, code guidelines).</w:t>
      </w:r>
    </w:p>
    <w:p>
      <w:pPr>
        <w:numPr>
          <w:ilvl w:val="0"/>
          <w:numId w:val="1010"/>
        </w:numPr>
      </w:pPr>
      <w:r>
        <w:rPr>
          <w:b/>
          <w:bCs/>
        </w:rPr>
        <w:t xml:space="preserve">Ask Specific Tasks:</w:t>
      </w:r>
      <w:r>
        <w:t xml:space="preserve"> </w:t>
      </w:r>
      <w:r>
        <w:t xml:space="preserve">With the AI now informed, ask it targeted questions or requests. Use clear language mentioning the message type and what you want (generate or parse, etc.). For example:</w:t>
      </w:r>
      <w:r>
        <w:t xml:space="preserve"> </w:t>
      </w:r>
      <w:r>
        <w:rPr>
          <w:i/>
          <w:iCs/>
        </w:rPr>
        <w:t xml:space="preserve">“Generate the PL/SQL code to create a pacs.009 message for transferring 1,000 GEL from our bank to NBG.”</w:t>
      </w:r>
      <w:r>
        <w:t xml:space="preserve"> </w:t>
      </w:r>
      <w:r>
        <w:t xml:space="preserve">The more specifics you provide (like BICs, names, etc.), the more precise the output. If you only ask generally, the AI will use placeholders or examples.</w:t>
      </w:r>
    </w:p>
    <w:p>
      <w:pPr>
        <w:numPr>
          <w:ilvl w:val="0"/>
          <w:numId w:val="1010"/>
        </w:numPr>
      </w:pPr>
      <w:r>
        <w:rPr>
          <w:b/>
          <w:bCs/>
        </w:rPr>
        <w:t xml:space="preserve">Review and Refine:</w:t>
      </w:r>
      <w:r>
        <w:t xml:space="preserve"> </w:t>
      </w:r>
      <w:r>
        <w:t xml:space="preserve">Always review the AI’s output. Because the prompt includes exacting standards, the response should be largely correct. Verify that all required XML elements are present and properly ordered. You can cross-check with the official schema or the NBG Annex documentation (the assistant’s output should align with those, as it was trained with that info). Test the XML by parsing it or running it in a dev environment. If something looks off, you can ask follow-up questions or corrections (e.g., “Make sure to include the &lt;ChrgBr&gt; element” or “Fix the namespace declaration”).</w:t>
      </w:r>
    </w:p>
    <w:p>
      <w:pPr>
        <w:numPr>
          <w:ilvl w:val="0"/>
          <w:numId w:val="1010"/>
        </w:numPr>
      </w:pPr>
      <w:r>
        <w:rPr>
          <w:b/>
          <w:bCs/>
        </w:rPr>
        <w:t xml:space="preserve">Reuse the Knowledge:</w:t>
      </w:r>
      <w:r>
        <w:t xml:space="preserve"> </w:t>
      </w:r>
      <w:r>
        <w:t xml:space="preserve">This prompt setup can be saved and reused by the team. It effectively becomes an</w:t>
      </w:r>
      <w:r>
        <w:t xml:space="preserve"> </w:t>
      </w:r>
      <w:r>
        <w:rPr>
          <w:b/>
          <w:bCs/>
        </w:rPr>
        <w:t xml:space="preserve">AI helper guide</w:t>
      </w:r>
      <w:r>
        <w:t xml:space="preserve">. Whenever a developer needs to work on ISO 20022 messages, they can load this context to the AI, then interact. Over time, you might extend the prompt with additional local conventions or feedback from testing (for instance, if NBG updates a rule, you can add that to the prompt content).</w:t>
      </w:r>
    </w:p>
    <w:p>
      <w:pPr>
        <w:pStyle w:val="FirstParagraph"/>
      </w:pPr>
      <w:r>
        <w:t xml:space="preserve">By following this strategy, Oracle developers upgrading the RTGS system will have a powerful assistant capable of generating XML message templates, converting PL/SQL logic from MT to MX, and answering questions about message structures. This reduces the learning curve for ISO 20022 and helps ensure compliance with both SWIFT and NBG formats. The prompt is designed to be comprehensive yet adaptable, covering common messages and patterns so it can handle queries like “generate pacs.008”, “parse camt.056”, or “how to implement pacs.009 in our procedure” with ease and accuracy.</w:t>
      </w:r>
    </w:p>
    <w:bookmarkEnd w:id="61"/>
    <w:bookmarkEnd w:id="62"/>
    <w:bookmarkEnd w:id="63"/>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r>
        <w:t xml:space="preserve">GE_ATS_Upgrade_D001_Annex_F_RTGS_Message_Format_v.1.01_Participants.pdf</w:t>
      </w:r>
    </w:p>
    <w:p>
      <w:pPr>
        <w:pStyle w:val="BodyText"/>
      </w:pPr>
      <w:hyperlink r:id="rId64">
        <w:r>
          <w:rPr>
            <w:rStyle w:val="Hyperlink"/>
          </w:rPr>
          <w:t xml:space="preserve">file://file_00000000831471f5b7a87251b6a71c84</w:t>
        </w:r>
      </w:hyperlink>
    </w:p>
    <w:p>
      <w:pPr>
        <w:pStyle w:val="BodyText"/>
      </w:pPr>
      <w:hyperlink r:id="rId23">
        <w:r>
          <w:rPr>
            <w:rStyle w:val="Hyperlink"/>
          </w:rPr>
          <w:t xml:space="preserve">[3]</w:t>
        </w:r>
      </w:hyperlink>
      <w:r>
        <w:t xml:space="preserve"> </w:t>
      </w:r>
      <w:r>
        <w:t xml:space="preserve">[PDF] A DEEP DIVE ON - CAMT.056 &amp; AMT.029 - BNY</w:t>
      </w:r>
    </w:p>
    <w:p>
      <w:pPr>
        <w:pStyle w:val="BodyText"/>
      </w:pPr>
      <w:hyperlink r:id="rId65">
        <w:r>
          <w:rPr>
            <w:rStyle w:val="Hyperlink"/>
          </w:rPr>
          <w:t xml:space="preserve">https://www.bny.com/assets/corporate/documents/pdf/iso-20022/learning-guide-module-7.pdf</w:t>
        </w:r>
      </w:hyperlink>
    </w:p>
    <w:p>
      <w:pPr>
        <w:pStyle w:val="BodyText"/>
      </w:pPr>
      <w:hyperlink r:id="rId24">
        <w:r>
          <w:rPr>
            <w:rStyle w:val="Hyperlink"/>
          </w:rPr>
          <w:t xml:space="preserve">[4]</w:t>
        </w:r>
      </w:hyperlink>
      <w:r>
        <w:t xml:space="preserve"> </w:t>
      </w:r>
      <w:r>
        <w:t xml:space="preserve">camt.056 ISO 20022 Message: FI To FI Payment Cancellation Request</w:t>
      </w:r>
    </w:p>
    <w:p>
      <w:pPr>
        <w:pStyle w:val="BodyText"/>
      </w:pPr>
      <w:hyperlink r:id="rId66">
        <w:r>
          <w:rPr>
            <w:rStyle w:val="Hyperlink"/>
          </w:rPr>
          <w:t xml:space="preserve">https://www.cpg.de/en/glossary/camt-056-iso-20022-message/</w:t>
        </w:r>
      </w:hyperlink>
    </w:p>
    <w:p>
      <w:pPr>
        <w:pStyle w:val="BodyText"/>
      </w:pPr>
      <w:hyperlink r:id="rId31">
        <w:r>
          <w:rPr>
            <w:rStyle w:val="Hyperlink"/>
          </w:rPr>
          <w:t xml:space="preserve">[9]</w:t>
        </w:r>
      </w:hyperlink>
      <w:r>
        <w:t xml:space="preserve"> </w:t>
      </w:r>
      <w:r>
        <w:t xml:space="preserve">GE_ATS_Upgrade_D001_Annex_G_ACH_Message_Format_v.1.00_Participants.pdf</w:t>
      </w:r>
    </w:p>
    <w:p>
      <w:pPr>
        <w:pStyle w:val="BodyText"/>
      </w:pPr>
      <w:hyperlink r:id="rId67">
        <w:r>
          <w:rPr>
            <w:rStyle w:val="Hyperlink"/>
          </w:rPr>
          <w:t xml:space="preserve">file://file_00000000718871f792c945973bfe4153</w:t>
        </w:r>
      </w:hyperlink>
    </w:p>
    <w:p>
      <w:pPr>
        <w:pStyle w:val="BodyText"/>
      </w:pPr>
      <w:hyperlink r:id="rId48">
        <w:r>
          <w:rPr>
            <w:rStyle w:val="Hyperlink"/>
          </w:rPr>
          <w:t xml:space="preserve">[25]</w:t>
        </w:r>
      </w:hyperlink>
      <w:r>
        <w:t xml:space="preserve"> </w:t>
      </w:r>
      <w:hyperlink r:id="rId49">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7">
        <w:r>
          <w:rPr>
            <w:rStyle w:val="Hyperlink"/>
          </w:rPr>
          <w:t xml:space="preserve">[31]</w:t>
        </w:r>
      </w:hyperlink>
      <w:r>
        <w:t xml:space="preserve"> </w:t>
      </w:r>
      <w:r>
        <w:t xml:space="preserve">GE_IPS_Inception_Report_Annex_D_IPS-Participant_Interface_v.1.00.pdf</w:t>
      </w:r>
    </w:p>
    <w:p>
      <w:pPr>
        <w:pStyle w:val="BodyText"/>
      </w:pPr>
      <w:hyperlink r:id="rId68">
        <w:r>
          <w:rPr>
            <w:rStyle w:val="Hyperlink"/>
          </w:rPr>
          <w:t xml:space="preserve">file://file_00000000f58471f5acc87a33f595df1a</w:t>
        </w:r>
      </w:hyperlink>
    </w:p>
    <w:p>
      <w:pPr>
        <w:pStyle w:val="BodyText"/>
      </w:pPr>
      <w:hyperlink r:id="rId55">
        <w:r>
          <w:rPr>
            <w:rStyle w:val="Hyperlink"/>
          </w:rPr>
          <w:t xml:space="preserve">[29]</w:t>
        </w:r>
      </w:hyperlink>
      <w:r>
        <w:t xml:space="preserve"> </w:t>
      </w:r>
      <w:hyperlink r:id="rId56">
        <w:r>
          <w:rPr>
            <w:rStyle w:val="Hyperlink"/>
          </w:rPr>
          <w:t xml:space="preserve">[30]</w:t>
        </w:r>
      </w:hyperlink>
      <w:r>
        <w:t xml:space="preserve"> </w:t>
      </w:r>
      <w:hyperlink r:id="rId58">
        <w:r>
          <w:rPr>
            <w:rStyle w:val="Hyperlink"/>
          </w:rPr>
          <w:t xml:space="preserve">[32]</w:t>
        </w:r>
      </w:hyperlink>
      <w:r>
        <w:t xml:space="preserve"> </w:t>
      </w:r>
      <w:r>
        <w:t xml:space="preserve">GE_ATS_Upgrade_D001_Annex_E_Participant_Connectivity_v.1.00_Participants.pdf</w:t>
      </w:r>
    </w:p>
    <w:p>
      <w:pPr>
        <w:pStyle w:val="BodyText"/>
      </w:pPr>
      <w:hyperlink r:id="rId69">
        <w:r>
          <w:rPr>
            <w:rStyle w:val="Hyperlink"/>
          </w:rPr>
          <w:t xml:space="preserve">file://file_000000001c2871f580af3289ebb14493</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file://file_000000001c2871f580af3289ebb14493" TargetMode="External" /><Relationship Type="http://schemas.openxmlformats.org/officeDocument/2006/relationships/hyperlink" Id="rId58" Target="file://file_000000001c2871f580af3289ebb14493#:~:text=DESTINATION%20String%20The%20routing%20destination,participant%20to%20ATS%20it%20should" TargetMode="External" /><Relationship Type="http://schemas.openxmlformats.org/officeDocument/2006/relationships/hyperlink" Id="rId56" Target="file://file_000000001c2871f580af3289ebb14493#:~:text=SEPA%20%E2%80%93%20ACH%20business%20message,NAK%20%E2%80%93%20delivery%20negative%20confirmation" TargetMode="External" /><Relationship Type="http://schemas.openxmlformats.org/officeDocument/2006/relationships/hyperlink" Id="rId55" Target="file://file_000000001c2871f580af3289ebb14493#:~:text=ZIPPED%20Boolean%20When%20the%20message,the%20bank%20needs%20to%20be" TargetMode="External" /><Relationship Type="http://schemas.openxmlformats.org/officeDocument/2006/relationships/hyperlink" Id="rId67" Target="file://file_00000000718871f792c945973bfe4153" TargetMode="External" /><Relationship Type="http://schemas.openxmlformats.org/officeDocument/2006/relationships/hyperlink" Id="rId31" Target="file://file_00000000718871f792c945973bfe4153#:~:text=14,UltmtDbtr%3E%20%5B0..1" TargetMode="External" /><Relationship Type="http://schemas.openxmlformats.org/officeDocument/2006/relationships/hyperlink" Id="rId64" Target="file://file_00000000831471f5b7a87251b6a71c84" TargetMode="External" /><Relationship Type="http://schemas.openxmlformats.org/officeDocument/2006/relationships/hyperlink" Id="rId44" Target="file://file_00000000831471f5b7a87251b6a71c84#:~:text=%28Single%20Customer%20Credit%20Transfer%29%20pacs,Financial%20Institution%20Credit%20and%20Participant" TargetMode="External" /><Relationship Type="http://schemas.openxmlformats.org/officeDocument/2006/relationships/hyperlink" Id="rId22" Target="file://file_00000000831471f5b7a87251b6a71c84#:~:text=%28Single%20Customer%20Credit%20Transfer%29%20pacs,of%20Georgia%20%E2%80%93%20used%20for" TargetMode="External" /><Relationship Type="http://schemas.openxmlformats.org/officeDocument/2006/relationships/hyperlink" Id="rId46" Target="file://file_00000000831471f5b7a87251b6a71c84#:~:text=%2FDocument%2FFICdtTrf%2FCdtTrfTxInf%2FCdtr%2FFinInstnId%2FBI%20CFI%20Creditor%E2%80%99s%20SWIFT%20BIC,%2FDocument%2FFICdtTrf%2FCdtTrfTxInf%2FCdtrAcct%2FId%2FOthr" TargetMode="External" /><Relationship Type="http://schemas.openxmlformats.org/officeDocument/2006/relationships/hyperlink" Id="rId45" Target="file://file_00000000831471f5b7a87251b6a71c84#:~:text=%2FDocument%2FFICdtTrf%2FCdtTrfTxInf%2FDbtr%2FFinInstnId%2FB%20ICFI%20Debtor%E2%80%99s%20SWIFT%20BIC,%2FDocument%2FFICdtTrf%2FCdtTrfTxInf%2FDbtrAcct%2FId%2FOthr" TargetMode="External" /><Relationship Type="http://schemas.openxmlformats.org/officeDocument/2006/relationships/hyperlink" Id="rId40" Target="file://file_00000000831471f5b7a87251b6a71c84#:~:text=%2FDocument%2FFIToFICstmrCdtTrf%2FCdtTrfTxInf%2FCdtr%2FNm%20Beneficiary%20Customer%20Name,which%20is%20usually%20used%20to" TargetMode="External" /><Relationship Type="http://schemas.openxmlformats.org/officeDocument/2006/relationships/hyperlink" Id="rId41" Target="file://file_00000000831471f5b7a87251b6a71c84#:~:text=%2FDocument%2FFIToFICstmrCdtTrf%2FCdtTrfTxInf%2FCdtrAcct%20%2FId%2FIBAN%20Beneficiary%20customer%20account,number" TargetMode="External" /><Relationship Type="http://schemas.openxmlformats.org/officeDocument/2006/relationships/hyperlink" Id="rId37" Target="file://file_00000000831471f5b7a87251b6a71c84#:~:text=%2FDocument%2FFIToFICstmrCdtTrf%2FCdtTrfTxInf%2FDbtr%2FId%2FPrvId%2F%20Othr%2FId%20Taxpayer%20TIN%20or,Unique" TargetMode="External" /><Relationship Type="http://schemas.openxmlformats.org/officeDocument/2006/relationships/hyperlink" Id="rId36" Target="file://file_00000000831471f5b7a87251b6a71c84#:~:text=%2FDocument%2FFIToFICstmrCdtTrf%2FCdtTrfTxInf%2FDbtr%2FNm%20Ordering%20customer%20name%20or,is%20known%2C%20and%20which%20is" TargetMode="External" /><Relationship Type="http://schemas.openxmlformats.org/officeDocument/2006/relationships/hyperlink" Id="rId39" Target="file://file_00000000831471f5b7a87251b6a71c84#:~:text=%2FDocument%2FFIToFICstmrCdtTrf%2FCdtTrfTxInf%2FDbtrAcct%20%2FId%2FOthr%2FId%20In%20case%20the,Agent%20Account%20tag%20is%20not" TargetMode="External" /><Relationship Type="http://schemas.openxmlformats.org/officeDocument/2006/relationships/hyperlink" Id="rId34" Target="file://file_00000000831471f5b7a87251b6a71c84#:~:text=%2FDocument%2FFIToFICstmrCdtTrf%2FCdtTrfTxInf%2FInstgAgt%20%2FFinInstnId%2FBICFI%20The%20debited%20Participant%E2%80%99s,%2FDocument%2FFIToFICstmrCdtTrf%2FCdtTrfTxInf%2FInstdAgt%20%2FFinInstnId%2FBICFI" TargetMode="External" /><Relationship Type="http://schemas.openxmlformats.org/officeDocument/2006/relationships/hyperlink" Id="rId33" Target="file://file_00000000831471f5b7a87251b6a71c84#:~:text=%2FDocument%2FFIToFICstmrCdtTrf%2FCdtTrfTxInf%2FIntrBkSttlmDt%20The%20business%20date%20of,for%20DEFERRED%20transactions" TargetMode="External" /><Relationship Type="http://schemas.openxmlformats.org/officeDocument/2006/relationships/hyperlink" Id="rId42" Target="file://file_00000000831471f5b7a87251b6a71c84#:~:text=%2FDocument%2FFIToFICstmrCdtTrf%2FCdtTrfTxInf%2FUltmtDbtr%20%2FNm%20Third%20Party%20Taxpayer,%2FDocument%2FFIToFICstmrCdtTrf%2FCdtTrfTxInf%2FUltmtDbtr" TargetMode="External" /><Relationship Type="http://schemas.openxmlformats.org/officeDocument/2006/relationships/hyperlink" Id="rId25" Target="file://file_00000000831471f5b7a87251b6a71c84#:~:text=MESSAGE%20USAGE%20head,Transfer%20System%20Upgrade%20Delivery%20Project" TargetMode="External" /><Relationship Type="http://schemas.openxmlformats.org/officeDocument/2006/relationships/hyperlink" Id="rId35" Target="file://file_00000000831471f5b7a87251b6a71c84#:~:text=RTGS,Document%2FFIToFICstmrCdtTrf%2FCdtTrfTxInf%2FUltmtDbtr%20%2FNm%20Third%20Party%20Taxpayer" TargetMode="External" /><Relationship Type="http://schemas.openxmlformats.org/officeDocument/2006/relationships/hyperlink" Id="rId29" Target="file://file_00000000831471f5b7a87251b6a71c84#:~:text=The%20following%20table%20contains%20only,indicates%20SCT%20%2FRTGS%20payments" TargetMode="External" /><Relationship Type="http://schemas.openxmlformats.org/officeDocument/2006/relationships/hyperlink" Id="rId28" Target="file://file_00000000831471f5b7a87251b6a71c84#:~:text=Transfer%203,008%20Element%20XML%20Description" TargetMode="External" /><Relationship Type="http://schemas.openxmlformats.org/officeDocument/2006/relationships/hyperlink" Id="rId32" Target="file://file_00000000831471f5b7a87251b6a71c84#:~:text=following%20format%3A%20%3CIntrBkSttlmAmt%20Ccy%3D,Document%2FFIToFICstmrCdtTrf%2FCdtTrfTxInf%2FSttlmTmReq%20%2FFrTm%20From%20Time%20specifies" TargetMode="External" /><Relationship Type="http://schemas.openxmlformats.org/officeDocument/2006/relationships/hyperlink" Id="rId38" Target="file://file_00000000831471f5b7a87251b6a71c84#:~:text=match%20at%20L809%20%2FDocument%2FFIToFICstmrCdtTrf%2FCdtTrfTxInf%2FDbtrAcct%2FId%2FIB%20AN,Ordering%20customer%20account%20number" TargetMode="External" /><Relationship Type="http://schemas.openxmlformats.org/officeDocument/2006/relationships/hyperlink" Id="rId21" Target="file://file_00000000831471f5b7a87251b6a71c84#:~:text=pacs,and%20creditor%20are%20financial%20institutions" TargetMode="External" /><Relationship Type="http://schemas.openxmlformats.org/officeDocument/2006/relationships/hyperlink" Id="rId30" Target="file://file_00000000831471f5b7a87251b6a71c84#:~:text=transaction%20to%20be%20created,and%20the%20amount%20of%20the" TargetMode="External" /><Relationship Type="http://schemas.openxmlformats.org/officeDocument/2006/relationships/hyperlink" Id="rId68" Target="file://file_00000000f58471f5acc87a33f595df1a" TargetMode="External" /><Relationship Type="http://schemas.openxmlformats.org/officeDocument/2006/relationships/hyperlink" Id="rId51" Target="file://file_00000000f58471f5acc87a33f595df1a#:~:text=GE_IPS_Inception_Report_Annex_D_IPS,002%20payment" TargetMode="External" /><Relationship Type="http://schemas.openxmlformats.org/officeDocument/2006/relationships/hyperlink" Id="rId48" Target="file://file_00000000f58471f5acc87a33f595df1a#:~:text=GE_IPS_Inception_Report_Annex_D_IPS,This%20must" TargetMode="External" /><Relationship Type="http://schemas.openxmlformats.org/officeDocument/2006/relationships/hyperlink" Id="rId52" Target="file://file_00000000f58471f5acc87a33f595df1a#:~:text=b,tracked%20by%20the%20IPS%20system" TargetMode="External" /><Relationship Type="http://schemas.openxmlformats.org/officeDocument/2006/relationships/hyperlink" Id="rId49" Target="file://file_00000000f58471f5acc87a33f595df1a#:~:text=i,Also%20the%20item" TargetMode="External" /><Relationship Type="http://schemas.openxmlformats.org/officeDocument/2006/relationships/hyperlink" Id="rId57" Target="file://file_00000000f58471f5acc87a33f595df1a#:~:text=identify%20an%20ACTIVE%20Participant,00%20Page%2039%20of%20174" TargetMode="External" /><Relationship Type="http://schemas.openxmlformats.org/officeDocument/2006/relationships/hyperlink" Id="rId65" Target="https://www.bny.com/assets/corporate/documents/pdf/iso-20022/learning-guide-module-7.pdf" TargetMode="External" /><Relationship Type="http://schemas.openxmlformats.org/officeDocument/2006/relationships/hyperlink" Id="rId23" Target="https://www.bny.com/assets/corporate/documents/pdf/iso-20022/learning-guide-module-7.pdf#:~:text=The%20camt,an%20Instructed%20Agent%20to" TargetMode="External" /><Relationship Type="http://schemas.openxmlformats.org/officeDocument/2006/relationships/hyperlink" Id="rId66" Target="https://www.cpg.de/en/glossary/camt-056-iso-20022-message/" TargetMode="External" /><Relationship Type="http://schemas.openxmlformats.org/officeDocument/2006/relationships/hyperlink" Id="rId24" Target="https://www.cpg.de/en/glossary/camt-056-iso-20022-message/#:~:text=Request%20www,the%20recall%20%E2%80%93%20a" TargetMode="External" /></Relationships>
</file>

<file path=word/_rels/footnotes.xml.rels><?xml version="1.0" encoding="UTF-8"?><Relationships xmlns="http://schemas.openxmlformats.org/package/2006/relationships"><Relationship Type="http://schemas.openxmlformats.org/officeDocument/2006/relationships/hyperlink" Id="rId69" Target="file://file_000000001c2871f580af3289ebb14493" TargetMode="External" /><Relationship Type="http://schemas.openxmlformats.org/officeDocument/2006/relationships/hyperlink" Id="rId58" Target="file://file_000000001c2871f580af3289ebb14493#:~:text=DESTINATION%20String%20The%20routing%20destination,participant%20to%20ATS%20it%20should" TargetMode="External" /><Relationship Type="http://schemas.openxmlformats.org/officeDocument/2006/relationships/hyperlink" Id="rId56" Target="file://file_000000001c2871f580af3289ebb14493#:~:text=SEPA%20%E2%80%93%20ACH%20business%20message,NAK%20%E2%80%93%20delivery%20negative%20confirmation" TargetMode="External" /><Relationship Type="http://schemas.openxmlformats.org/officeDocument/2006/relationships/hyperlink" Id="rId55" Target="file://file_000000001c2871f580af3289ebb14493#:~:text=ZIPPED%20Boolean%20When%20the%20message,the%20bank%20needs%20to%20be" TargetMode="External" /><Relationship Type="http://schemas.openxmlformats.org/officeDocument/2006/relationships/hyperlink" Id="rId67" Target="file://file_00000000718871f792c945973bfe4153" TargetMode="External" /><Relationship Type="http://schemas.openxmlformats.org/officeDocument/2006/relationships/hyperlink" Id="rId31" Target="file://file_00000000718871f792c945973bfe4153#:~:text=14,UltmtDbtr%3E%20%5B0..1" TargetMode="External" /><Relationship Type="http://schemas.openxmlformats.org/officeDocument/2006/relationships/hyperlink" Id="rId64" Target="file://file_00000000831471f5b7a87251b6a71c84" TargetMode="External" /><Relationship Type="http://schemas.openxmlformats.org/officeDocument/2006/relationships/hyperlink" Id="rId44" Target="file://file_00000000831471f5b7a87251b6a71c84#:~:text=%28Single%20Customer%20Credit%20Transfer%29%20pacs,Financial%20Institution%20Credit%20and%20Participant" TargetMode="External" /><Relationship Type="http://schemas.openxmlformats.org/officeDocument/2006/relationships/hyperlink" Id="rId22" Target="file://file_00000000831471f5b7a87251b6a71c84#:~:text=%28Single%20Customer%20Credit%20Transfer%29%20pacs,of%20Georgia%20%E2%80%93%20used%20for" TargetMode="External" /><Relationship Type="http://schemas.openxmlformats.org/officeDocument/2006/relationships/hyperlink" Id="rId46" Target="file://file_00000000831471f5b7a87251b6a71c84#:~:text=%2FDocument%2FFICdtTrf%2FCdtTrfTxInf%2FCdtr%2FFinInstnId%2FBI%20CFI%20Creditor%E2%80%99s%20SWIFT%20BIC,%2FDocument%2FFICdtTrf%2FCdtTrfTxInf%2FCdtrAcct%2FId%2FOthr" TargetMode="External" /><Relationship Type="http://schemas.openxmlformats.org/officeDocument/2006/relationships/hyperlink" Id="rId45" Target="file://file_00000000831471f5b7a87251b6a71c84#:~:text=%2FDocument%2FFICdtTrf%2FCdtTrfTxInf%2FDbtr%2FFinInstnId%2FB%20ICFI%20Debtor%E2%80%99s%20SWIFT%20BIC,%2FDocument%2FFICdtTrf%2FCdtTrfTxInf%2FDbtrAcct%2FId%2FOthr" TargetMode="External" /><Relationship Type="http://schemas.openxmlformats.org/officeDocument/2006/relationships/hyperlink" Id="rId40" Target="file://file_00000000831471f5b7a87251b6a71c84#:~:text=%2FDocument%2FFIToFICstmrCdtTrf%2FCdtTrfTxInf%2FCdtr%2FNm%20Beneficiary%20Customer%20Name,which%20is%20usually%20used%20to" TargetMode="External" /><Relationship Type="http://schemas.openxmlformats.org/officeDocument/2006/relationships/hyperlink" Id="rId41" Target="file://file_00000000831471f5b7a87251b6a71c84#:~:text=%2FDocument%2FFIToFICstmrCdtTrf%2FCdtTrfTxInf%2FCdtrAcct%20%2FId%2FIBAN%20Beneficiary%20customer%20account,number" TargetMode="External" /><Relationship Type="http://schemas.openxmlformats.org/officeDocument/2006/relationships/hyperlink" Id="rId37" Target="file://file_00000000831471f5b7a87251b6a71c84#:~:text=%2FDocument%2FFIToFICstmrCdtTrf%2FCdtTrfTxInf%2FDbtr%2FId%2FPrvId%2F%20Othr%2FId%20Taxpayer%20TIN%20or,Unique" TargetMode="External" /><Relationship Type="http://schemas.openxmlformats.org/officeDocument/2006/relationships/hyperlink" Id="rId36" Target="file://file_00000000831471f5b7a87251b6a71c84#:~:text=%2FDocument%2FFIToFICstmrCdtTrf%2FCdtTrfTxInf%2FDbtr%2FNm%20Ordering%20customer%20name%20or,is%20known%2C%20and%20which%20is" TargetMode="External" /><Relationship Type="http://schemas.openxmlformats.org/officeDocument/2006/relationships/hyperlink" Id="rId39" Target="file://file_00000000831471f5b7a87251b6a71c84#:~:text=%2FDocument%2FFIToFICstmrCdtTrf%2FCdtTrfTxInf%2FDbtrAcct%20%2FId%2FOthr%2FId%20In%20case%20the,Agent%20Account%20tag%20is%20not" TargetMode="External" /><Relationship Type="http://schemas.openxmlformats.org/officeDocument/2006/relationships/hyperlink" Id="rId34" Target="file://file_00000000831471f5b7a87251b6a71c84#:~:text=%2FDocument%2FFIToFICstmrCdtTrf%2FCdtTrfTxInf%2FInstgAgt%20%2FFinInstnId%2FBICFI%20The%20debited%20Participant%E2%80%99s,%2FDocument%2FFIToFICstmrCdtTrf%2FCdtTrfTxInf%2FInstdAgt%20%2FFinInstnId%2FBICFI" TargetMode="External" /><Relationship Type="http://schemas.openxmlformats.org/officeDocument/2006/relationships/hyperlink" Id="rId33" Target="file://file_00000000831471f5b7a87251b6a71c84#:~:text=%2FDocument%2FFIToFICstmrCdtTrf%2FCdtTrfTxInf%2FIntrBkSttlmDt%20The%20business%20date%20of,for%20DEFERRED%20transactions" TargetMode="External" /><Relationship Type="http://schemas.openxmlformats.org/officeDocument/2006/relationships/hyperlink" Id="rId42" Target="file://file_00000000831471f5b7a87251b6a71c84#:~:text=%2FDocument%2FFIToFICstmrCdtTrf%2FCdtTrfTxInf%2FUltmtDbtr%20%2FNm%20Third%20Party%20Taxpayer,%2FDocument%2FFIToFICstmrCdtTrf%2FCdtTrfTxInf%2FUltmtDbtr" TargetMode="External" /><Relationship Type="http://schemas.openxmlformats.org/officeDocument/2006/relationships/hyperlink" Id="rId25" Target="file://file_00000000831471f5b7a87251b6a71c84#:~:text=MESSAGE%20USAGE%20head,Transfer%20System%20Upgrade%20Delivery%20Project" TargetMode="External" /><Relationship Type="http://schemas.openxmlformats.org/officeDocument/2006/relationships/hyperlink" Id="rId35" Target="file://file_00000000831471f5b7a87251b6a71c84#:~:text=RTGS,Document%2FFIToFICstmrCdtTrf%2FCdtTrfTxInf%2FUltmtDbtr%20%2FNm%20Third%20Party%20Taxpayer" TargetMode="External" /><Relationship Type="http://schemas.openxmlformats.org/officeDocument/2006/relationships/hyperlink" Id="rId29" Target="file://file_00000000831471f5b7a87251b6a71c84#:~:text=The%20following%20table%20contains%20only,indicates%20SCT%20%2FRTGS%20payments" TargetMode="External" /><Relationship Type="http://schemas.openxmlformats.org/officeDocument/2006/relationships/hyperlink" Id="rId28" Target="file://file_00000000831471f5b7a87251b6a71c84#:~:text=Transfer%203,008%20Element%20XML%20Description" TargetMode="External" /><Relationship Type="http://schemas.openxmlformats.org/officeDocument/2006/relationships/hyperlink" Id="rId32" Target="file://file_00000000831471f5b7a87251b6a71c84#:~:text=following%20format%3A%20%3CIntrBkSttlmAmt%20Ccy%3D,Document%2FFIToFICstmrCdtTrf%2FCdtTrfTxInf%2FSttlmTmReq%20%2FFrTm%20From%20Time%20specifies" TargetMode="External" /><Relationship Type="http://schemas.openxmlformats.org/officeDocument/2006/relationships/hyperlink" Id="rId38" Target="file://file_00000000831471f5b7a87251b6a71c84#:~:text=match%20at%20L809%20%2FDocument%2FFIToFICstmrCdtTrf%2FCdtTrfTxInf%2FDbtrAcct%2FId%2FIB%20AN,Ordering%20customer%20account%20number" TargetMode="External" /><Relationship Type="http://schemas.openxmlformats.org/officeDocument/2006/relationships/hyperlink" Id="rId21" Target="file://file_00000000831471f5b7a87251b6a71c84#:~:text=pacs,and%20creditor%20are%20financial%20institutions" TargetMode="External" /><Relationship Type="http://schemas.openxmlformats.org/officeDocument/2006/relationships/hyperlink" Id="rId30" Target="file://file_00000000831471f5b7a87251b6a71c84#:~:text=transaction%20to%20be%20created,and%20the%20amount%20of%20the" TargetMode="External" /><Relationship Type="http://schemas.openxmlformats.org/officeDocument/2006/relationships/hyperlink" Id="rId68" Target="file://file_00000000f58471f5acc87a33f595df1a" TargetMode="External" /><Relationship Type="http://schemas.openxmlformats.org/officeDocument/2006/relationships/hyperlink" Id="rId51" Target="file://file_00000000f58471f5acc87a33f595df1a#:~:text=GE_IPS_Inception_Report_Annex_D_IPS,002%20payment" TargetMode="External" /><Relationship Type="http://schemas.openxmlformats.org/officeDocument/2006/relationships/hyperlink" Id="rId48" Target="file://file_00000000f58471f5acc87a33f595df1a#:~:text=GE_IPS_Inception_Report_Annex_D_IPS,This%20must" TargetMode="External" /><Relationship Type="http://schemas.openxmlformats.org/officeDocument/2006/relationships/hyperlink" Id="rId52" Target="file://file_00000000f58471f5acc87a33f595df1a#:~:text=b,tracked%20by%20the%20IPS%20system" TargetMode="External" /><Relationship Type="http://schemas.openxmlformats.org/officeDocument/2006/relationships/hyperlink" Id="rId49" Target="file://file_00000000f58471f5acc87a33f595df1a#:~:text=i,Also%20the%20item" TargetMode="External" /><Relationship Type="http://schemas.openxmlformats.org/officeDocument/2006/relationships/hyperlink" Id="rId57" Target="file://file_00000000f58471f5acc87a33f595df1a#:~:text=identify%20an%20ACTIVE%20Participant,00%20Page%2039%20of%20174" TargetMode="External" /><Relationship Type="http://schemas.openxmlformats.org/officeDocument/2006/relationships/hyperlink" Id="rId65" Target="https://www.bny.com/assets/corporate/documents/pdf/iso-20022/learning-guide-module-7.pdf" TargetMode="External" /><Relationship Type="http://schemas.openxmlformats.org/officeDocument/2006/relationships/hyperlink" Id="rId23" Target="https://www.bny.com/assets/corporate/documents/pdf/iso-20022/learning-guide-module-7.pdf#:~:text=The%20camt,an%20Instructed%20Agent%20to" TargetMode="External" /><Relationship Type="http://schemas.openxmlformats.org/officeDocument/2006/relationships/hyperlink" Id="rId66" Target="https://www.cpg.de/en/glossary/camt-056-iso-20022-message/" TargetMode="External" /><Relationship Type="http://schemas.openxmlformats.org/officeDocument/2006/relationships/hyperlink" Id="rId24" Target="https://www.cpg.de/en/glossary/camt-056-iso-20022-message/#:~:text=Request%20www,the%20recall%20%E2%80%93%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2025-11-24T10:45:58Z</dcterms:created>
  <dcterms:modified xsi:type="dcterms:W3CDTF">2025-11-24T10:45:58Z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