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235d030c56d50952e9846efd1032bd6722c820a"/>
    <w:p>
      <w:pPr>
        <w:pStyle w:val="Heading1"/>
      </w:pPr>
      <w:r>
        <w:t xml:space="preserve">White Owl Miller Operating Companies Valuation</w:t>
      </w:r>
    </w:p>
    <w:bookmarkStart w:id="22" w:name="scope-and-method"/>
    <w:p>
      <w:pPr>
        <w:pStyle w:val="Heading2"/>
      </w:pPr>
      <w:r>
        <w:t xml:space="preserve">Scope and method</w:t>
      </w:r>
    </w:p>
    <w:p>
      <w:pPr>
        <w:pStyle w:val="FirstParagraph"/>
      </w:pPr>
      <w:r>
        <w:t xml:space="preserve">This report estimates the</w:t>
      </w:r>
      <w:r>
        <w:t xml:space="preserve"> </w:t>
      </w:r>
      <w:r>
        <w:rPr>
          <w:b/>
          <w:bCs/>
        </w:rPr>
        <w:t xml:space="preserve">current enterprise value and equity value of the White Owl-owned, Miller-branded waste and environmental operating businesses in Canada</w:t>
      </w:r>
      <w:r>
        <w:t xml:space="preserve">, using the scope assumptions you specified. I therefore treat the valuation perimeter as the operating businesses publicly presented under the Miller brand—principally</w:t>
      </w:r>
      <w:r>
        <w:t xml:space="preserve"> </w:t>
      </w:r>
      <w:r>
        <w:rPr>
          <w:b/>
          <w:bCs/>
        </w:rPr>
        <w:t xml:space="preserve">Miller Waste Systems, Miller Compost, and Miller Environmental</w:t>
      </w:r>
      <w:r>
        <w:t xml:space="preserve">—and I</w:t>
      </w:r>
      <w:r>
        <w:t xml:space="preserve"> </w:t>
      </w:r>
      <w:r>
        <w:rPr>
          <w:b/>
          <w:bCs/>
        </w:rPr>
        <w:t xml:space="preserve">exclude White Owl real estate unless clearly owned by an operating company</w:t>
      </w:r>
      <w:r>
        <w:t xml:space="preserve">. I also</w:t>
      </w:r>
      <w:r>
        <w:t xml:space="preserve"> </w:t>
      </w:r>
      <w:r>
        <w:rPr>
          <w:b/>
          <w:bCs/>
        </w:rPr>
        <w:t xml:space="preserve">exclude the Escarpment Renewables, Maryland Farms, and related Pickering pre-processing assets</w:t>
      </w:r>
      <w:r>
        <w:t xml:space="preserve">, because Walker publicly said it acquired those Miller-operated assets in March 2026. Miller’s own current website presents Miller Waste Systems, Miller Compost, and Miller Environmental as its commercial operating lines, while Walker’s acquisition announcement identifies the sold Grimsby, Maryland, and Pickering assets separately.</w:t>
      </w:r>
      <w:r>
        <w:t xml:space="preserve"> </w:t>
      </w:r>
      <w:hyperlink r:id="rId21">
        <w:r>
          <w:rPr>
            <w:rStyle w:val="Hyperlink"/>
          </w:rPr>
          <w:t xml:space="preserve">[1]</w:t>
        </w:r>
      </w:hyperlink>
    </w:p>
    <w:p>
      <w:pPr>
        <w:pStyle w:val="BodyText"/>
      </w:pPr>
      <w:r>
        <w:t xml:space="preserve">The central challenge is that I did</w:t>
      </w:r>
      <w:r>
        <w:t xml:space="preserve"> </w:t>
      </w:r>
      <w:r>
        <w:rPr>
          <w:b/>
          <w:bCs/>
        </w:rPr>
        <w:t xml:space="preserve">not locate public opco financial statements disclosing Miller revenue, EBITDA, or debt</w:t>
      </w:r>
      <w:r>
        <w:t xml:space="preserve">. Accordingly, the valuation below is an</w:t>
      </w:r>
      <w:r>
        <w:t xml:space="preserve"> </w:t>
      </w:r>
      <w:r>
        <w:rPr>
          <w:b/>
          <w:bCs/>
        </w:rPr>
        <w:t xml:space="preserve">estimation exercise</w:t>
      </w:r>
      <w:r>
        <w:t xml:space="preserve">, built from public operating scale markers, municipal contract disclosures, official press releases, public trading multiples, and disclosed Canadian environmental/waste transactions. Where data are unavailable, I state them as</w:t>
      </w:r>
      <w:r>
        <w:t xml:space="preserve"> </w:t>
      </w:r>
      <w:r>
        <w:rPr>
          <w:b/>
          <w:bCs/>
        </w:rPr>
        <w:t xml:space="preserve">unspecified</w:t>
      </w:r>
      <w:r>
        <w:t xml:space="preserve"> </w:t>
      </w:r>
      <w:r>
        <w:t xml:space="preserve">and use bounded ranges. All scenario values below are in</w:t>
      </w:r>
      <w:r>
        <w:t xml:space="preserve"> </w:t>
      </w:r>
      <w:r>
        <w:rPr>
          <w:b/>
          <w:bCs/>
        </w:rPr>
        <w:t xml:space="preserve">C$ millions unless noted otherwise</w:t>
      </w:r>
      <w:r>
        <w:t xml:space="preserve">. Public-company market values are current as of</w:t>
      </w:r>
      <w:r>
        <w:t xml:space="preserve"> </w:t>
      </w:r>
      <w:r>
        <w:rPr>
          <w:b/>
          <w:bCs/>
        </w:rPr>
        <w:t xml:space="preserve">June 3, 2026</w:t>
      </w:r>
      <w:r>
        <w:t xml:space="preserve">, while most operating and EBITDA data are from the companies’ latest reported FY2025 results.</w:t>
      </w:r>
    </w:p>
    <w:bookmarkEnd w:id="22"/>
    <w:bookmarkStart w:id="25" w:name="executive-summary"/>
    <w:p>
      <w:pPr>
        <w:pStyle w:val="Heading2"/>
      </w:pPr>
      <w:r>
        <w:t xml:space="preserve">Executive summary</w:t>
      </w:r>
    </w:p>
    <w:p>
      <w:pPr>
        <w:pStyle w:val="FirstParagraph"/>
      </w:pPr>
      <w:r>
        <w:t xml:space="preserve">My best current estimate for the White Owl-owned Miller-branded operating companies is a</w:t>
      </w:r>
      <w:r>
        <w:t xml:space="preserve"> </w:t>
      </w:r>
      <w:r>
        <w:rPr>
          <w:b/>
          <w:bCs/>
        </w:rPr>
        <w:t xml:space="preserve">base-case enterprise value of approximately C$787 million</w:t>
      </w:r>
      <w:r>
        <w:t xml:space="preserve"> </w:t>
      </w:r>
      <w:r>
        <w:t xml:space="preserve">and a</w:t>
      </w:r>
      <w:r>
        <w:t xml:space="preserve"> </w:t>
      </w:r>
      <w:r>
        <w:rPr>
          <w:b/>
          <w:bCs/>
        </w:rPr>
        <w:t xml:space="preserve">base-case equity value of approximately C$576 million</w:t>
      </w:r>
      <w:r>
        <w:t xml:space="preserve">, with a reasonable current range of about</w:t>
      </w:r>
      <w:r>
        <w:t xml:space="preserve"> </w:t>
      </w:r>
      <w:r>
        <w:rPr>
          <w:b/>
          <w:bCs/>
        </w:rPr>
        <w:t xml:space="preserve">C$418 million to C$1.23 billion of EV</w:t>
      </w:r>
      <w:r>
        <w:t xml:space="preserve"> </w:t>
      </w:r>
      <w:r>
        <w:t xml:space="preserve">and</w:t>
      </w:r>
      <w:r>
        <w:t xml:space="preserve"> </w:t>
      </w:r>
      <w:r>
        <w:rPr>
          <w:b/>
          <w:bCs/>
        </w:rPr>
        <w:t xml:space="preserve">C$255 million to C$994 million of equity value</w:t>
      </w:r>
      <w:r>
        <w:t xml:space="preserve">. The base case assumes approximately</w:t>
      </w:r>
      <w:r>
        <w:t xml:space="preserve"> </w:t>
      </w:r>
      <w:r>
        <w:rPr>
          <w:b/>
          <w:bCs/>
        </w:rPr>
        <w:t xml:space="preserve">C$650 million of revenue</w:t>
      </w:r>
      <w:r>
        <w:t xml:space="preserve">,</w:t>
      </w:r>
      <w:r>
        <w:t xml:space="preserve"> </w:t>
      </w:r>
      <w:r>
        <w:rPr>
          <w:b/>
          <w:bCs/>
        </w:rPr>
        <w:t xml:space="preserve">C$84.7 million of EBITDA</w:t>
      </w:r>
      <w:r>
        <w:t xml:space="preserve">, a</w:t>
      </w:r>
      <w:r>
        <w:t xml:space="preserve"> </w:t>
      </w:r>
      <w:r>
        <w:rPr>
          <w:b/>
          <w:bCs/>
        </w:rPr>
        <w:t xml:space="preserve">blended EV/EBITDA multiple of 9.3x</w:t>
      </w:r>
      <w:r>
        <w:t xml:space="preserve">, and</w:t>
      </w:r>
      <w:r>
        <w:t xml:space="preserve"> </w:t>
      </w:r>
      <w:r>
        <w:rPr>
          <w:b/>
          <w:bCs/>
        </w:rPr>
        <w:t xml:space="preserve">net debt of 2.5x EBITDA</w:t>
      </w:r>
      <w:r>
        <w:t xml:space="preserve">. Those assumptions reflect: substantial operating scale; sticky municipal exposure; a meaningful but subscale hazardous-waste business; and a discount to landfill-owning public peers because Miller explicitly says it</w:t>
      </w:r>
      <w:r>
        <w:t xml:space="preserve"> </w:t>
      </w:r>
      <w:r>
        <w:rPr>
          <w:b/>
          <w:bCs/>
        </w:rPr>
        <w:t xml:space="preserve">does not own or operate landfills</w:t>
      </w:r>
      <w:r>
        <w:t xml:space="preserve">, while the highest-value biogas/RNG assets were sold to Walker in 2026.</w:t>
      </w:r>
      <w:r>
        <w:t xml:space="preserve"> </w:t>
      </w:r>
      <w:hyperlink r:id="rId21">
        <w:r>
          <w:rPr>
            <w:rStyle w:val="Hyperlink"/>
          </w:rPr>
          <w:t xml:space="preserve">[2]</w:t>
        </w:r>
      </w:hyperlink>
    </w:p>
    <w:p>
      <w:pPr>
        <w:pStyle w:val="BodyText"/>
      </w:pPr>
      <w:r>
        <w:t xml:space="preserve">The most important reason the valuation is</w:t>
      </w:r>
      <w:r>
        <w:t xml:space="preserve"> </w:t>
      </w:r>
      <w:r>
        <w:rPr>
          <w:b/>
          <w:bCs/>
        </w:rPr>
        <w:t xml:space="preserve">not</w:t>
      </w:r>
      <w:r>
        <w:t xml:space="preserve"> </w:t>
      </w:r>
      <w:r>
        <w:t xml:space="preserve">higher is that Miller’s public profile suggests a business mix weighted toward</w:t>
      </w:r>
      <w:r>
        <w:t xml:space="preserve"> </w:t>
      </w:r>
      <w:r>
        <w:rPr>
          <w:b/>
          <w:bCs/>
        </w:rPr>
        <w:t xml:space="preserve">collection, transfer, recycling, organics processing, and hazardous waste</w:t>
      </w:r>
      <w:r>
        <w:t xml:space="preserve">, but</w:t>
      </w:r>
      <w:r>
        <w:t xml:space="preserve"> </w:t>
      </w:r>
      <w:r>
        <w:rPr>
          <w:b/>
          <w:bCs/>
        </w:rPr>
        <w:t xml:space="preserve">without landfill ownership</w:t>
      </w:r>
      <w:r>
        <w:t xml:space="preserve">. Public landfill owners and integrated North American platforms such as WM, Republic, Waste Connections, and Casella trade around the mid-teens on EV/EBITDA, while GFL—after major portfolio reshaping—screens nearer 10x. Miller therefore deserves a discount to the landfill-heavy public set, but likely not a distressed one given its scale, municipal contract density, and long operating history.</w:t>
      </w:r>
      <w:r>
        <w:t xml:space="preserve"> </w:t>
      </w:r>
      <w:hyperlink r:id="rId23">
        <w:r>
          <w:rPr>
            <w:rStyle w:val="Hyperlink"/>
          </w:rPr>
          <w:t xml:space="preserve">[3]</w:t>
        </w:r>
      </w:hyperlink>
    </w:p>
    <w:p>
      <w:pPr>
        <w:pStyle w:val="BodyText"/>
      </w:pPr>
      <w:r>
        <w:t xml:space="preserve">The most important reason the valuation is</w:t>
      </w:r>
      <w:r>
        <w:t xml:space="preserve"> </w:t>
      </w:r>
      <w:r>
        <w:rPr>
          <w:b/>
          <w:bCs/>
        </w:rPr>
        <w:t xml:space="preserve">not</w:t>
      </w:r>
      <w:r>
        <w:t xml:space="preserve"> </w:t>
      </w:r>
      <w:r>
        <w:t xml:space="preserve">lower is that the public operating evidence is substantial. Official and quasi-official sources point to a platform that, at different times, has been described as serving</w:t>
      </w:r>
      <w:r>
        <w:t xml:space="preserve"> </w:t>
      </w:r>
      <w:r>
        <w:rPr>
          <w:b/>
          <w:bCs/>
        </w:rPr>
        <w:t xml:space="preserve">more than 50 municipalities</w:t>
      </w:r>
      <w:r>
        <w:t xml:space="preserve">, operating</w:t>
      </w:r>
      <w:r>
        <w:t xml:space="preserve"> </w:t>
      </w:r>
      <w:r>
        <w:rPr>
          <w:b/>
          <w:bCs/>
        </w:rPr>
        <w:t xml:space="preserve">35 to 45 sites</w:t>
      </w:r>
      <w:r>
        <w:t xml:space="preserve">, employing</w:t>
      </w:r>
      <w:r>
        <w:t xml:space="preserve"> </w:t>
      </w:r>
      <w:r>
        <w:rPr>
          <w:b/>
          <w:bCs/>
        </w:rPr>
        <w:t xml:space="preserve">1,800 to 3,000 people</w:t>
      </w:r>
      <w:r>
        <w:t xml:space="preserve">, running</w:t>
      </w:r>
      <w:r>
        <w:t xml:space="preserve"> </w:t>
      </w:r>
      <w:r>
        <w:rPr>
          <w:b/>
          <w:bCs/>
        </w:rPr>
        <w:t xml:space="preserve">800 to roughly 1,900 trucks</w:t>
      </w:r>
      <w:r>
        <w:t xml:space="preserve">, and serving</w:t>
      </w:r>
      <w:r>
        <w:t xml:space="preserve"> </w:t>
      </w:r>
      <w:r>
        <w:rPr>
          <w:b/>
          <w:bCs/>
        </w:rPr>
        <w:t xml:space="preserve">more than 10,000 commercial clients</w:t>
      </w:r>
      <w:r>
        <w:t xml:space="preserve">. In January 2024 Ottawa alone awarded Miller a</w:t>
      </w:r>
      <w:r>
        <w:t xml:space="preserve"> </w:t>
      </w:r>
      <w:r>
        <w:rPr>
          <w:b/>
          <w:bCs/>
        </w:rPr>
        <w:t xml:space="preserve">C$491.7 million initial seven-year curbside collection contract</w:t>
      </w:r>
      <w:r>
        <w:t xml:space="preserve"> </w:t>
      </w:r>
      <w:r>
        <w:t xml:space="preserve">beginning in 2026, while Halton’s disclosed one-year extension economics imply nearly</w:t>
      </w:r>
      <w:r>
        <w:t xml:space="preserve"> </w:t>
      </w:r>
      <w:r>
        <w:rPr>
          <w:b/>
          <w:bCs/>
        </w:rPr>
        <w:t xml:space="preserve">C$28 million</w:t>
      </w:r>
      <w:r>
        <w:t xml:space="preserve"> </w:t>
      </w:r>
      <w:r>
        <w:t xml:space="preserve">of annualized non-blue-box revenue for the extension period. Even before counting most other municipalities, commercial customers, transfer operations, compost, recycling, and hazardous waste, the public contract and operating-scale floor is already material.</w:t>
      </w:r>
      <w:r>
        <w:t xml:space="preserve"> </w:t>
      </w:r>
      <w:hyperlink r:id="rId24">
        <w:r>
          <w:rPr>
            <w:rStyle w:val="Hyperlink"/>
          </w:rPr>
          <w:t xml:space="preserve">[4]</w:t>
        </w:r>
      </w:hyperlink>
    </w:p>
    <w:bookmarkEnd w:id="25"/>
    <w:bookmarkStart w:id="38" w:name="public-operating-evidence"/>
    <w:p>
      <w:pPr>
        <w:pStyle w:val="Heading2"/>
      </w:pPr>
      <w:r>
        <w:t xml:space="preserve">Public operating evidence</w:t>
      </w:r>
    </w:p>
    <w:p>
      <w:pPr>
        <w:pStyle w:val="FirstParagraph"/>
      </w:pPr>
      <w:r>
        <w:t xml:space="preserve">The table below summarizes the public evidence that most directly anchors the valuation.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Public evidence</w:t>
            </w:r>
          </w:p>
        </w:tc>
        <w:tc>
          <w:tcPr/>
          <w:p>
            <w:pPr>
              <w:pStyle w:val="Compact"/>
            </w:pPr>
            <w:r>
              <w:t xml:space="preserve">Key fact</w:t>
            </w:r>
          </w:p>
        </w:tc>
        <w:tc>
          <w:tcPr/>
          <w:p>
            <w:pPr>
              <w:pStyle w:val="Compact"/>
            </w:pPr>
            <w:r>
              <w:t xml:space="preserve">Valuation use</w:t>
            </w:r>
          </w:p>
        </w:tc>
      </w:tr>
      <w:tr>
        <w:tc>
          <w:tcPr/>
          <w:p>
            <w:pPr>
              <w:pStyle w:val="Compact"/>
            </w:pPr>
            <w:r>
              <w:t xml:space="preserve">Miller website</w:t>
            </w:r>
          </w:p>
        </w:tc>
        <w:tc>
          <w:tcPr/>
          <w:p>
            <w:pPr>
              <w:pStyle w:val="Compact"/>
            </w:pPr>
            <w:r>
              <w:t xml:space="preserve">Miller currently markets</w:t>
            </w:r>
            <w:r>
              <w:t xml:space="preserve"> </w:t>
            </w:r>
            <w:r>
              <w:rPr>
                <w:b/>
                <w:bCs/>
              </w:rPr>
              <w:t xml:space="preserve">Miller Waste Systems, Miller Compost, and Miller Environmental</w:t>
            </w:r>
            <w:r>
              <w:t xml:space="preserve"> </w:t>
            </w:r>
            <w:r>
              <w:t xml:space="preserve">as its commercial lines, and states that</w:t>
            </w:r>
            <w:r>
              <w:t xml:space="preserve"> </w:t>
            </w:r>
            <w:r>
              <w:rPr>
                <w:b/>
                <w:bCs/>
              </w:rPr>
              <w:t xml:space="preserve">Miller Waste does not own or operate landfills</w:t>
            </w:r>
            <w:r>
              <w:t xml:space="preserve">.</w:t>
            </w:r>
            <w:r>
              <w:t xml:space="preserve"> </w:t>
            </w:r>
            <w:hyperlink r:id="rId21">
              <w:r>
                <w:rPr>
                  <w:rStyle w:val="Hyperlink"/>
                </w:rPr>
                <w:t xml:space="preserve">[5]</w:t>
              </w:r>
            </w:hyperlink>
          </w:p>
        </w:tc>
        <w:tc>
          <w:tcPr/>
          <w:p>
            <w:pPr>
              <w:pStyle w:val="Compact"/>
            </w:pPr>
            <w:r>
              <w:t xml:space="preserve">Establishes current branded scope and supports a</w:t>
            </w:r>
            <w:r>
              <w:t xml:space="preserve"> </w:t>
            </w:r>
            <w:r>
              <w:rPr>
                <w:b/>
                <w:bCs/>
              </w:rPr>
              <w:t xml:space="preserve">multiple discount</w:t>
            </w:r>
            <w:r>
              <w:t xml:space="preserve"> </w:t>
            </w:r>
            <w:r>
              <w:t xml:space="preserve">versus landfill-owning peers.</w:t>
            </w:r>
          </w:p>
        </w:tc>
      </w:tr>
      <w:tr>
        <w:tc>
          <w:tcPr/>
          <w:p>
            <w:pPr>
              <w:pStyle w:val="Compact"/>
            </w:pPr>
            <w:r>
              <w:t xml:space="preserve">Town of Grimsby / White Owl release</w:t>
            </w:r>
          </w:p>
        </w:tc>
        <w:tc>
          <w:tcPr/>
          <w:p>
            <w:pPr>
              <w:pStyle w:val="Compact"/>
            </w:pPr>
            <w:r>
              <w:t xml:space="preserve">In 2019, White Owl said Miller Waste operated in</w:t>
            </w:r>
            <w:r>
              <w:t xml:space="preserve"> </w:t>
            </w:r>
            <w:r>
              <w:rPr>
                <w:b/>
                <w:bCs/>
              </w:rPr>
              <w:t xml:space="preserve">Ontario, Nova Scotia, New Brunswick, and Manitoba</w:t>
            </w:r>
            <w:r>
              <w:t xml:space="preserve">, with</w:t>
            </w:r>
            <w:r>
              <w:t xml:space="preserve"> </w:t>
            </w:r>
            <w:r>
              <w:rPr>
                <w:b/>
                <w:bCs/>
              </w:rPr>
              <w:t xml:space="preserve">over 800 collection vehicles</w:t>
            </w:r>
            <w:r>
              <w:t xml:space="preserve">,</w:t>
            </w:r>
            <w:r>
              <w:t xml:space="preserve"> </w:t>
            </w:r>
            <w:r>
              <w:rPr>
                <w:b/>
                <w:bCs/>
              </w:rPr>
              <w:t xml:space="preserve">over 1,800 personnel</w:t>
            </w:r>
            <w:r>
              <w:t xml:space="preserve">,</w:t>
            </w:r>
            <w:r>
              <w:t xml:space="preserve"> </w:t>
            </w:r>
            <w:r>
              <w:rPr>
                <w:b/>
                <w:bCs/>
              </w:rPr>
              <w:t xml:space="preserve">35 locations</w:t>
            </w:r>
            <w:r>
              <w:t xml:space="preserve">, and service to</w:t>
            </w:r>
            <w:r>
              <w:t xml:space="preserve"> </w:t>
            </w:r>
            <w:r>
              <w:rPr>
                <w:b/>
                <w:bCs/>
              </w:rPr>
              <w:t xml:space="preserve">more than 50 municipalities</w:t>
            </w:r>
            <w:r>
              <w:t xml:space="preserve">; the same release identifies White Owl as owner of Miller Waste Systems and Miller Environmental.</w:t>
            </w:r>
            <w:r>
              <w:t xml:space="preserve"> </w:t>
            </w:r>
            <w:hyperlink r:id="rId24">
              <w:r>
                <w:rPr>
                  <w:rStyle w:val="Hyperlink"/>
                </w:rPr>
                <w:t xml:space="preserve">[6]</w:t>
              </w:r>
            </w:hyperlink>
          </w:p>
        </w:tc>
        <w:tc>
          <w:tcPr/>
          <w:p>
            <w:pPr>
              <w:pStyle w:val="Compact"/>
            </w:pPr>
            <w:r>
              <w:t xml:space="preserve">Provides an official historical</w:t>
            </w:r>
            <w:r>
              <w:t xml:space="preserve"> </w:t>
            </w:r>
            <w:r>
              <w:rPr>
                <w:b/>
                <w:bCs/>
              </w:rPr>
              <w:t xml:space="preserve">scale floor</w:t>
            </w:r>
            <w:r>
              <w:t xml:space="preserve"> </w:t>
            </w:r>
            <w:r>
              <w:t xml:space="preserve">and confirms White Owl control of the operating platform.</w:t>
            </w:r>
          </w:p>
        </w:tc>
      </w:tr>
      <w:tr>
        <w:tc>
          <w:tcPr/>
          <w:p>
            <w:pPr>
              <w:pStyle w:val="Compact"/>
            </w:pPr>
            <w:r>
              <w:t xml:space="preserve">Global Payments customer story</w:t>
            </w:r>
          </w:p>
        </w:tc>
        <w:tc>
          <w:tcPr/>
          <w:p>
            <w:pPr>
              <w:pStyle w:val="Compact"/>
            </w:pPr>
            <w:r>
              <w:t xml:space="preserve">Miller was described as having</w:t>
            </w:r>
            <w:r>
              <w:t xml:space="preserve"> </w:t>
            </w:r>
            <w:r>
              <w:rPr>
                <w:b/>
                <w:bCs/>
              </w:rPr>
              <w:t xml:space="preserve">37 locations across Canada</w:t>
            </w:r>
            <w:r>
              <w:t xml:space="preserve"> </w:t>
            </w:r>
            <w:r>
              <w:t xml:space="preserve">and</w:t>
            </w:r>
            <w:r>
              <w:t xml:space="preserve"> </w:t>
            </w:r>
            <w:r>
              <w:rPr>
                <w:b/>
                <w:bCs/>
              </w:rPr>
              <w:t xml:space="preserve">over 10,000 commercial clients</w:t>
            </w:r>
            <w:r>
              <w:t xml:space="preserve">.</w:t>
            </w:r>
            <w:r>
              <w:t xml:space="preserve"> </w:t>
            </w:r>
            <w:hyperlink r:id="rId26">
              <w:r>
                <w:rPr>
                  <w:rStyle w:val="Hyperlink"/>
                </w:rPr>
                <w:t xml:space="preserve">[7]</w:t>
              </w:r>
            </w:hyperlink>
          </w:p>
        </w:tc>
        <w:tc>
          <w:tcPr/>
          <w:p>
            <w:pPr>
              <w:pStyle w:val="Compact"/>
            </w:pPr>
            <w:r>
              <w:t xml:space="preserve">Supports non-municipal revenue breadth and customer diversification.</w:t>
            </w:r>
          </w:p>
        </w:tc>
      </w:tr>
      <w:tr>
        <w:tc>
          <w:tcPr/>
          <w:p>
            <w:pPr>
              <w:pStyle w:val="Compact"/>
            </w:pPr>
            <w:r>
              <w:t xml:space="preserve">AMCS case study</w:t>
            </w:r>
          </w:p>
        </w:tc>
        <w:tc>
          <w:tcPr/>
          <w:p>
            <w:pPr>
              <w:pStyle w:val="Compact"/>
            </w:pPr>
            <w:r>
              <w:t xml:space="preserve">Miller was described as operating</w:t>
            </w:r>
            <w:r>
              <w:t xml:space="preserve"> </w:t>
            </w:r>
            <w:r>
              <w:rPr>
                <w:b/>
                <w:bCs/>
              </w:rPr>
              <w:t xml:space="preserve">45 sites</w:t>
            </w:r>
            <w:r>
              <w:t xml:space="preserve">, managing roughly</w:t>
            </w:r>
            <w:r>
              <w:t xml:space="preserve"> </w:t>
            </w:r>
            <w:r>
              <w:rPr>
                <w:b/>
                <w:bCs/>
              </w:rPr>
              <w:t xml:space="preserve">1,900 trucks</w:t>
            </w:r>
            <w:r>
              <w:t xml:space="preserve">, and employing</w:t>
            </w:r>
            <w:r>
              <w:t xml:space="preserve"> </w:t>
            </w:r>
            <w:r>
              <w:rPr>
                <w:b/>
                <w:bCs/>
              </w:rPr>
              <w:t xml:space="preserve">3,000 people</w:t>
            </w:r>
            <w:r>
              <w:t xml:space="preserve">.</w:t>
            </w:r>
            <w:r>
              <w:t xml:space="preserve"> </w:t>
            </w:r>
            <w:hyperlink r:id="rId27">
              <w:r>
                <w:rPr>
                  <w:rStyle w:val="Hyperlink"/>
                </w:rPr>
                <w:t xml:space="preserve">[8]</w:t>
              </w:r>
            </w:hyperlink>
          </w:p>
        </w:tc>
        <w:tc>
          <w:tcPr/>
          <w:p>
            <w:pPr>
              <w:pStyle w:val="Compact"/>
            </w:pPr>
            <w:r>
              <w:t xml:space="preserve">Primary scale input for estimated revenue ranges and employee/truck cross-checks.</w:t>
            </w:r>
          </w:p>
        </w:tc>
      </w:tr>
      <w:tr>
        <w:tc>
          <w:tcPr/>
          <w:p>
            <w:pPr>
              <w:pStyle w:val="Compact"/>
            </w:pPr>
            <w:r>
              <w:t xml:space="preserve">Ottawa contract</w:t>
            </w:r>
          </w:p>
        </w:tc>
        <w:tc>
          <w:tcPr/>
          <w:p>
            <w:pPr>
              <w:pStyle w:val="Compact"/>
            </w:pPr>
            <w:r>
              <w:t xml:space="preserve">City of Ottawa delegated authority document shows a Miller contract valued at</w:t>
            </w:r>
            <w:r>
              <w:t xml:space="preserve"> </w:t>
            </w:r>
            <w:r>
              <w:rPr>
                <w:b/>
                <w:bCs/>
              </w:rPr>
              <w:t xml:space="preserve">C$491.692 million initial</w:t>
            </w:r>
            <w:r>
              <w:t xml:space="preserve"> </w:t>
            </w:r>
            <w:r>
              <w:t xml:space="preserve">for</w:t>
            </w:r>
            <w:r>
              <w:t xml:space="preserve"> </w:t>
            </w:r>
            <w:r>
              <w:rPr>
                <w:b/>
                <w:bCs/>
              </w:rPr>
              <w:t xml:space="preserve">seven years</w:t>
            </w:r>
            <w:r>
              <w:t xml:space="preserve"> </w:t>
            </w:r>
            <w:r>
              <w:t xml:space="preserve">beginning in</w:t>
            </w:r>
            <w:r>
              <w:t xml:space="preserve"> </w:t>
            </w:r>
            <w:r>
              <w:rPr>
                <w:b/>
                <w:bCs/>
              </w:rPr>
              <w:t xml:space="preserve">2026</w:t>
            </w:r>
            <w:r>
              <w:t xml:space="preserve">.</w:t>
            </w:r>
            <w:r>
              <w:t xml:space="preserve"> </w:t>
            </w:r>
            <w:hyperlink r:id="rId28">
              <w:r>
                <w:rPr>
                  <w:rStyle w:val="Hyperlink"/>
                </w:rPr>
                <w:t xml:space="preserve">[9]</w:t>
              </w:r>
            </w:hyperlink>
          </w:p>
        </w:tc>
        <w:tc>
          <w:tcPr/>
          <w:p>
            <w:pPr>
              <w:pStyle w:val="Compact"/>
            </w:pPr>
            <w:r>
              <w:t xml:space="preserve">Quantified annualized revenue anchor of roughly</w:t>
            </w:r>
            <w:r>
              <w:t xml:space="preserve"> </w:t>
            </w:r>
            <w:r>
              <w:rPr>
                <w:b/>
                <w:bCs/>
              </w:rPr>
              <w:t xml:space="preserve">C$70.2 million</w:t>
            </w:r>
            <w:r>
              <w:t xml:space="preserve">.</w:t>
            </w:r>
          </w:p>
        </w:tc>
      </w:tr>
      <w:tr>
        <w:tc>
          <w:tcPr/>
          <w:p>
            <w:pPr>
              <w:pStyle w:val="Compact"/>
            </w:pPr>
            <w:r>
              <w:t xml:space="preserve">Halton extension economics</w:t>
            </w:r>
          </w:p>
        </w:tc>
        <w:tc>
          <w:tcPr/>
          <w:p>
            <w:pPr>
              <w:pStyle w:val="Compact"/>
            </w:pPr>
            <w:r>
              <w:t xml:space="preserve">Halton budget documents say the one-year Miller extension for</w:t>
            </w:r>
            <w:r>
              <w:t xml:space="preserve"> </w:t>
            </w:r>
            <w:r>
              <w:rPr>
                <w:b/>
                <w:bCs/>
              </w:rPr>
              <w:t xml:space="preserve">April 4, 2026 to April 2, 2027</w:t>
            </w:r>
            <w:r>
              <w:t xml:space="preserve"> </w:t>
            </w:r>
            <w:r>
              <w:t xml:space="preserve">implied an</w:t>
            </w:r>
            <w:r>
              <w:t xml:space="preserve"> </w:t>
            </w:r>
            <w:r>
              <w:rPr>
                <w:b/>
                <w:bCs/>
              </w:rPr>
              <w:t xml:space="preserve">increase of C$11.3 million, or 68%</w:t>
            </w:r>
            <w:r>
              <w:t xml:space="preserve">, over current pricing excluding Blue Box costs.</w:t>
            </w:r>
            <w:r>
              <w:t xml:space="preserve"> </w:t>
            </w:r>
            <w:hyperlink r:id="rId29">
              <w:r>
                <w:rPr>
                  <w:rStyle w:val="Hyperlink"/>
                </w:rPr>
                <w:t xml:space="preserve">[10]</w:t>
              </w:r>
            </w:hyperlink>
          </w:p>
        </w:tc>
        <w:tc>
          <w:tcPr/>
          <w:p>
            <w:pPr>
              <w:pStyle w:val="Compact"/>
            </w:pPr>
            <w:r>
              <w:t xml:space="preserve">Implies extension-period annual revenue of roughly</w:t>
            </w:r>
            <w:r>
              <w:t xml:space="preserve"> </w:t>
            </w:r>
            <w:r>
              <w:rPr>
                <w:b/>
                <w:bCs/>
              </w:rPr>
              <w:t xml:space="preserve">C$27.9 million</w:t>
            </w:r>
            <w:r>
              <w:t xml:space="preserve"> </w:t>
            </w:r>
            <w:r>
              <w:t xml:space="preserve">for the affected Miller Halton workstream.</w:t>
            </w:r>
          </w:p>
        </w:tc>
      </w:tr>
      <w:tr>
        <w:tc>
          <w:tcPr/>
          <w:p>
            <w:pPr>
              <w:pStyle w:val="Compact"/>
            </w:pPr>
            <w:r>
              <w:t xml:space="preserve">Vaughan contract</w:t>
            </w:r>
          </w:p>
        </w:tc>
        <w:tc>
          <w:tcPr/>
          <w:p>
            <w:pPr>
              <w:pStyle w:val="Compact"/>
            </w:pPr>
            <w:r>
              <w:t xml:space="preserve">Vaughan awarded Miller an</w:t>
            </w:r>
            <w:r>
              <w:t xml:space="preserve"> </w:t>
            </w:r>
            <w:r>
              <w:rPr>
                <w:b/>
                <w:bCs/>
              </w:rPr>
              <w:t xml:space="preserve">annual first-year amount of C$8.723 million</w:t>
            </w:r>
            <w:r>
              <w:t xml:space="preserve"> </w:t>
            </w:r>
            <w:r>
              <w:t xml:space="preserve">for an eight-year residential collection term beginning in 2018, with two optional one-year extensions and CPI-based adjustments capped at 3%.</w:t>
            </w:r>
            <w:r>
              <w:t xml:space="preserve"> </w:t>
            </w:r>
            <w:hyperlink r:id="rId30">
              <w:r>
                <w:rPr>
                  <w:rStyle w:val="Hyperlink"/>
                </w:rPr>
                <w:t xml:space="preserve">[11]</w:t>
              </w:r>
            </w:hyperlink>
          </w:p>
        </w:tc>
        <w:tc>
          <w:tcPr/>
          <w:p>
            <w:pPr>
              <w:pStyle w:val="Compact"/>
            </w:pPr>
            <w:r>
              <w:t xml:space="preserve">Useful historical GTA pricing datapoint; I</w:t>
            </w:r>
            <w:r>
              <w:t xml:space="preserve"> </w:t>
            </w:r>
            <w:r>
              <w:rPr>
                <w:b/>
                <w:bCs/>
              </w:rPr>
              <w:t xml:space="preserve">do not assume continuation into mid-2026</w:t>
            </w:r>
            <w:r>
              <w:t xml:space="preserve"> </w:t>
            </w:r>
            <w:r>
              <w:t xml:space="preserve">because that was not confirmed in the reviewed sources.</w:t>
            </w:r>
          </w:p>
        </w:tc>
      </w:tr>
      <w:tr>
        <w:tc>
          <w:tcPr/>
          <w:p>
            <w:pPr>
              <w:pStyle w:val="Compact"/>
            </w:pPr>
            <w:r>
              <w:t xml:space="preserve">Markham contract</w:t>
            </w:r>
          </w:p>
        </w:tc>
        <w:tc>
          <w:tcPr/>
          <w:p>
            <w:pPr>
              <w:pStyle w:val="Compact"/>
            </w:pPr>
            <w:r>
              <w:t xml:space="preserve">Markham’s notice of award confirms a Miller contract running</w:t>
            </w:r>
            <w:r>
              <w:t xml:space="preserve"> </w:t>
            </w:r>
            <w:r>
              <w:rPr>
                <w:b/>
                <w:bCs/>
              </w:rPr>
              <w:t xml:space="preserve">September 1, 2021 to August 31, 2029</w:t>
            </w:r>
            <w:r>
              <w:t xml:space="preserve">, with up to two additional one-year extensions; the public notice reviewed did</w:t>
            </w:r>
            <w:r>
              <w:t xml:space="preserve"> </w:t>
            </w:r>
            <w:r>
              <w:rPr>
                <w:b/>
                <w:bCs/>
              </w:rPr>
              <w:t xml:space="preserve">not disclose contract value</w:t>
            </w:r>
            <w:r>
              <w:t xml:space="preserve">.</w:t>
            </w:r>
            <w:r>
              <w:t xml:space="preserve"> </w:t>
            </w:r>
            <w:hyperlink r:id="rId31">
              <w:r>
                <w:rPr>
                  <w:rStyle w:val="Hyperlink"/>
                </w:rPr>
                <w:t xml:space="preserve">[12]</w:t>
              </w:r>
            </w:hyperlink>
          </w:p>
        </w:tc>
        <w:tc>
          <w:tcPr/>
          <w:p>
            <w:pPr>
              <w:pStyle w:val="Compact"/>
            </w:pPr>
            <w:r>
              <w:t xml:space="preserve">Confirms another current GTA municipal contract, but amount remains</w:t>
            </w:r>
            <w:r>
              <w:t xml:space="preserve"> </w:t>
            </w:r>
            <w:r>
              <w:rPr>
                <w:b/>
                <w:bCs/>
              </w:rPr>
              <w:t xml:space="preserve">unspecified</w:t>
            </w:r>
            <w:r>
              <w:t xml:space="preserve">.</w:t>
            </w:r>
          </w:p>
        </w:tc>
      </w:tr>
      <w:tr>
        <w:tc>
          <w:tcPr/>
          <w:p>
            <w:pPr>
              <w:pStyle w:val="Compact"/>
            </w:pPr>
            <w:r>
              <w:t xml:space="preserve">Amherst municipal page</w:t>
            </w:r>
          </w:p>
        </w:tc>
        <w:tc>
          <w:tcPr/>
          <w:p>
            <w:pPr>
              <w:pStyle w:val="Compact"/>
            </w:pPr>
            <w:r>
              <w:t xml:space="preserve">Amherst states it has a contract with Miller for</w:t>
            </w:r>
            <w:r>
              <w:t xml:space="preserve"> </w:t>
            </w:r>
            <w:r>
              <w:rPr>
                <w:b/>
                <w:bCs/>
              </w:rPr>
              <w:t xml:space="preserve">three-stream collection</w:t>
            </w:r>
            <w:r>
              <w:t xml:space="preserve">.</w:t>
            </w:r>
            <w:r>
              <w:t xml:space="preserve"> </w:t>
            </w:r>
            <w:hyperlink r:id="rId32">
              <w:r>
                <w:rPr>
                  <w:rStyle w:val="Hyperlink"/>
                </w:rPr>
                <w:t xml:space="preserve">[13]</w:t>
              </w:r>
            </w:hyperlink>
          </w:p>
        </w:tc>
        <w:tc>
          <w:tcPr/>
          <w:p>
            <w:pPr>
              <w:pStyle w:val="Compact"/>
            </w:pPr>
            <w:r>
              <w:t xml:space="preserve">Additional evidence that the municipal footprint extends beyond Ontario, though the revenue amount is</w:t>
            </w:r>
            <w:r>
              <w:t xml:space="preserve"> </w:t>
            </w:r>
            <w:r>
              <w:rPr>
                <w:b/>
                <w:bCs/>
              </w:rPr>
              <w:t xml:space="preserve">unspecified</w:t>
            </w:r>
            <w:r>
              <w:t xml:space="preserve">.</w:t>
            </w:r>
          </w:p>
        </w:tc>
      </w:tr>
      <w:tr>
        <w:tc>
          <w:tcPr/>
          <w:p>
            <w:pPr>
              <w:pStyle w:val="Compact"/>
            </w:pPr>
            <w:r>
              <w:t xml:space="preserve">Walker 2026 acquisition</w:t>
            </w:r>
          </w:p>
        </w:tc>
        <w:tc>
          <w:tcPr/>
          <w:p>
            <w:pPr>
              <w:pStyle w:val="Compact"/>
            </w:pPr>
            <w:r>
              <w:t xml:space="preserve">Walker said it acquired Miller’s</w:t>
            </w:r>
            <w:r>
              <w:t xml:space="preserve"> </w:t>
            </w:r>
            <w:r>
              <w:rPr>
                <w:b/>
                <w:bCs/>
              </w:rPr>
              <w:t xml:space="preserve">Escarpment Renewables</w:t>
            </w:r>
            <w:r>
              <w:t xml:space="preserve">,</w:t>
            </w:r>
            <w:r>
              <w:t xml:space="preserve"> </w:t>
            </w:r>
            <w:r>
              <w:rPr>
                <w:b/>
                <w:bCs/>
              </w:rPr>
              <w:t xml:space="preserve">Maryland Farms</w:t>
            </w:r>
            <w:r>
              <w:t xml:space="preserve">, and</w:t>
            </w:r>
            <w:r>
              <w:t xml:space="preserve"> </w:t>
            </w:r>
            <w:r>
              <w:rPr>
                <w:b/>
                <w:bCs/>
              </w:rPr>
              <w:t xml:space="preserve">Pickering</w:t>
            </w:r>
            <w:r>
              <w:t xml:space="preserve"> </w:t>
            </w:r>
            <w:r>
              <w:t xml:space="preserve">pre-processing assets in 2026.</w:t>
            </w:r>
            <w:r>
              <w:t xml:space="preserve"> </w:t>
            </w:r>
            <w:hyperlink r:id="rId33">
              <w:r>
                <w:rPr>
                  <w:rStyle w:val="Hyperlink"/>
                </w:rPr>
                <w:t xml:space="preserve">[14]</w:t>
              </w:r>
            </w:hyperlink>
          </w:p>
        </w:tc>
        <w:tc>
          <w:tcPr/>
          <w:p>
            <w:pPr>
              <w:pStyle w:val="Compact"/>
            </w:pPr>
            <w:r>
              <w:t xml:space="preserve">Confirms that biogas/RNG assets are</w:t>
            </w:r>
            <w:r>
              <w:t xml:space="preserve"> </w:t>
            </w:r>
            <w:r>
              <w:rPr>
                <w:b/>
                <w:bCs/>
              </w:rPr>
              <w:t xml:space="preserve">out of current valuation scope</w:t>
            </w:r>
            <w:r>
              <w:t xml:space="preserve">.</w:t>
            </w:r>
          </w:p>
        </w:tc>
      </w:tr>
    </w:tbl>
    <w:p>
      <w:pPr>
        <w:pStyle w:val="BodyText"/>
      </w:pPr>
      <w:r>
        <w:t xml:space="preserve">A useful way to see the key public valuation anchors is the following timeline.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34722"/>
                  <wp:effectExtent b="0" l="0" r="0" t="0"/>
                  <wp:docPr descr="Rendered Mermaid diagram 1" title="" id="35" name="Picture"/>
                  <a:graphic>
                    <a:graphicData uri="http://schemas.openxmlformats.org/drawingml/2006/picture">
                      <pic:pic>
                        <pic:nvPicPr>
                          <pic:cNvPr descr="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" id="36" name="Picture"/>
                          <pic:cNvPicPr>
                            <a:picLocks noChangeArrowheads="1" noChangeAspect="1"/>
                          </pic:cNvPicPr>
                        </pic:nvPicPr>
                        <pic:blipFill>
                          <a:blip r:embed="rId34"/>
                          <a:stretch>
                            <a:fillRect/>
                          </a:stretch>
                        </pic:blipFill>
                        <pic:spPr bwMode="auto">
                          <a:xfrm>
                            <a:off x="0" y="0"/>
                            <a:ext cx="5334000" cy="1234722"/>
                          </a:xfrm>
                          <a:prstGeom prst="rect">
                            <a:avLst/>
                          </a:prstGeom>
                          <a:noFill/>
                          <a:ln w="9525">
                            <a:noFill/>
                            <a:headEnd/>
                            <a:tailEnd/>
                          </a:ln>
                        </pic:spPr>
                      </pic:pic>
                    </a:graphicData>
                  </a:graphic>
                </wp:inline>
              </w:drawing>
            </w:r>
            <w:r>
              <w:br/>
            </w:r>
          </w:p>
        </w:tc>
      </w:tr>
    </w:tbl>
    <w:p>
      <w:pPr>
        <w:pStyle w:val="BodyText"/>
      </w:pPr>
      <w:r>
        <w:t xml:space="preserve">The</w:t>
      </w:r>
      <w:r>
        <w:t xml:space="preserve"> </w:t>
      </w:r>
      <w:r>
        <w:rPr>
          <w:b/>
          <w:bCs/>
        </w:rPr>
        <w:t xml:space="preserve">quantified, current public contract floor</w:t>
      </w:r>
      <w:r>
        <w:t xml:space="preserve"> </w:t>
      </w:r>
      <w:r>
        <w:t xml:space="preserve">I can support directly is about</w:t>
      </w:r>
      <w:r>
        <w:t xml:space="preserve"> </w:t>
      </w:r>
      <w:r>
        <w:rPr>
          <w:b/>
          <w:bCs/>
        </w:rPr>
        <w:t xml:space="preserve">C$98 million per year</w:t>
      </w:r>
      <w:r>
        <w:t xml:space="preserve">, consisting of Ottawa’s roughly</w:t>
      </w:r>
      <w:r>
        <w:t xml:space="preserve"> </w:t>
      </w:r>
      <w:r>
        <w:rPr>
          <w:b/>
          <w:bCs/>
        </w:rPr>
        <w:t xml:space="preserve">C$70.2 million</w:t>
      </w:r>
      <w:r>
        <w:t xml:space="preserve"> </w:t>
      </w:r>
      <w:r>
        <w:t xml:space="preserve">annualized contract value plus Halton’s roughly</w:t>
      </w:r>
      <w:r>
        <w:t xml:space="preserve"> </w:t>
      </w:r>
      <w:r>
        <w:rPr>
          <w:b/>
          <w:bCs/>
        </w:rPr>
        <w:t xml:space="preserve">C$27.9 million</w:t>
      </w:r>
      <w:r>
        <w:t xml:space="preserve"> </w:t>
      </w:r>
      <w:r>
        <w:t xml:space="preserve">annualized extension economics. That floor excludes Markham because the value was not disclosed, excludes Vaughan because mid-2026 continuation was not confirmed in the reviewed materials, and excludes the many commercial, transfer, recycling, compost, and hazardous-waste revenue lines that no reviewed source publicly quantified.</w:t>
      </w:r>
      <w:r>
        <w:t xml:space="preserve"> </w:t>
      </w:r>
      <w:hyperlink r:id="rId28">
        <w:r>
          <w:rPr>
            <w:rStyle w:val="Hyperlink"/>
          </w:rPr>
          <w:t xml:space="preserve">[15]</w:t>
        </w:r>
      </w:hyperlink>
    </w:p>
    <w:p>
      <w:pPr>
        <w:pStyle w:val="BodyText"/>
      </w:pPr>
      <w:r>
        <w:t xml:space="preserve">A second check is the</w:t>
      </w:r>
      <w:r>
        <w:t xml:space="preserve"> </w:t>
      </w:r>
      <w:r>
        <w:rPr>
          <w:b/>
          <w:bCs/>
        </w:rPr>
        <w:t xml:space="preserve">employee-based revenue lens</w:t>
      </w:r>
      <w:r>
        <w:t xml:space="preserve">. Casella reported</w:t>
      </w:r>
      <w:r>
        <w:t xml:space="preserve"> </w:t>
      </w:r>
      <w:r>
        <w:rPr>
          <w:b/>
          <w:bCs/>
        </w:rPr>
        <w:t xml:space="preserve">C$1.837 billion-equivalent revenue?</w:t>
      </w:r>
      <w:r>
        <w:t xml:space="preserve"> </w:t>
      </w:r>
      <w:r>
        <w:t xml:space="preserve">No—Casella reported</w:t>
      </w:r>
      <w:r>
        <w:t xml:space="preserve"> </w:t>
      </w:r>
      <w:r>
        <w:rPr>
          <w:b/>
          <w:bCs/>
        </w:rPr>
        <w:t xml:space="preserve">US$1.837 billion</w:t>
      </w:r>
      <w:r>
        <w:t xml:space="preserve"> </w:t>
      </w:r>
      <w:r>
        <w:t xml:space="preserve">of revenue and said it had</w:t>
      </w:r>
      <w:r>
        <w:t xml:space="preserve"> </w:t>
      </w:r>
      <w:r>
        <w:rPr>
          <w:b/>
          <w:bCs/>
        </w:rPr>
        <w:t xml:space="preserve">more than 5,600 team members</w:t>
      </w:r>
      <w:r>
        <w:t xml:space="preserve">, which implies approximately</w:t>
      </w:r>
      <w:r>
        <w:t xml:space="preserve"> </w:t>
      </w:r>
      <w:r>
        <w:rPr>
          <w:b/>
          <w:bCs/>
        </w:rPr>
        <w:t xml:space="preserve">US$328,000 of revenue per employee</w:t>
      </w:r>
      <w:r>
        <w:t xml:space="preserve">. My Miller scenarios imply roughly</w:t>
      </w:r>
      <w:r>
        <w:t xml:space="preserve"> </w:t>
      </w:r>
      <w:r>
        <w:rPr>
          <w:b/>
          <w:bCs/>
        </w:rPr>
        <w:t xml:space="preserve">C$167,000 to C$267,000 of revenue per employee</w:t>
      </w:r>
      <w:r>
        <w:t xml:space="preserve"> </w:t>
      </w:r>
      <w:r>
        <w:t xml:space="preserve">using the 3,000-employee AMCS figure, which is intentionally below Casella’s level and directionally sensible for a business that appears less landfill-rich and more contracted-hauling/processing oriented.</w:t>
      </w:r>
      <w:r>
        <w:t xml:space="preserve"> </w:t>
      </w:r>
      <w:hyperlink r:id="rId37">
        <w:r>
          <w:rPr>
            <w:rStyle w:val="Hyperlink"/>
          </w:rPr>
          <w:t xml:space="preserve">[16]</w:t>
        </w:r>
      </w:hyperlink>
    </w:p>
    <w:bookmarkEnd w:id="38"/>
    <w:bookmarkStart w:id="40" w:name="valuation-assumptions"/>
    <w:p>
      <w:pPr>
        <w:pStyle w:val="Heading2"/>
      </w:pPr>
      <w:r>
        <w:t xml:space="preserve">Valuation assumptions</w:t>
      </w:r>
    </w:p>
    <w:p>
      <w:pPr>
        <w:pStyle w:val="FirstParagraph"/>
      </w:pPr>
      <w:r>
        <w:t xml:space="preserve">Because Miller’s actual revenue is not publicly disclosed in the sources reviewed, I use three revenue anchors together. First, the</w:t>
      </w:r>
      <w:r>
        <w:t xml:space="preserve"> </w:t>
      </w:r>
      <w:r>
        <w:rPr>
          <w:b/>
          <w:bCs/>
        </w:rPr>
        <w:t xml:space="preserve">contract floor</w:t>
      </w:r>
      <w:r>
        <w:t xml:space="preserve"> </w:t>
      </w:r>
      <w:r>
        <w:t xml:space="preserve">above shows that a meaningful portion of revenue is already visible. Second, the</w:t>
      </w:r>
      <w:r>
        <w:t xml:space="preserve"> </w:t>
      </w:r>
      <w:r>
        <w:rPr>
          <w:b/>
          <w:bCs/>
        </w:rPr>
        <w:t xml:space="preserve">employee and truck counts</w:t>
      </w:r>
      <w:r>
        <w:t xml:space="preserve"> </w:t>
      </w:r>
      <w:r>
        <w:t xml:space="preserve">suggest a platform much larger than a local or sub-regional operator. Third, the company’s own and partner materials indicate a mix of</w:t>
      </w:r>
      <w:r>
        <w:t xml:space="preserve"> </w:t>
      </w:r>
      <w:r>
        <w:rPr>
          <w:b/>
          <w:bCs/>
        </w:rPr>
        <w:t xml:space="preserve">municipal</w:t>
      </w:r>
      <w:r>
        <w:t xml:space="preserve">,</w:t>
      </w:r>
      <w:r>
        <w:t xml:space="preserve"> </w:t>
      </w:r>
      <w:r>
        <w:rPr>
          <w:b/>
          <w:bCs/>
        </w:rPr>
        <w:t xml:space="preserve">commercial</w:t>
      </w:r>
      <w:r>
        <w:t xml:space="preserve">,</w:t>
      </w:r>
      <w:r>
        <w:t xml:space="preserve"> </w:t>
      </w:r>
      <w:r>
        <w:rPr>
          <w:b/>
          <w:bCs/>
        </w:rPr>
        <w:t xml:space="preserve">transfer</w:t>
      </w:r>
      <w:r>
        <w:t xml:space="preserve">,</w:t>
      </w:r>
      <w:r>
        <w:t xml:space="preserve"> </w:t>
      </w:r>
      <w:r>
        <w:rPr>
          <w:b/>
          <w:bCs/>
        </w:rPr>
        <w:t xml:space="preserve">recycling</w:t>
      </w:r>
      <w:r>
        <w:t xml:space="preserve">,</w:t>
      </w:r>
      <w:r>
        <w:t xml:space="preserve"> </w:t>
      </w:r>
      <w:r>
        <w:rPr>
          <w:b/>
          <w:bCs/>
        </w:rPr>
        <w:t xml:space="preserve">organics</w:t>
      </w:r>
      <w:r>
        <w:t xml:space="preserve">, and</w:t>
      </w:r>
      <w:r>
        <w:t xml:space="preserve"> </w:t>
      </w:r>
      <w:r>
        <w:rPr>
          <w:b/>
          <w:bCs/>
        </w:rPr>
        <w:t xml:space="preserve">hazardous waste</w:t>
      </w:r>
      <w:r>
        <w:t xml:space="preserve"> </w:t>
      </w:r>
      <w:r>
        <w:t xml:space="preserve">activities across multiple provinces. On that basis, I set total revenue scenarios at</w:t>
      </w:r>
      <w:r>
        <w:t xml:space="preserve"> </w:t>
      </w:r>
      <w:r>
        <w:rPr>
          <w:b/>
          <w:bCs/>
        </w:rPr>
        <w:t xml:space="preserve">C$500 million</w:t>
      </w:r>
      <w:r>
        <w:t xml:space="preserve">,</w:t>
      </w:r>
      <w:r>
        <w:t xml:space="preserve"> </w:t>
      </w:r>
      <w:r>
        <w:rPr>
          <w:b/>
          <w:bCs/>
        </w:rPr>
        <w:t xml:space="preserve">C$650 million</w:t>
      </w:r>
      <w:r>
        <w:t xml:space="preserve">, and</w:t>
      </w:r>
      <w:r>
        <w:t xml:space="preserve"> </w:t>
      </w:r>
      <w:r>
        <w:rPr>
          <w:b/>
          <w:bCs/>
        </w:rPr>
        <w:t xml:space="preserve">C$800 million</w:t>
      </w:r>
      <w:r>
        <w:t xml:space="preserve">. Those translate into approximately</w:t>
      </w:r>
      <w:r>
        <w:t xml:space="preserve"> </w:t>
      </w:r>
      <w:r>
        <w:rPr>
          <w:b/>
          <w:bCs/>
        </w:rPr>
        <w:t xml:space="preserve">C$263,000</w:t>
      </w:r>
      <w:r>
        <w:t xml:space="preserve">,</w:t>
      </w:r>
      <w:r>
        <w:t xml:space="preserve"> </w:t>
      </w:r>
      <w:r>
        <w:rPr>
          <w:b/>
          <w:bCs/>
        </w:rPr>
        <w:t xml:space="preserve">C$342,000</w:t>
      </w:r>
      <w:r>
        <w:t xml:space="preserve">, and</w:t>
      </w:r>
      <w:r>
        <w:t xml:space="preserve"> </w:t>
      </w:r>
      <w:r>
        <w:rPr>
          <w:b/>
          <w:bCs/>
        </w:rPr>
        <w:t xml:space="preserve">C$421,000</w:t>
      </w:r>
      <w:r>
        <w:t xml:space="preserve"> </w:t>
      </w:r>
      <w:r>
        <w:t xml:space="preserve">of revenue per truck-equivalent using the AMCS fleet count of 1,900, and approximately</w:t>
      </w:r>
      <w:r>
        <w:t xml:space="preserve"> </w:t>
      </w:r>
      <w:r>
        <w:rPr>
          <w:b/>
          <w:bCs/>
        </w:rPr>
        <w:t xml:space="preserve">C$167,000</w:t>
      </w:r>
      <w:r>
        <w:t xml:space="preserve">,</w:t>
      </w:r>
      <w:r>
        <w:t xml:space="preserve"> </w:t>
      </w:r>
      <w:r>
        <w:rPr>
          <w:b/>
          <w:bCs/>
        </w:rPr>
        <w:t xml:space="preserve">C$217,000</w:t>
      </w:r>
      <w:r>
        <w:t xml:space="preserve">, and</w:t>
      </w:r>
      <w:r>
        <w:t xml:space="preserve"> </w:t>
      </w:r>
      <w:r>
        <w:rPr>
          <w:b/>
          <w:bCs/>
        </w:rPr>
        <w:t xml:space="preserve">C$267,000</w:t>
      </w:r>
      <w:r>
        <w:t xml:space="preserve"> </w:t>
      </w:r>
      <w:r>
        <w:t xml:space="preserve">of revenue per employee using the 3,000-employee count.</w:t>
      </w:r>
      <w:r>
        <w:t xml:space="preserve"> </w:t>
      </w:r>
      <w:hyperlink r:id="rId27">
        <w:r>
          <w:rPr>
            <w:rStyle w:val="Hyperlink"/>
          </w:rPr>
          <w:t xml:space="preserve">[17]</w:t>
        </w:r>
      </w:hyperlink>
    </w:p>
    <w:p>
      <w:pPr>
        <w:pStyle w:val="BodyText"/>
      </w:pPr>
      <w:r>
        <w:t xml:space="preserve">I split the business into two valuation blocks. The first is</w:t>
      </w:r>
      <w:r>
        <w:t xml:space="preserve"> </w:t>
      </w:r>
      <w:r>
        <w:rPr>
          <w:b/>
          <w:bCs/>
        </w:rPr>
        <w:t xml:space="preserve">core Miller Waste / Compost / retained organics and recycling / transfer / collection</w:t>
      </w:r>
      <w:r>
        <w:t xml:space="preserve">, which I treat as the dominant revenue source. The second is</w:t>
      </w:r>
      <w:r>
        <w:t xml:space="preserve"> </w:t>
      </w:r>
      <w:r>
        <w:rPr>
          <w:b/>
          <w:bCs/>
        </w:rPr>
        <w:t xml:space="preserve">Miller Environmental hazardous waste and related environmental services</w:t>
      </w:r>
      <w:r>
        <w:t xml:space="preserve">, which I model as the smaller but higher-margin segment. That segmentation is supported by White Owl’s own historic description of Miller Environmental as a hazardous-waste leader in Manitoba, by Miller’s current operating-line presentation, and by public-sector evidence that hazardous-waste and environmental solution segments can carry higher EBITDA margins than ordinary hauling. Republic’s Environmental Solutions segment generated</w:t>
      </w:r>
      <w:r>
        <w:t xml:space="preserve"> </w:t>
      </w:r>
      <w:r>
        <w:rPr>
          <w:b/>
          <w:bCs/>
        </w:rPr>
        <w:t xml:space="preserve">US$372 million of adjusted EBITDA on US$1.766 billion of revenue</w:t>
      </w:r>
      <w:r>
        <w:t xml:space="preserve"> </w:t>
      </w:r>
      <w:r>
        <w:t xml:space="preserve">in 2025, while Clean Harbors reported</w:t>
      </w:r>
      <w:r>
        <w:t xml:space="preserve"> </w:t>
      </w:r>
      <w:r>
        <w:rPr>
          <w:b/>
          <w:bCs/>
        </w:rPr>
        <w:t xml:space="preserve">US$1.17 billion of adjusted EBITDA on US$6.03 billion of revenue</w:t>
      </w:r>
      <w:r>
        <w:t xml:space="preserve"> </w:t>
      </w:r>
      <w:r>
        <w:t xml:space="preserve">for 2025 and</w:t>
      </w:r>
      <w:r>
        <w:t xml:space="preserve"> </w:t>
      </w:r>
      <w:r>
        <w:rPr>
          <w:b/>
          <w:bCs/>
        </w:rPr>
        <w:t xml:space="preserve">US$1.344 billion of segment adjusted EBITDA on US$5.193 billion of Environmental Services revenue</w:t>
      </w:r>
      <w:r>
        <w:t xml:space="preserve">.</w:t>
      </w:r>
      <w:r>
        <w:t xml:space="preserve"> </w:t>
      </w:r>
      <w:hyperlink r:id="rId24">
        <w:r>
          <w:rPr>
            <w:rStyle w:val="Hyperlink"/>
          </w:rPr>
          <w:t xml:space="preserve">[18]</w:t>
        </w:r>
      </w:hyperlink>
    </w:p>
    <w:p>
      <w:pPr>
        <w:pStyle w:val="BodyText"/>
      </w:pPr>
      <w:r>
        <w:t xml:space="preserve">The multiple framework starts from public comp evidence and then discounts it. WM, Republic, Waste Connections, Casella, and Clean Harbors all screen around the</w:t>
      </w:r>
      <w:r>
        <w:t xml:space="preserve"> </w:t>
      </w:r>
      <w:r>
        <w:rPr>
          <w:b/>
          <w:bCs/>
        </w:rPr>
        <w:t xml:space="preserve">mid-teens EV/EBITDA</w:t>
      </w:r>
      <w:r>
        <w:t xml:space="preserve">, while GFL screens materially lower at about</w:t>
      </w:r>
      <w:r>
        <w:t xml:space="preserve"> </w:t>
      </w:r>
      <w:r>
        <w:rPr>
          <w:b/>
          <w:bCs/>
        </w:rPr>
        <w:t xml:space="preserve">10x</w:t>
      </w:r>
      <w:r>
        <w:t xml:space="preserve"> </w:t>
      </w:r>
      <w:r>
        <w:t xml:space="preserve">based on its current simplified portfolio and lower leverage after major asset monetizations. I then discount Miller’s core business to</w:t>
      </w:r>
      <w:r>
        <w:t xml:space="preserve"> </w:t>
      </w:r>
      <w:r>
        <w:rPr>
          <w:b/>
          <w:bCs/>
        </w:rPr>
        <w:t xml:space="preserve">7.5x to 10.0x</w:t>
      </w:r>
      <w:r>
        <w:t xml:space="preserve"> </w:t>
      </w:r>
      <w:r>
        <w:t xml:space="preserve">because Miller says it</w:t>
      </w:r>
      <w:r>
        <w:t xml:space="preserve"> </w:t>
      </w:r>
      <w:r>
        <w:rPr>
          <w:b/>
          <w:bCs/>
        </w:rPr>
        <w:t xml:space="preserve">does not own landfills</w:t>
      </w:r>
      <w:r>
        <w:t xml:space="preserve">, the 2026 Walker sale removed the more obvious specialty biogas/RNG valuation premium, and there is no public EBITDA disclosure. For Miller Environmental, I use</w:t>
      </w:r>
      <w:r>
        <w:t xml:space="preserve"> </w:t>
      </w:r>
      <w:r>
        <w:rPr>
          <w:b/>
          <w:bCs/>
        </w:rPr>
        <w:t xml:space="preserve">9.0x to 12.5x</w:t>
      </w:r>
      <w:r>
        <w:t xml:space="preserve">, still below or around public hazardous/environmental benchmarks. As a Canadian M&amp;A anchor, GFL’s announced Terrapure purchase was</w:t>
      </w:r>
      <w:r>
        <w:t xml:space="preserve"> </w:t>
      </w:r>
      <w:r>
        <w:rPr>
          <w:b/>
          <w:bCs/>
        </w:rPr>
        <w:t xml:space="preserve">C$927.5 million</w:t>
      </w:r>
      <w:r>
        <w:t xml:space="preserve"> </w:t>
      </w:r>
      <w:r>
        <w:t xml:space="preserve">for a target with</w:t>
      </w:r>
      <w:r>
        <w:t xml:space="preserve"> </w:t>
      </w:r>
      <w:r>
        <w:rPr>
          <w:b/>
          <w:bCs/>
        </w:rPr>
        <w:t xml:space="preserve">C$375 million of annualized revenue</w:t>
      </w:r>
      <w:r>
        <w:t xml:space="preserve"> </w:t>
      </w:r>
      <w:r>
        <w:t xml:space="preserve">and</w:t>
      </w:r>
      <w:r>
        <w:t xml:space="preserve"> </w:t>
      </w:r>
      <w:r>
        <w:rPr>
          <w:b/>
          <w:bCs/>
        </w:rPr>
        <w:t xml:space="preserve">C$110 million of adjusted EBITDA including C$12.5 million of synergies</w:t>
      </w:r>
      <w:r>
        <w:t xml:space="preserve">, implying about</w:t>
      </w:r>
      <w:r>
        <w:t xml:space="preserve"> </w:t>
      </w:r>
      <w:r>
        <w:rPr>
          <w:b/>
          <w:bCs/>
        </w:rPr>
        <w:t xml:space="preserve">8.4x EBITDA including synergies</w:t>
      </w:r>
      <w:r>
        <w:t xml:space="preserve"> </w:t>
      </w:r>
      <w:r>
        <w:t xml:space="preserve">and roughly</w:t>
      </w:r>
      <w:r>
        <w:t xml:space="preserve"> </w:t>
      </w:r>
      <w:r>
        <w:rPr>
          <w:b/>
          <w:bCs/>
        </w:rPr>
        <w:t xml:space="preserve">2.5x revenue</w:t>
      </w:r>
      <w:r>
        <w:t xml:space="preserve">. That transaction is an important floor for a scaled Canadian environmental platform.</w:t>
      </w:r>
      <w:r>
        <w:t xml:space="preserve"> </w:t>
      </w:r>
      <w:hyperlink r:id="rId23">
        <w:r>
          <w:rPr>
            <w:rStyle w:val="Hyperlink"/>
          </w:rPr>
          <w:t xml:space="preserve">[19]</w:t>
        </w:r>
      </w:hyperlink>
    </w:p>
    <w:p>
      <w:pPr>
        <w:pStyle w:val="BodyText"/>
      </w:pPr>
      <w:r>
        <w:t xml:space="preserve">Net debt is the least observable item. I found</w:t>
      </w:r>
      <w:r>
        <w:t xml:space="preserve"> </w:t>
      </w:r>
      <w:r>
        <w:rPr>
          <w:b/>
          <w:bCs/>
        </w:rPr>
        <w:t xml:space="preserve">no public disclosure of Miller opco debt</w:t>
      </w:r>
      <w:r>
        <w:t xml:space="preserve">, lease debt, equipment financing, internal shareholder loans, or post-closure liabilities. I therefore treat net debt as</w:t>
      </w:r>
      <w:r>
        <w:t xml:space="preserve"> </w:t>
      </w:r>
      <w:r>
        <w:rPr>
          <w:b/>
          <w:bCs/>
        </w:rPr>
        <w:t xml:space="preserve">unspecified</w:t>
      </w:r>
      <w:r>
        <w:t xml:space="preserve"> </w:t>
      </w:r>
      <w:r>
        <w:t xml:space="preserve">and model it at</w:t>
      </w:r>
      <w:r>
        <w:t xml:space="preserve"> </w:t>
      </w:r>
      <w:r>
        <w:rPr>
          <w:b/>
          <w:bCs/>
        </w:rPr>
        <w:t xml:space="preserve">3.0x EBITDA</w:t>
      </w:r>
      <w:r>
        <w:t xml:space="preserve"> </w:t>
      </w:r>
      <w:r>
        <w:t xml:space="preserve">in the conservative case,</w:t>
      </w:r>
      <w:r>
        <w:t xml:space="preserve"> </w:t>
      </w:r>
      <w:r>
        <w:rPr>
          <w:b/>
          <w:bCs/>
        </w:rPr>
        <w:t xml:space="preserve">2.5x EBITDA</w:t>
      </w:r>
      <w:r>
        <w:t xml:space="preserve"> </w:t>
      </w:r>
      <w:r>
        <w:t xml:space="preserve">in the base case, and</w:t>
      </w:r>
      <w:r>
        <w:t xml:space="preserve"> </w:t>
      </w:r>
      <w:r>
        <w:rPr>
          <w:b/>
          <w:bCs/>
        </w:rPr>
        <w:t xml:space="preserve">2.0x EBITDA</w:t>
      </w:r>
      <w:r>
        <w:t xml:space="preserve"> </w:t>
      </w:r>
      <w:r>
        <w:t xml:space="preserve">in the aggressive case. Those assumptions are not heroic: Waste Connections reported</w:t>
      </w:r>
      <w:r>
        <w:t xml:space="preserve"> </w:t>
      </w:r>
      <w:r>
        <w:rPr>
          <w:b/>
          <w:bCs/>
        </w:rPr>
        <w:t xml:space="preserve">2.75x year-end debt-to-EBITDA</w:t>
      </w:r>
      <w:r>
        <w:t xml:space="preserve">, Republic reported approximately</w:t>
      </w:r>
      <w:r>
        <w:t xml:space="preserve"> </w:t>
      </w:r>
      <w:r>
        <w:rPr>
          <w:b/>
          <w:bCs/>
        </w:rPr>
        <w:t xml:space="preserve">2.6x total debt-to-EBITDA</w:t>
      </w:r>
      <w:r>
        <w:t xml:space="preserve">, WM’s year-end debt and cash imply about</w:t>
      </w:r>
      <w:r>
        <w:t xml:space="preserve"> </w:t>
      </w:r>
      <w:r>
        <w:rPr>
          <w:b/>
          <w:bCs/>
        </w:rPr>
        <w:t xml:space="preserve">3.0x net debt-to-EBITDA</w:t>
      </w:r>
      <w:r>
        <w:t xml:space="preserve">, GFL reported</w:t>
      </w:r>
      <w:r>
        <w:t xml:space="preserve"> </w:t>
      </w:r>
      <w:r>
        <w:rPr>
          <w:b/>
          <w:bCs/>
        </w:rPr>
        <w:t xml:space="preserve">3.4x net leverage</w:t>
      </w:r>
      <w:r>
        <w:t xml:space="preserve">, and Casella reported a</w:t>
      </w:r>
      <w:r>
        <w:t xml:space="preserve"> </w:t>
      </w:r>
      <w:r>
        <w:rPr>
          <w:b/>
          <w:bCs/>
        </w:rPr>
        <w:t xml:space="preserve">2.34x consolidated net leverage ratio</w:t>
      </w:r>
      <w:r>
        <w:t xml:space="preserve">.</w:t>
      </w:r>
      <w:r>
        <w:t xml:space="preserve"> </w:t>
      </w:r>
      <w:hyperlink r:id="rId39">
        <w:r>
          <w:rPr>
            <w:rStyle w:val="Hyperlink"/>
          </w:rPr>
          <w:t xml:space="preserve">[20]</w:t>
        </w:r>
      </w:hyperlink>
    </w:p>
    <w:bookmarkEnd w:id="40"/>
    <w:bookmarkStart w:id="41" w:name="valuation-scenarios"/>
    <w:p>
      <w:pPr>
        <w:pStyle w:val="Heading2"/>
      </w:pPr>
      <w:r>
        <w:t xml:space="preserve">Valuation scenarios</w:t>
      </w:r>
    </w:p>
    <w:p>
      <w:pPr>
        <w:pStyle w:val="FirstParagraph"/>
      </w:pPr>
      <w:r>
        <w:t xml:space="preserve">The scenario assumptions are as follows.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Assumption</w:t>
            </w:r>
          </w:p>
        </w:tc>
        <w:tc>
          <w:tcPr/>
          <w:p>
            <w:pPr>
              <w:pStyle w:val="Compact"/>
              <w:jc w:val="right"/>
            </w:pPr>
            <w:r>
              <w:t xml:space="preserve">Conservative</w:t>
            </w:r>
          </w:p>
        </w:tc>
        <w:tc>
          <w:tcPr/>
          <w:p>
            <w:pPr>
              <w:pStyle w:val="Compact"/>
              <w:jc w:val="right"/>
            </w:pPr>
            <w:r>
              <w:t xml:space="preserve">Base</w:t>
            </w:r>
          </w:p>
        </w:tc>
        <w:tc>
          <w:tcPr/>
          <w:p>
            <w:pPr>
              <w:pStyle w:val="Compact"/>
              <w:jc w:val="right"/>
            </w:pPr>
            <w:r>
              <w:t xml:space="preserve">Aggressive</w:t>
            </w:r>
          </w:p>
        </w:tc>
      </w:tr>
      <w:tr>
        <w:tc>
          <w:tcPr/>
          <w:p>
            <w:pPr>
              <w:pStyle w:val="Compact"/>
            </w:pPr>
            <w:r>
              <w:t xml:space="preserve">Core waste / recycling / compost / transfer revenue</w:t>
            </w:r>
          </w:p>
        </w:tc>
        <w:tc>
          <w:tcPr/>
          <w:p>
            <w:pPr>
              <w:pStyle w:val="Compact"/>
              <w:jc w:val="right"/>
            </w:pPr>
            <w:r>
              <w:t xml:space="preserve">450</w:t>
            </w:r>
          </w:p>
        </w:tc>
        <w:tc>
          <w:tcPr/>
          <w:p>
            <w:pPr>
              <w:pStyle w:val="Compact"/>
              <w:jc w:val="right"/>
            </w:pPr>
            <w:r>
              <w:t xml:space="preserve">575</w:t>
            </w:r>
          </w:p>
        </w:tc>
        <w:tc>
          <w:tcPr/>
          <w:p>
            <w:pPr>
              <w:pStyle w:val="Compact"/>
              <w:jc w:val="right"/>
            </w:pPr>
            <w:r>
              <w:t xml:space="preserve">700</w:t>
            </w:r>
          </w:p>
        </w:tc>
      </w:tr>
      <w:tr>
        <w:tc>
          <w:tcPr/>
          <w:p>
            <w:pPr>
              <w:pStyle w:val="Compact"/>
            </w:pPr>
            <w:r>
              <w:t xml:space="preserve">Hazardous / environmental revenue</w:t>
            </w:r>
          </w:p>
        </w:tc>
        <w:tc>
          <w:tcPr/>
          <w:p>
            <w:pPr>
              <w:pStyle w:val="Compact"/>
              <w:jc w:val="right"/>
            </w:pPr>
            <w:r>
              <w:t xml:space="preserve">50</w:t>
            </w:r>
          </w:p>
        </w:tc>
        <w:tc>
          <w:tcPr/>
          <w:p>
            <w:pPr>
              <w:pStyle w:val="Compact"/>
              <w:jc w:val="right"/>
            </w:pPr>
            <w:r>
              <w:t xml:space="preserve">75</w:t>
            </w:r>
          </w:p>
        </w:tc>
        <w:tc>
          <w:tcPr/>
          <w:p>
            <w:pPr>
              <w:pStyle w:val="Compact"/>
              <w:jc w:val="right"/>
            </w:pPr>
            <w:r>
              <w:t xml:space="preserve">100</w:t>
            </w:r>
          </w:p>
        </w:tc>
      </w:tr>
      <w:tr>
        <w:tc>
          <w:tcPr/>
          <w:p>
            <w:pPr>
              <w:pStyle w:val="Compact"/>
            </w:pPr>
            <w:r>
              <w:rPr>
                <w:b/>
                <w:bCs/>
              </w:rPr>
              <w:t xml:space="preserve">Total revenue</w:t>
            </w:r>
          </w:p>
        </w:tc>
        <w:tc>
          <w:tcPr/>
          <w:p>
            <w:pPr>
              <w:pStyle w:val="Compact"/>
              <w:jc w:val="right"/>
            </w:pPr>
            <w:r>
              <w:rPr>
                <w:b/>
                <w:bCs/>
              </w:rPr>
              <w:t xml:space="preserve">500</w:t>
            </w:r>
          </w:p>
        </w:tc>
        <w:tc>
          <w:tcPr/>
          <w:p>
            <w:pPr>
              <w:pStyle w:val="Compact"/>
              <w:jc w:val="right"/>
            </w:pPr>
            <w:r>
              <w:rPr>
                <w:b/>
                <w:bCs/>
              </w:rPr>
              <w:t xml:space="preserve">650</w:t>
            </w:r>
          </w:p>
        </w:tc>
        <w:tc>
          <w:tcPr/>
          <w:p>
            <w:pPr>
              <w:pStyle w:val="Compact"/>
              <w:jc w:val="right"/>
            </w:pPr>
            <w:r>
              <w:rPr>
                <w:b/>
                <w:bCs/>
              </w:rPr>
              <w:t xml:space="preserve">800</w:t>
            </w:r>
          </w:p>
        </w:tc>
      </w:tr>
      <w:tr>
        <w:tc>
          <w:tcPr/>
          <w:p>
            <w:pPr>
              <w:pStyle w:val="Compact"/>
            </w:pPr>
            <w:r>
              <w:t xml:space="preserve">Core EBITDA margin</w:t>
            </w:r>
          </w:p>
        </w:tc>
        <w:tc>
          <w:tcPr/>
          <w:p>
            <w:pPr>
              <w:pStyle w:val="Compact"/>
              <w:jc w:val="right"/>
            </w:pPr>
            <w:r>
              <w:t xml:space="preserve">10.5%</w:t>
            </w:r>
          </w:p>
        </w:tc>
        <w:tc>
          <w:tcPr/>
          <w:p>
            <w:pPr>
              <w:pStyle w:val="Compact"/>
              <w:jc w:val="right"/>
            </w:pPr>
            <w:r>
              <w:t xml:space="preserve">12.5%</w:t>
            </w:r>
          </w:p>
        </w:tc>
        <w:tc>
          <w:tcPr/>
          <w:p>
            <w:pPr>
              <w:pStyle w:val="Compact"/>
              <w:jc w:val="right"/>
            </w:pPr>
            <w:r>
              <w:t xml:space="preserve">14.0%</w:t>
            </w:r>
          </w:p>
        </w:tc>
      </w:tr>
      <w:tr>
        <w:tc>
          <w:tcPr/>
          <w:p>
            <w:pPr>
              <w:pStyle w:val="Compact"/>
            </w:pPr>
            <w:r>
              <w:t xml:space="preserve">Hazardous EBITDA margin</w:t>
            </w:r>
          </w:p>
        </w:tc>
        <w:tc>
          <w:tcPr/>
          <w:p>
            <w:pPr>
              <w:pStyle w:val="Compact"/>
              <w:jc w:val="right"/>
            </w:pPr>
            <w:r>
              <w:t xml:space="preserve">14.0%</w:t>
            </w:r>
          </w:p>
        </w:tc>
        <w:tc>
          <w:tcPr/>
          <w:p>
            <w:pPr>
              <w:pStyle w:val="Compact"/>
              <w:jc w:val="right"/>
            </w:pPr>
            <w:r>
              <w:t xml:space="preserve">17.0%</w:t>
            </w:r>
          </w:p>
        </w:tc>
        <w:tc>
          <w:tcPr/>
          <w:p>
            <w:pPr>
              <w:pStyle w:val="Compact"/>
              <w:jc w:val="right"/>
            </w:pPr>
            <w:r>
              <w:t xml:space="preserve">20.0%</w:t>
            </w:r>
          </w:p>
        </w:tc>
      </w:tr>
      <w:tr>
        <w:tc>
          <w:tcPr/>
          <w:p>
            <w:pPr>
              <w:pStyle w:val="Compact"/>
            </w:pPr>
            <w:r>
              <w:t xml:space="preserve">Core EV / EBITDA</w:t>
            </w:r>
          </w:p>
        </w:tc>
        <w:tc>
          <w:tcPr/>
          <w:p>
            <w:pPr>
              <w:pStyle w:val="Compact"/>
              <w:jc w:val="right"/>
            </w:pPr>
            <w:r>
              <w:t xml:space="preserve">7.5x</w:t>
            </w:r>
          </w:p>
        </w:tc>
        <w:tc>
          <w:tcPr/>
          <w:p>
            <w:pPr>
              <w:pStyle w:val="Compact"/>
              <w:jc w:val="right"/>
            </w:pPr>
            <w:r>
              <w:t xml:space="preserve">9.0x</w:t>
            </w:r>
          </w:p>
        </w:tc>
        <w:tc>
          <w:tcPr/>
          <w:p>
            <w:pPr>
              <w:pStyle w:val="Compact"/>
              <w:jc w:val="right"/>
            </w:pPr>
            <w:r>
              <w:t xml:space="preserve">10.0x</w:t>
            </w:r>
          </w:p>
        </w:tc>
      </w:tr>
      <w:tr>
        <w:tc>
          <w:tcPr/>
          <w:p>
            <w:pPr>
              <w:pStyle w:val="Compact"/>
            </w:pPr>
            <w:r>
              <w:t xml:space="preserve">Hazardous EV / EBITDA</w:t>
            </w:r>
          </w:p>
        </w:tc>
        <w:tc>
          <w:tcPr/>
          <w:p>
            <w:pPr>
              <w:pStyle w:val="Compact"/>
              <w:jc w:val="right"/>
            </w:pPr>
            <w:r>
              <w:t xml:space="preserve">9.0x</w:t>
            </w:r>
          </w:p>
        </w:tc>
        <w:tc>
          <w:tcPr/>
          <w:p>
            <w:pPr>
              <w:pStyle w:val="Compact"/>
              <w:jc w:val="right"/>
            </w:pPr>
            <w:r>
              <w:t xml:space="preserve">11.0x</w:t>
            </w:r>
          </w:p>
        </w:tc>
        <w:tc>
          <w:tcPr/>
          <w:p>
            <w:pPr>
              <w:pStyle w:val="Compact"/>
              <w:jc w:val="right"/>
            </w:pPr>
            <w:r>
              <w:t xml:space="preserve">12.5x</w:t>
            </w:r>
          </w:p>
        </w:tc>
      </w:tr>
      <w:tr>
        <w:tc>
          <w:tcPr/>
          <w:p>
            <w:pPr>
              <w:pStyle w:val="Compact"/>
            </w:pPr>
            <w:r>
              <w:t xml:space="preserve">Assumed net debt / EBITDA</w:t>
            </w:r>
          </w:p>
        </w:tc>
        <w:tc>
          <w:tcPr/>
          <w:p>
            <w:pPr>
              <w:pStyle w:val="Compact"/>
              <w:jc w:val="right"/>
            </w:pPr>
            <w:r>
              <w:t xml:space="preserve">3.0x</w:t>
            </w:r>
          </w:p>
        </w:tc>
        <w:tc>
          <w:tcPr/>
          <w:p>
            <w:pPr>
              <w:pStyle w:val="Compact"/>
              <w:jc w:val="right"/>
            </w:pPr>
            <w:r>
              <w:t xml:space="preserve">2.5x</w:t>
            </w:r>
          </w:p>
        </w:tc>
        <w:tc>
          <w:tcPr/>
          <w:p>
            <w:pPr>
              <w:pStyle w:val="Compact"/>
              <w:jc w:val="right"/>
            </w:pPr>
            <w:r>
              <w:t xml:space="preserve">2.0x</w:t>
            </w:r>
          </w:p>
        </w:tc>
      </w:tr>
    </w:tbl>
    <w:p>
      <w:pPr>
        <w:pStyle w:val="BodyText"/>
      </w:pPr>
      <w:r>
        <w:t xml:space="preserve">Those assumptions intentionally reserve the</w:t>
      </w:r>
      <w:r>
        <w:t xml:space="preserve"> </w:t>
      </w:r>
      <w:r>
        <w:rPr>
          <w:b/>
          <w:bCs/>
        </w:rPr>
        <w:t xml:space="preserve">highest multiples and margins</w:t>
      </w:r>
      <w:r>
        <w:t xml:space="preserve"> </w:t>
      </w:r>
      <w:r>
        <w:t xml:space="preserve">for hazardous/environmental operations, keep the</w:t>
      </w:r>
      <w:r>
        <w:t xml:space="preserve"> </w:t>
      </w:r>
      <w:r>
        <w:rPr>
          <w:b/>
          <w:bCs/>
        </w:rPr>
        <w:t xml:space="preserve">core business below public landfill-owning comp multiples</w:t>
      </w:r>
      <w:r>
        <w:t xml:space="preserve">, and give</w:t>
      </w:r>
      <w:r>
        <w:t xml:space="preserve"> </w:t>
      </w:r>
      <w:r>
        <w:rPr>
          <w:b/>
          <w:bCs/>
        </w:rPr>
        <w:t xml:space="preserve">no valuation credit</w:t>
      </w:r>
      <w:r>
        <w:t xml:space="preserve"> </w:t>
      </w:r>
      <w:r>
        <w:t xml:space="preserve">to the sold Walker biogas assets. They also do</w:t>
      </w:r>
      <w:r>
        <w:t xml:space="preserve"> </w:t>
      </w:r>
      <w:r>
        <w:rPr>
          <w:b/>
          <w:bCs/>
        </w:rPr>
        <w:t xml:space="preserve">not</w:t>
      </w:r>
      <w:r>
        <w:t xml:space="preserve"> </w:t>
      </w:r>
      <w:r>
        <w:t xml:space="preserve">assume any debt paydown from the Walker transaction, because sale proceeds and debt allocation were not publicly disclosed in the sources reviewed.</w:t>
      </w:r>
      <w:r>
        <w:t xml:space="preserve"> </w:t>
      </w:r>
      <w:hyperlink r:id="rId33">
        <w:r>
          <w:rPr>
            <w:rStyle w:val="Hyperlink"/>
          </w:rPr>
          <w:t xml:space="preserve">[21]</w:t>
        </w:r>
      </w:hyperlink>
    </w:p>
    <w:p>
      <w:pPr>
        <w:pStyle w:val="BodyText"/>
      </w:pPr>
      <w:r>
        <w:t xml:space="preserve">The resulting valuation model is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 millions unless noted</w:t>
            </w:r>
          </w:p>
        </w:tc>
        <w:tc>
          <w:tcPr/>
          <w:p>
            <w:pPr>
              <w:pStyle w:val="Compact"/>
              <w:jc w:val="right"/>
            </w:pPr>
            <w:r>
              <w:t xml:space="preserve">Conservative</w:t>
            </w:r>
          </w:p>
        </w:tc>
        <w:tc>
          <w:tcPr/>
          <w:p>
            <w:pPr>
              <w:pStyle w:val="Compact"/>
              <w:jc w:val="right"/>
            </w:pPr>
            <w:r>
              <w:t xml:space="preserve">Base</w:t>
            </w:r>
          </w:p>
        </w:tc>
        <w:tc>
          <w:tcPr/>
          <w:p>
            <w:pPr>
              <w:pStyle w:val="Compact"/>
              <w:jc w:val="right"/>
            </w:pPr>
            <w:r>
              <w:t xml:space="preserve">Aggressive</w:t>
            </w:r>
          </w:p>
        </w:tc>
      </w:tr>
      <w:tr>
        <w:tc>
          <w:tcPr/>
          <w:p>
            <w:pPr>
              <w:pStyle w:val="Compact"/>
            </w:pPr>
            <w:r>
              <w:t xml:space="preserve">Core revenue</w:t>
            </w:r>
          </w:p>
        </w:tc>
        <w:tc>
          <w:tcPr/>
          <w:p>
            <w:pPr>
              <w:pStyle w:val="Compact"/>
              <w:jc w:val="right"/>
            </w:pPr>
            <w:r>
              <w:t xml:space="preserve">450.0</w:t>
            </w:r>
          </w:p>
        </w:tc>
        <w:tc>
          <w:tcPr/>
          <w:p>
            <w:pPr>
              <w:pStyle w:val="Compact"/>
              <w:jc w:val="right"/>
            </w:pPr>
            <w:r>
              <w:t xml:space="preserve">575.0</w:t>
            </w:r>
          </w:p>
        </w:tc>
        <w:tc>
          <w:tcPr/>
          <w:p>
            <w:pPr>
              <w:pStyle w:val="Compact"/>
              <w:jc w:val="right"/>
            </w:pPr>
            <w:r>
              <w:t xml:space="preserve">700.0</w:t>
            </w:r>
          </w:p>
        </w:tc>
      </w:tr>
      <w:tr>
        <w:tc>
          <w:tcPr/>
          <w:p>
            <w:pPr>
              <w:pStyle w:val="Compact"/>
            </w:pPr>
            <w:r>
              <w:t xml:space="preserve">Core EBITDA</w:t>
            </w:r>
          </w:p>
        </w:tc>
        <w:tc>
          <w:tcPr/>
          <w:p>
            <w:pPr>
              <w:pStyle w:val="Compact"/>
              <w:jc w:val="right"/>
            </w:pPr>
            <w:r>
              <w:t xml:space="preserve">47.3</w:t>
            </w:r>
          </w:p>
        </w:tc>
        <w:tc>
          <w:tcPr/>
          <w:p>
            <w:pPr>
              <w:pStyle w:val="Compact"/>
              <w:jc w:val="right"/>
            </w:pPr>
            <w:r>
              <w:t xml:space="preserve">71.9</w:t>
            </w:r>
          </w:p>
        </w:tc>
        <w:tc>
          <w:tcPr/>
          <w:p>
            <w:pPr>
              <w:pStyle w:val="Compact"/>
              <w:jc w:val="right"/>
            </w:pPr>
            <w:r>
              <w:t xml:space="preserve">98.0</w:t>
            </w:r>
          </w:p>
        </w:tc>
      </w:tr>
      <w:tr>
        <w:tc>
          <w:tcPr/>
          <w:p>
            <w:pPr>
              <w:pStyle w:val="Compact"/>
            </w:pPr>
            <w:r>
              <w:t xml:space="preserve">Hazardous revenue</w:t>
            </w:r>
          </w:p>
        </w:tc>
        <w:tc>
          <w:tcPr/>
          <w:p>
            <w:pPr>
              <w:pStyle w:val="Compact"/>
              <w:jc w:val="right"/>
            </w:pPr>
            <w:r>
              <w:t xml:space="preserve">50.0</w:t>
            </w:r>
          </w:p>
        </w:tc>
        <w:tc>
          <w:tcPr/>
          <w:p>
            <w:pPr>
              <w:pStyle w:val="Compact"/>
              <w:jc w:val="right"/>
            </w:pPr>
            <w:r>
              <w:t xml:space="preserve">75.0</w:t>
            </w:r>
          </w:p>
        </w:tc>
        <w:tc>
          <w:tcPr/>
          <w:p>
            <w:pPr>
              <w:pStyle w:val="Compact"/>
              <w:jc w:val="right"/>
            </w:pPr>
            <w:r>
              <w:t xml:space="preserve">100.0</w:t>
            </w:r>
          </w:p>
        </w:tc>
      </w:tr>
      <w:tr>
        <w:tc>
          <w:tcPr/>
          <w:p>
            <w:pPr>
              <w:pStyle w:val="Compact"/>
            </w:pPr>
            <w:r>
              <w:t xml:space="preserve">Hazardous EBITDA</w:t>
            </w:r>
          </w:p>
        </w:tc>
        <w:tc>
          <w:tcPr/>
          <w:p>
            <w:pPr>
              <w:pStyle w:val="Compact"/>
              <w:jc w:val="right"/>
            </w:pPr>
            <w:r>
              <w:t xml:space="preserve">7.0</w:t>
            </w:r>
          </w:p>
        </w:tc>
        <w:tc>
          <w:tcPr/>
          <w:p>
            <w:pPr>
              <w:pStyle w:val="Compact"/>
              <w:jc w:val="right"/>
            </w:pPr>
            <w:r>
              <w:t xml:space="preserve">12.8</w:t>
            </w:r>
          </w:p>
        </w:tc>
        <w:tc>
          <w:tcPr/>
          <w:p>
            <w:pPr>
              <w:pStyle w:val="Compact"/>
              <w:jc w:val="right"/>
            </w:pPr>
            <w:r>
              <w:t xml:space="preserve">20.0</w:t>
            </w:r>
          </w:p>
        </w:tc>
      </w:tr>
      <w:tr>
        <w:tc>
          <w:tcPr/>
          <w:p>
            <w:pPr>
              <w:pStyle w:val="Compact"/>
            </w:pPr>
            <w:r>
              <w:rPr>
                <w:b/>
                <w:bCs/>
              </w:rPr>
              <w:t xml:space="preserve">Total revenue</w:t>
            </w:r>
          </w:p>
        </w:tc>
        <w:tc>
          <w:tcPr/>
          <w:p>
            <w:pPr>
              <w:pStyle w:val="Compact"/>
              <w:jc w:val="right"/>
            </w:pPr>
            <w:r>
              <w:rPr>
                <w:b/>
                <w:bCs/>
              </w:rPr>
              <w:t xml:space="preserve">500.0</w:t>
            </w:r>
          </w:p>
        </w:tc>
        <w:tc>
          <w:tcPr/>
          <w:p>
            <w:pPr>
              <w:pStyle w:val="Compact"/>
              <w:jc w:val="right"/>
            </w:pPr>
            <w:r>
              <w:rPr>
                <w:b/>
                <w:bCs/>
              </w:rPr>
              <w:t xml:space="preserve">650.0</w:t>
            </w:r>
          </w:p>
        </w:tc>
        <w:tc>
          <w:tcPr/>
          <w:p>
            <w:pPr>
              <w:pStyle w:val="Compact"/>
              <w:jc w:val="right"/>
            </w:pPr>
            <w:r>
              <w:rPr>
                <w:b/>
                <w:bCs/>
              </w:rPr>
              <w:t xml:space="preserve">800.0</w:t>
            </w:r>
          </w:p>
        </w:tc>
      </w:tr>
      <w:tr>
        <w:tc>
          <w:tcPr/>
          <w:p>
            <w:pPr>
              <w:pStyle w:val="Compact"/>
            </w:pPr>
            <w:r>
              <w:rPr>
                <w:b/>
                <w:bCs/>
              </w:rPr>
              <w:t xml:space="preserve">Total EBITDA</w:t>
            </w:r>
          </w:p>
        </w:tc>
        <w:tc>
          <w:tcPr/>
          <w:p>
            <w:pPr>
              <w:pStyle w:val="Compact"/>
              <w:jc w:val="right"/>
            </w:pPr>
            <w:r>
              <w:rPr>
                <w:b/>
                <w:bCs/>
              </w:rPr>
              <w:t xml:space="preserve">54.3</w:t>
            </w:r>
          </w:p>
        </w:tc>
        <w:tc>
          <w:tcPr/>
          <w:p>
            <w:pPr>
              <w:pStyle w:val="Compact"/>
              <w:jc w:val="right"/>
            </w:pPr>
            <w:r>
              <w:rPr>
                <w:b/>
                <w:bCs/>
              </w:rPr>
              <w:t xml:space="preserve">84.7</w:t>
            </w:r>
          </w:p>
        </w:tc>
        <w:tc>
          <w:tcPr/>
          <w:p>
            <w:pPr>
              <w:pStyle w:val="Compact"/>
              <w:jc w:val="right"/>
            </w:pPr>
            <w:r>
              <w:rPr>
                <w:b/>
                <w:bCs/>
              </w:rPr>
              <w:t xml:space="preserve">118.0</w:t>
            </w:r>
          </w:p>
        </w:tc>
      </w:tr>
      <w:tr>
        <w:tc>
          <w:tcPr/>
          <w:p>
            <w:pPr>
              <w:pStyle w:val="Compact"/>
            </w:pPr>
            <w:r>
              <w:t xml:space="preserve">Core EV</w:t>
            </w:r>
          </w:p>
        </w:tc>
        <w:tc>
          <w:tcPr/>
          <w:p>
            <w:pPr>
              <w:pStyle w:val="Compact"/>
              <w:jc w:val="right"/>
            </w:pPr>
            <w:r>
              <w:t xml:space="preserve">354.8</w:t>
            </w:r>
          </w:p>
        </w:tc>
        <w:tc>
          <w:tcPr/>
          <w:p>
            <w:pPr>
              <w:pStyle w:val="Compact"/>
              <w:jc w:val="right"/>
            </w:pPr>
            <w:r>
              <w:t xml:space="preserve">646.9</w:t>
            </w:r>
          </w:p>
        </w:tc>
        <w:tc>
          <w:tcPr/>
          <w:p>
            <w:pPr>
              <w:pStyle w:val="Compact"/>
              <w:jc w:val="right"/>
            </w:pPr>
            <w:r>
              <w:t xml:space="preserve">980.0</w:t>
            </w:r>
          </w:p>
        </w:tc>
      </w:tr>
      <w:tr>
        <w:tc>
          <w:tcPr/>
          <w:p>
            <w:pPr>
              <w:pStyle w:val="Compact"/>
            </w:pPr>
            <w:r>
              <w:t xml:space="preserve">Hazardous EV</w:t>
            </w:r>
          </w:p>
        </w:tc>
        <w:tc>
          <w:tcPr/>
          <w:p>
            <w:pPr>
              <w:pStyle w:val="Compact"/>
              <w:jc w:val="right"/>
            </w:pPr>
            <w:r>
              <w:t xml:space="preserve">63.0</w:t>
            </w:r>
          </w:p>
        </w:tc>
        <w:tc>
          <w:tcPr/>
          <w:p>
            <w:pPr>
              <w:pStyle w:val="Compact"/>
              <w:jc w:val="right"/>
            </w:pPr>
            <w:r>
              <w:t xml:space="preserve">140.3</w:t>
            </w:r>
          </w:p>
        </w:tc>
        <w:tc>
          <w:tcPr/>
          <w:p>
            <w:pPr>
              <w:pStyle w:val="Compact"/>
              <w:jc w:val="right"/>
            </w:pPr>
            <w:r>
              <w:t xml:space="preserve">250.0</w:t>
            </w:r>
          </w:p>
        </w:tc>
      </w:tr>
      <w:tr>
        <w:tc>
          <w:tcPr/>
          <w:p>
            <w:pPr>
              <w:pStyle w:val="Compact"/>
            </w:pPr>
            <w:r>
              <w:rPr>
                <w:b/>
                <w:bCs/>
              </w:rPr>
              <w:t xml:space="preserve">Enterprise value</w:t>
            </w:r>
          </w:p>
        </w:tc>
        <w:tc>
          <w:tcPr/>
          <w:p>
            <w:pPr>
              <w:pStyle w:val="Compact"/>
              <w:jc w:val="right"/>
            </w:pPr>
            <w:r>
              <w:rPr>
                <w:b/>
                <w:bCs/>
              </w:rPr>
              <w:t xml:space="preserve">417.8</w:t>
            </w:r>
          </w:p>
        </w:tc>
        <w:tc>
          <w:tcPr/>
          <w:p>
            <w:pPr>
              <w:pStyle w:val="Compact"/>
              <w:jc w:val="right"/>
            </w:pPr>
            <w:r>
              <w:rPr>
                <w:b/>
                <w:bCs/>
              </w:rPr>
              <w:t xml:space="preserve">787.2</w:t>
            </w:r>
          </w:p>
        </w:tc>
        <w:tc>
          <w:tcPr/>
          <w:p>
            <w:pPr>
              <w:pStyle w:val="Compact"/>
              <w:jc w:val="right"/>
            </w:pPr>
            <w:r>
              <w:rPr>
                <w:b/>
                <w:bCs/>
              </w:rPr>
              <w:t xml:space="preserve">1,230.0</w:t>
            </w:r>
          </w:p>
        </w:tc>
      </w:tr>
      <w:tr>
        <w:tc>
          <w:tcPr/>
          <w:p>
            <w:pPr>
              <w:pStyle w:val="Compact"/>
            </w:pPr>
            <w:r>
              <w:t xml:space="preserve">Assumed net debt</w:t>
            </w:r>
          </w:p>
        </w:tc>
        <w:tc>
          <w:tcPr/>
          <w:p>
            <w:pPr>
              <w:pStyle w:val="Compact"/>
              <w:jc w:val="right"/>
            </w:pPr>
            <w:r>
              <w:t xml:space="preserve">162.9</w:t>
            </w:r>
          </w:p>
        </w:tc>
        <w:tc>
          <w:tcPr/>
          <w:p>
            <w:pPr>
              <w:pStyle w:val="Compact"/>
              <w:jc w:val="right"/>
            </w:pPr>
            <w:r>
              <w:t xml:space="preserve">211.7</w:t>
            </w:r>
          </w:p>
        </w:tc>
        <w:tc>
          <w:tcPr/>
          <w:p>
            <w:pPr>
              <w:pStyle w:val="Compact"/>
              <w:jc w:val="right"/>
            </w:pPr>
            <w:r>
              <w:t xml:space="preserve">236.0</w:t>
            </w:r>
          </w:p>
        </w:tc>
      </w:tr>
      <w:tr>
        <w:tc>
          <w:tcPr/>
          <w:p>
            <w:pPr>
              <w:pStyle w:val="Compact"/>
            </w:pPr>
            <w:r>
              <w:rPr>
                <w:b/>
                <w:bCs/>
              </w:rPr>
              <w:t xml:space="preserve">Equity value</w:t>
            </w:r>
          </w:p>
        </w:tc>
        <w:tc>
          <w:tcPr/>
          <w:p>
            <w:pPr>
              <w:pStyle w:val="Compact"/>
              <w:jc w:val="right"/>
            </w:pPr>
            <w:r>
              <w:rPr>
                <w:b/>
                <w:bCs/>
              </w:rPr>
              <w:t xml:space="preserve">254.9</w:t>
            </w:r>
          </w:p>
        </w:tc>
        <w:tc>
          <w:tcPr/>
          <w:p>
            <w:pPr>
              <w:pStyle w:val="Compact"/>
              <w:jc w:val="right"/>
            </w:pPr>
            <w:r>
              <w:rPr>
                <w:b/>
                <w:bCs/>
              </w:rPr>
              <w:t xml:space="preserve">575.5</w:t>
            </w:r>
          </w:p>
        </w:tc>
        <w:tc>
          <w:tcPr/>
          <w:p>
            <w:pPr>
              <w:pStyle w:val="Compact"/>
              <w:jc w:val="right"/>
            </w:pPr>
            <w:r>
              <w:rPr>
                <w:b/>
                <w:bCs/>
              </w:rPr>
              <w:t xml:space="preserve">994.0</w:t>
            </w:r>
          </w:p>
        </w:tc>
      </w:tr>
      <w:tr>
        <w:tc>
          <w:tcPr/>
          <w:p>
            <w:pPr>
              <w:pStyle w:val="Compact"/>
            </w:pPr>
            <w:r>
              <w:t xml:space="preserve">Implied EBITDA margin</w:t>
            </w:r>
          </w:p>
        </w:tc>
        <w:tc>
          <w:tcPr/>
          <w:p>
            <w:pPr>
              <w:pStyle w:val="Compact"/>
              <w:jc w:val="right"/>
            </w:pPr>
            <w:r>
              <w:t xml:space="preserve">10.9%</w:t>
            </w:r>
          </w:p>
        </w:tc>
        <w:tc>
          <w:tcPr/>
          <w:p>
            <w:pPr>
              <w:pStyle w:val="Compact"/>
              <w:jc w:val="right"/>
            </w:pPr>
            <w:r>
              <w:t xml:space="preserve">13.0%</w:t>
            </w:r>
          </w:p>
        </w:tc>
        <w:tc>
          <w:tcPr/>
          <w:p>
            <w:pPr>
              <w:pStyle w:val="Compact"/>
              <w:jc w:val="right"/>
            </w:pPr>
            <w:r>
              <w:t xml:space="preserve">14.8%</w:t>
            </w:r>
          </w:p>
        </w:tc>
      </w:tr>
      <w:tr>
        <w:tc>
          <w:tcPr/>
          <w:p>
            <w:pPr>
              <w:pStyle w:val="Compact"/>
            </w:pPr>
            <w:r>
              <w:t xml:space="preserve">Implied EV / Revenue</w:t>
            </w:r>
          </w:p>
        </w:tc>
        <w:tc>
          <w:tcPr/>
          <w:p>
            <w:pPr>
              <w:pStyle w:val="Compact"/>
              <w:jc w:val="right"/>
            </w:pPr>
            <w:r>
              <w:t xml:space="preserve">0.84x</w:t>
            </w:r>
          </w:p>
        </w:tc>
        <w:tc>
          <w:tcPr/>
          <w:p>
            <w:pPr>
              <w:pStyle w:val="Compact"/>
              <w:jc w:val="right"/>
            </w:pPr>
            <w:r>
              <w:t xml:space="preserve">1.21x</w:t>
            </w:r>
          </w:p>
        </w:tc>
        <w:tc>
          <w:tcPr/>
          <w:p>
            <w:pPr>
              <w:pStyle w:val="Compact"/>
              <w:jc w:val="right"/>
            </w:pPr>
            <w:r>
              <w:t xml:space="preserve">1.54x</w:t>
            </w:r>
          </w:p>
        </w:tc>
      </w:tr>
      <w:tr>
        <w:tc>
          <w:tcPr/>
          <w:p>
            <w:pPr>
              <w:pStyle w:val="Compact"/>
            </w:pPr>
            <w:r>
              <w:t xml:space="preserve">Implied EV / EBITDA</w:t>
            </w:r>
          </w:p>
        </w:tc>
        <w:tc>
          <w:tcPr/>
          <w:p>
            <w:pPr>
              <w:pStyle w:val="Compact"/>
              <w:jc w:val="right"/>
            </w:pPr>
            <w:r>
              <w:t xml:space="preserve">7.7x</w:t>
            </w:r>
          </w:p>
        </w:tc>
        <w:tc>
          <w:tcPr/>
          <w:p>
            <w:pPr>
              <w:pStyle w:val="Compact"/>
              <w:jc w:val="right"/>
            </w:pPr>
            <w:r>
              <w:t xml:space="preserve">9.3x</w:t>
            </w:r>
          </w:p>
        </w:tc>
        <w:tc>
          <w:tcPr/>
          <w:p>
            <w:pPr>
              <w:pStyle w:val="Compact"/>
              <w:jc w:val="right"/>
            </w:pPr>
            <w:r>
              <w:t xml:space="preserve">10.4x</w:t>
            </w:r>
          </w:p>
        </w:tc>
      </w:tr>
    </w:tbl>
    <w:p>
      <w:pPr>
        <w:pStyle w:val="BodyText"/>
      </w:pPr>
      <w:r>
        <w:t xml:space="preserve">In plain English, the</w:t>
      </w:r>
      <w:r>
        <w:t xml:space="preserve"> </w:t>
      </w:r>
      <w:r>
        <w:rPr>
          <w:b/>
          <w:bCs/>
        </w:rPr>
        <w:t xml:space="preserve">conservative case</w:t>
      </w:r>
      <w:r>
        <w:t xml:space="preserve"> </w:t>
      </w:r>
      <w:r>
        <w:t xml:space="preserve">says Miller is a scaled but still collection-heavy, no-landfill platform with modest municipal profitability and limited hazardous contribution. The</w:t>
      </w:r>
      <w:r>
        <w:t xml:space="preserve"> </w:t>
      </w:r>
      <w:r>
        <w:rPr>
          <w:b/>
          <w:bCs/>
        </w:rPr>
        <w:t xml:space="preserve">base case</w:t>
      </w:r>
      <w:r>
        <w:t xml:space="preserve"> </w:t>
      </w:r>
      <w:r>
        <w:t xml:space="preserve">says Miller is a genuine multi-province mid-market platform with a meaningful hazardous operation and enough pricing power and route density to support low-teens consolidated EBITDA margins. The</w:t>
      </w:r>
      <w:r>
        <w:t xml:space="preserve"> </w:t>
      </w:r>
      <w:r>
        <w:rPr>
          <w:b/>
          <w:bCs/>
        </w:rPr>
        <w:t xml:space="preserve">aggressive case</w:t>
      </w:r>
      <w:r>
        <w:t xml:space="preserve"> </w:t>
      </w:r>
      <w:r>
        <w:t xml:space="preserve">assumes that the higher AMCS scale markers are economically productive, that Miller Environmental is more material than the public record makes obvious, and that a buyer would pay close to the high end of private-market collection-plus-environmental multiples despite the lack of public financial disclosure.</w:t>
      </w:r>
      <w:r>
        <w:t xml:space="preserve"> </w:t>
      </w:r>
      <w:hyperlink r:id="rId27">
        <w:r>
          <w:rPr>
            <w:rStyle w:val="Hyperlink"/>
          </w:rPr>
          <w:t xml:space="preserve">[22]</w:t>
        </w:r>
      </w:hyperlink>
    </w:p>
    <w:p>
      <w:pPr>
        <w:pStyle w:val="BodyText"/>
      </w:pPr>
      <w:r>
        <w:t xml:space="preserve">The most useful sensitivity is around</w:t>
      </w:r>
      <w:r>
        <w:t xml:space="preserve"> </w:t>
      </w:r>
      <w:r>
        <w:rPr>
          <w:b/>
          <w:bCs/>
        </w:rPr>
        <w:t xml:space="preserve">base-case EBITDA</w:t>
      </w:r>
      <w:r>
        <w:t xml:space="preserve"> </w:t>
      </w:r>
      <w:r>
        <w:t xml:space="preserve">and</w:t>
      </w:r>
      <w:r>
        <w:t xml:space="preserve"> </w:t>
      </w:r>
      <w:r>
        <w:rPr>
          <w:b/>
          <w:bCs/>
        </w:rPr>
        <w:t xml:space="preserve">valuation multiple</w:t>
      </w:r>
      <w:r>
        <w:t xml:space="preserve">, since revenue and margin uncertainty drive most of the estimate.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Base-case EV sensitivity</w:t>
            </w:r>
          </w:p>
        </w:tc>
        <w:tc>
          <w:tcPr/>
          <w:p>
            <w:pPr>
              <w:pStyle w:val="Compact"/>
              <w:jc w:val="right"/>
            </w:pPr>
            <w:r>
              <w:t xml:space="preserve">8.5x EV / EBITDA</w:t>
            </w:r>
          </w:p>
        </w:tc>
        <w:tc>
          <w:tcPr/>
          <w:p>
            <w:pPr>
              <w:pStyle w:val="Compact"/>
              <w:jc w:val="right"/>
            </w:pPr>
            <w:r>
              <w:t xml:space="preserve">9.5x EV / EBITDA</w:t>
            </w:r>
          </w:p>
        </w:tc>
        <w:tc>
          <w:tcPr/>
          <w:p>
            <w:pPr>
              <w:pStyle w:val="Compact"/>
              <w:jc w:val="right"/>
            </w:pPr>
            <w:r>
              <w:t xml:space="preserve">10.5x EV / EBITDA</w:t>
            </w:r>
          </w:p>
        </w:tc>
      </w:tr>
      <w:tr>
        <w:tc>
          <w:tcPr/>
          <w:p>
            <w:pPr>
              <w:pStyle w:val="Compact"/>
            </w:pPr>
            <w:r>
              <w:t xml:space="preserve">11.5% EBITDA margin on C$650 revenue</w:t>
            </w:r>
          </w:p>
        </w:tc>
        <w:tc>
          <w:tcPr/>
          <w:p>
            <w:pPr>
              <w:pStyle w:val="Compact"/>
              <w:jc w:val="right"/>
            </w:pPr>
            <w:r>
              <w:t xml:space="preserve">636</w:t>
            </w:r>
          </w:p>
        </w:tc>
        <w:tc>
          <w:tcPr/>
          <w:p>
            <w:pPr>
              <w:pStyle w:val="Compact"/>
              <w:jc w:val="right"/>
            </w:pPr>
            <w:r>
              <w:t xml:space="preserve">710</w:t>
            </w:r>
          </w:p>
        </w:tc>
        <w:tc>
          <w:tcPr/>
          <w:p>
            <w:pPr>
              <w:pStyle w:val="Compact"/>
              <w:jc w:val="right"/>
            </w:pPr>
            <w:r>
              <w:t xml:space="preserve">785</w:t>
            </w:r>
          </w:p>
        </w:tc>
      </w:tr>
      <w:tr>
        <w:tc>
          <w:tcPr/>
          <w:p>
            <w:pPr>
              <w:pStyle w:val="Compact"/>
            </w:pPr>
            <w:r>
              <w:t xml:space="preserve">13.0% EBITDA margin on C$650 revenue</w:t>
            </w:r>
          </w:p>
        </w:tc>
        <w:tc>
          <w:tcPr/>
          <w:p>
            <w:pPr>
              <w:pStyle w:val="Compact"/>
              <w:jc w:val="right"/>
            </w:pPr>
            <w:r>
              <w:t xml:space="preserve">718</w:t>
            </w:r>
          </w:p>
        </w:tc>
        <w:tc>
          <w:tcPr/>
          <w:p>
            <w:pPr>
              <w:pStyle w:val="Compact"/>
              <w:jc w:val="right"/>
            </w:pPr>
            <w:r>
              <w:t xml:space="preserve">803</w:t>
            </w:r>
          </w:p>
        </w:tc>
        <w:tc>
          <w:tcPr/>
          <w:p>
            <w:pPr>
              <w:pStyle w:val="Compact"/>
              <w:jc w:val="right"/>
            </w:pPr>
            <w:r>
              <w:t xml:space="preserve">887</w:t>
            </w:r>
          </w:p>
        </w:tc>
      </w:tr>
      <w:tr>
        <w:tc>
          <w:tcPr/>
          <w:p>
            <w:pPr>
              <w:pStyle w:val="Compact"/>
            </w:pPr>
            <w:r>
              <w:t xml:space="preserve">14.5% EBITDA margin on C$650 revenue</w:t>
            </w:r>
          </w:p>
        </w:tc>
        <w:tc>
          <w:tcPr/>
          <w:p>
            <w:pPr>
              <w:pStyle w:val="Compact"/>
              <w:jc w:val="right"/>
            </w:pPr>
            <w:r>
              <w:t xml:space="preserve">801</w:t>
            </w:r>
          </w:p>
        </w:tc>
        <w:tc>
          <w:tcPr/>
          <w:p>
            <w:pPr>
              <w:pStyle w:val="Compact"/>
              <w:jc w:val="right"/>
            </w:pPr>
            <w:r>
              <w:t xml:space="preserve">896</w:t>
            </w:r>
          </w:p>
        </w:tc>
        <w:tc>
          <w:tcPr/>
          <w:p>
            <w:pPr>
              <w:pStyle w:val="Compact"/>
              <w:jc w:val="right"/>
            </w:pPr>
            <w:r>
              <w:t xml:space="preserve">990</w:t>
            </w:r>
          </w:p>
        </w:tc>
      </w:tr>
    </w:tbl>
    <w:p>
      <w:pPr>
        <w:pStyle w:val="BodyText"/>
      </w:pPr>
      <w:r>
        <w:t xml:space="preserve">Holding the</w:t>
      </w:r>
      <w:r>
        <w:t xml:space="preserve"> </w:t>
      </w:r>
      <w:r>
        <w:rPr>
          <w:b/>
          <w:bCs/>
        </w:rPr>
        <w:t xml:space="preserve">base-case EBITDA of C$84.7 million</w:t>
      </w:r>
      <w:r>
        <w:t xml:space="preserve"> </w:t>
      </w:r>
      <w:r>
        <w:t xml:space="preserve">constant, the equity value is highly sensitive to assumed net debt.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Base-case equity sensitivity</w:t>
            </w:r>
          </w:p>
        </w:tc>
        <w:tc>
          <w:tcPr/>
          <w:p>
            <w:pPr>
              <w:pStyle w:val="Compact"/>
              <w:jc w:val="right"/>
            </w:pPr>
            <w:r>
              <w:t xml:space="preserve">Net debt = 1.5x EBITDA</w:t>
            </w:r>
          </w:p>
        </w:tc>
        <w:tc>
          <w:tcPr/>
          <w:p>
            <w:pPr>
              <w:pStyle w:val="Compact"/>
              <w:jc w:val="right"/>
            </w:pPr>
            <w:r>
              <w:t xml:space="preserve">Net debt = 2.5x EBITDA</w:t>
            </w:r>
          </w:p>
        </w:tc>
        <w:tc>
          <w:tcPr/>
          <w:p>
            <w:pPr>
              <w:pStyle w:val="Compact"/>
              <w:jc w:val="right"/>
            </w:pPr>
            <w:r>
              <w:t xml:space="preserve">Net debt = 3.5x EBITDA</w:t>
            </w:r>
          </w:p>
        </w:tc>
      </w:tr>
      <w:tr>
        <w:tc>
          <w:tcPr/>
          <w:p>
            <w:pPr>
              <w:pStyle w:val="Compact"/>
            </w:pPr>
            <w:r>
              <w:t xml:space="preserve">EV = C$710</w:t>
            </w:r>
          </w:p>
        </w:tc>
        <w:tc>
          <w:tcPr/>
          <w:p>
            <w:pPr>
              <w:pStyle w:val="Compact"/>
              <w:jc w:val="right"/>
            </w:pPr>
            <w:r>
              <w:t xml:space="preserve">583</w:t>
            </w:r>
          </w:p>
        </w:tc>
        <w:tc>
          <w:tcPr/>
          <w:p>
            <w:pPr>
              <w:pStyle w:val="Compact"/>
              <w:jc w:val="right"/>
            </w:pPr>
            <w:r>
              <w:t xml:space="preserve">498</w:t>
            </w:r>
          </w:p>
        </w:tc>
        <w:tc>
          <w:tcPr/>
          <w:p>
            <w:pPr>
              <w:pStyle w:val="Compact"/>
              <w:jc w:val="right"/>
            </w:pPr>
            <w:r>
              <w:t xml:space="preserve">414</w:t>
            </w:r>
          </w:p>
        </w:tc>
      </w:tr>
      <w:tr>
        <w:tc>
          <w:tcPr/>
          <w:p>
            <w:pPr>
              <w:pStyle w:val="Compact"/>
            </w:pPr>
            <w:r>
              <w:t xml:space="preserve">EV = C$787</w:t>
            </w:r>
          </w:p>
        </w:tc>
        <w:tc>
          <w:tcPr/>
          <w:p>
            <w:pPr>
              <w:pStyle w:val="Compact"/>
              <w:jc w:val="right"/>
            </w:pPr>
            <w:r>
              <w:t xml:space="preserve">660</w:t>
            </w:r>
          </w:p>
        </w:tc>
        <w:tc>
          <w:tcPr/>
          <w:p>
            <w:pPr>
              <w:pStyle w:val="Compact"/>
              <w:jc w:val="right"/>
            </w:pPr>
            <w:r>
              <w:t xml:space="preserve">575</w:t>
            </w:r>
          </w:p>
        </w:tc>
        <w:tc>
          <w:tcPr/>
          <w:p>
            <w:pPr>
              <w:pStyle w:val="Compact"/>
              <w:jc w:val="right"/>
            </w:pPr>
            <w:r>
              <w:t xml:space="preserve">491</w:t>
            </w:r>
          </w:p>
        </w:tc>
      </w:tr>
      <w:tr>
        <w:tc>
          <w:tcPr/>
          <w:p>
            <w:pPr>
              <w:pStyle w:val="Compact"/>
            </w:pPr>
            <w:r>
              <w:t xml:space="preserve">EV = C$865</w:t>
            </w:r>
          </w:p>
        </w:tc>
        <w:tc>
          <w:tcPr/>
          <w:p>
            <w:pPr>
              <w:pStyle w:val="Compact"/>
              <w:jc w:val="right"/>
            </w:pPr>
            <w:r>
              <w:t xml:space="preserve">738</w:t>
            </w:r>
          </w:p>
        </w:tc>
        <w:tc>
          <w:tcPr/>
          <w:p>
            <w:pPr>
              <w:pStyle w:val="Compact"/>
              <w:jc w:val="right"/>
            </w:pPr>
            <w:r>
              <w:t xml:space="preserve">653</w:t>
            </w:r>
          </w:p>
        </w:tc>
        <w:tc>
          <w:tcPr/>
          <w:p>
            <w:pPr>
              <w:pStyle w:val="Compact"/>
              <w:jc w:val="right"/>
            </w:pPr>
            <w:r>
              <w:t xml:space="preserve">569</w:t>
            </w:r>
          </w:p>
        </w:tc>
      </w:tr>
    </w:tbl>
    <w:bookmarkEnd w:id="41"/>
    <w:bookmarkStart w:id="49" w:name="public-comps-and-transaction-benchmarks"/>
    <w:p>
      <w:pPr>
        <w:pStyle w:val="Heading2"/>
      </w:pPr>
      <w:r>
        <w:t xml:space="preserve">Public comps and transaction benchmarks</w:t>
      </w:r>
    </w:p>
    <w:p>
      <w:pPr>
        <w:pStyle w:val="FirstParagraph"/>
      </w:pPr>
      <w:r>
        <w:t xml:space="preserve">The public comp set below is the most relevant benchmark group. I use them directionally, not mechanically, because Miller lacks landfill ownership and public disclosures.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Public comp</w:t>
            </w:r>
          </w:p>
        </w:tc>
        <w:tc>
          <w:tcPr/>
          <w:p>
            <w:pPr>
              <w:pStyle w:val="Compact"/>
              <w:jc w:val="right"/>
            </w:pPr>
            <w:r>
              <w:t xml:space="preserve">Current market value</w:t>
            </w:r>
          </w:p>
        </w:tc>
        <w:tc>
          <w:tcPr/>
          <w:p>
            <w:pPr>
              <w:pStyle w:val="Compact"/>
              <w:jc w:val="right"/>
            </w:pPr>
            <w:r>
              <w:t xml:space="preserve">Latest reported revenue</w:t>
            </w:r>
          </w:p>
        </w:tc>
        <w:tc>
          <w:tcPr/>
          <w:p>
            <w:pPr>
              <w:pStyle w:val="Compact"/>
              <w:jc w:val="right"/>
            </w:pPr>
            <w:r>
              <w:t xml:space="preserve">Latest reported EBITDA</w:t>
            </w:r>
          </w:p>
        </w:tc>
        <w:tc>
          <w:tcPr/>
          <w:p>
            <w:pPr>
              <w:pStyle w:val="Compact"/>
              <w:jc w:val="right"/>
            </w:pPr>
            <w:r>
              <w:t xml:space="preserve">Leverage / net debt marker</w:t>
            </w:r>
          </w:p>
        </w:tc>
        <w:tc>
          <w:tcPr/>
          <w:p>
            <w:pPr>
              <w:pStyle w:val="Compact"/>
              <w:jc w:val="right"/>
            </w:pPr>
            <w:r>
              <w:t xml:space="preserve">Approx. EV / EBITDA</w:t>
            </w:r>
          </w:p>
        </w:tc>
        <w:tc>
          <w:tcPr/>
          <w:p>
            <w:pPr>
              <w:pStyle w:val="Compact"/>
            </w:pPr>
            <w:r>
              <w:t xml:space="preserve">Why it matters</w:t>
            </w:r>
          </w:p>
        </w:tc>
        <w:tc>
          <w:tcPr/>
          <w:p>
            <w:pPr>
              <w:pStyle w:val="Compact"/>
            </w:pPr>
            <w:r>
              <w:t xml:space="preserve">Source</w:t>
            </w:r>
          </w:p>
        </w:tc>
      </w:tr>
      <w:tr>
        <w:tc>
          <w:tcPr/>
          <w:p>
            <w:pPr>
              <w:pStyle w:val="Compact"/>
            </w:pPr>
            <w:r>
              <w:t xml:space="preserve">WM</w:t>
            </w:r>
          </w:p>
        </w:tc>
        <w:tc>
          <w:tcPr/>
          <w:p>
            <w:pPr>
              <w:pStyle w:val="Compact"/>
              <w:jc w:val="right"/>
            </w:pPr>
            <w:r>
              <w:t xml:space="preserve">US$85.1bn market cap</w:t>
            </w:r>
          </w:p>
        </w:tc>
        <w:tc>
          <w:tcPr/>
          <w:p>
            <w:pPr>
              <w:pStyle w:val="Compact"/>
              <w:jc w:val="right"/>
            </w:pPr>
            <w:r>
              <w:t xml:space="preserve">US$25.2bn</w:t>
            </w:r>
          </w:p>
        </w:tc>
        <w:tc>
          <w:tcPr/>
          <w:p>
            <w:pPr>
              <w:pStyle w:val="Compact"/>
              <w:jc w:val="right"/>
            </w:pPr>
            <w:r>
              <w:t xml:space="preserve">US$7.58bn adjusted operating EBITDA</w:t>
            </w:r>
          </w:p>
        </w:tc>
        <w:tc>
          <w:tcPr/>
          <w:p>
            <w:pPr>
              <w:pStyle w:val="Compact"/>
              <w:jc w:val="right"/>
            </w:pPr>
            <w:r>
              <w:t xml:space="preserve">~US$22.6bn net debt</w:t>
            </w:r>
          </w:p>
        </w:tc>
        <w:tc>
          <w:tcPr/>
          <w:p>
            <w:pPr>
              <w:pStyle w:val="Compact"/>
              <w:jc w:val="right"/>
            </w:pPr>
            <w:r>
              <w:t xml:space="preserve">~14.2x</w:t>
            </w:r>
          </w:p>
        </w:tc>
        <w:tc>
          <w:tcPr/>
          <w:p>
            <w:pPr>
              <w:pStyle w:val="Compact"/>
            </w:pPr>
            <w:r>
              <w:t xml:space="preserve">Large North American integrated waste benchmark; premium multiple partly reflects landfill ownership and scale</w:t>
            </w:r>
          </w:p>
        </w:tc>
        <w:tc>
          <w:tcPr/>
          <w:p>
            <w:pPr>
              <w:pStyle w:val="Compact"/>
            </w:pPr>
            <w:hyperlink r:id="rId23">
              <w:r>
                <w:rPr>
                  <w:rStyle w:val="Hyperlink"/>
                </w:rPr>
                <w:t xml:space="preserve">[23]</w:t>
              </w:r>
            </w:hyperlink>
          </w:p>
        </w:tc>
      </w:tr>
      <w:tr>
        <w:tc>
          <w:tcPr/>
          <w:p>
            <w:pPr>
              <w:pStyle w:val="Compact"/>
            </w:pPr>
            <w:r>
              <w:t xml:space="preserve">Republic Services</w:t>
            </w:r>
          </w:p>
        </w:tc>
        <w:tc>
          <w:tcPr/>
          <w:p>
            <w:pPr>
              <w:pStyle w:val="Compact"/>
              <w:jc w:val="right"/>
            </w:pPr>
            <w:r>
              <w:t xml:space="preserve">US$62.4bn market cap</w:t>
            </w:r>
          </w:p>
        </w:tc>
        <w:tc>
          <w:tcPr/>
          <w:p>
            <w:pPr>
              <w:pStyle w:val="Compact"/>
              <w:jc w:val="right"/>
            </w:pPr>
            <w:r>
              <w:t xml:space="preserve">US$16.6bn</w:t>
            </w:r>
          </w:p>
        </w:tc>
        <w:tc>
          <w:tcPr/>
          <w:p>
            <w:pPr>
              <w:pStyle w:val="Compact"/>
              <w:jc w:val="right"/>
            </w:pPr>
            <w:r>
              <w:t xml:space="preserve">US$5.31bn adjusted EBITDA</w:t>
            </w:r>
          </w:p>
        </w:tc>
        <w:tc>
          <w:tcPr/>
          <w:p>
            <w:pPr>
              <w:pStyle w:val="Compact"/>
              <w:jc w:val="right"/>
            </w:pPr>
            <w:r>
              <w:t xml:space="preserve">~2.6x debt / EBITDA</w:t>
            </w:r>
          </w:p>
        </w:tc>
        <w:tc>
          <w:tcPr/>
          <w:p>
            <w:pPr>
              <w:pStyle w:val="Compact"/>
              <w:jc w:val="right"/>
            </w:pPr>
            <w:r>
              <w:t xml:space="preserve">~14.3x</w:t>
            </w:r>
          </w:p>
        </w:tc>
        <w:tc>
          <w:tcPr/>
          <w:p>
            <w:pPr>
              <w:pStyle w:val="Compact"/>
            </w:pPr>
            <w:r>
              <w:t xml:space="preserve">Another premium integrated comp; also useful because it separately reports Environmental Solutions</w:t>
            </w:r>
          </w:p>
        </w:tc>
        <w:tc>
          <w:tcPr/>
          <w:p>
            <w:pPr>
              <w:pStyle w:val="Compact"/>
            </w:pPr>
            <w:hyperlink r:id="rId42">
              <w:r>
                <w:rPr>
                  <w:rStyle w:val="Hyperlink"/>
                </w:rPr>
                <w:t xml:space="preserve">[24]</w:t>
              </w:r>
            </w:hyperlink>
          </w:p>
        </w:tc>
      </w:tr>
      <w:tr>
        <w:tc>
          <w:tcPr/>
          <w:p>
            <w:pPr>
              <w:pStyle w:val="Compact"/>
            </w:pPr>
            <w:r>
              <w:t xml:space="preserve">Waste Connections</w:t>
            </w:r>
          </w:p>
        </w:tc>
        <w:tc>
          <w:tcPr/>
          <w:p>
            <w:pPr>
              <w:pStyle w:val="Compact"/>
              <w:jc w:val="right"/>
            </w:pPr>
            <w:r>
              <w:t xml:space="preserve">US$38.1bn market cap</w:t>
            </w:r>
          </w:p>
        </w:tc>
        <w:tc>
          <w:tcPr/>
          <w:p>
            <w:pPr>
              <w:pStyle w:val="Compact"/>
              <w:jc w:val="right"/>
            </w:pPr>
            <w:r>
              <w:t xml:space="preserve">US$9.47bn</w:t>
            </w:r>
          </w:p>
        </w:tc>
        <w:tc>
          <w:tcPr/>
          <w:p>
            <w:pPr>
              <w:pStyle w:val="Compact"/>
              <w:jc w:val="right"/>
            </w:pPr>
            <w:r>
              <w:t xml:space="preserve">US$3.13bn adjusted EBITDA</w:t>
            </w:r>
          </w:p>
        </w:tc>
        <w:tc>
          <w:tcPr/>
          <w:p>
            <w:pPr>
              <w:pStyle w:val="Compact"/>
              <w:jc w:val="right"/>
            </w:pPr>
            <w:r>
              <w:t xml:space="preserve">2.75x year-end debt / EBITDA</w:t>
            </w:r>
          </w:p>
        </w:tc>
        <w:tc>
          <w:tcPr/>
          <w:p>
            <w:pPr>
              <w:pStyle w:val="Compact"/>
              <w:jc w:val="right"/>
            </w:pPr>
            <w:r>
              <w:t xml:space="preserve">~14.9x</w:t>
            </w:r>
          </w:p>
        </w:tc>
        <w:tc>
          <w:tcPr/>
          <w:p>
            <w:pPr>
              <w:pStyle w:val="Compact"/>
            </w:pPr>
            <w:r>
              <w:t xml:space="preserve">Canadian-domiciled waste major; important directional comp for private Canadian operators</w:t>
            </w:r>
          </w:p>
        </w:tc>
        <w:tc>
          <w:tcPr/>
          <w:p>
            <w:pPr>
              <w:pStyle w:val="Compact"/>
            </w:pPr>
            <w:hyperlink r:id="rId43">
              <w:r>
                <w:rPr>
                  <w:rStyle w:val="Hyperlink"/>
                </w:rPr>
                <w:t xml:space="preserve">[25]</w:t>
              </w:r>
            </w:hyperlink>
          </w:p>
        </w:tc>
      </w:tr>
      <w:tr>
        <w:tc>
          <w:tcPr/>
          <w:p>
            <w:pPr>
              <w:pStyle w:val="Compact"/>
            </w:pPr>
            <w:r>
              <w:t xml:space="preserve">GFL Environmental</w:t>
            </w:r>
          </w:p>
        </w:tc>
        <w:tc>
          <w:tcPr/>
          <w:p>
            <w:pPr>
              <w:pStyle w:val="Compact"/>
              <w:jc w:val="right"/>
            </w:pPr>
            <w:r>
              <w:t xml:space="preserve">price US$33.76; market cap implied from basic shares roughly US$12.1bn</w:t>
            </w:r>
          </w:p>
        </w:tc>
        <w:tc>
          <w:tcPr/>
          <w:p>
            <w:pPr>
              <w:pStyle w:val="Compact"/>
              <w:jc w:val="right"/>
            </w:pPr>
            <w:r>
              <w:t xml:space="preserve">US$6.62bn</w:t>
            </w:r>
          </w:p>
        </w:tc>
        <w:tc>
          <w:tcPr/>
          <w:p>
            <w:pPr>
              <w:pStyle w:val="Compact"/>
              <w:jc w:val="right"/>
            </w:pPr>
            <w:r>
              <w:t xml:space="preserve">US$1.99bn adjusted EBITDA</w:t>
            </w:r>
          </w:p>
        </w:tc>
        <w:tc>
          <w:tcPr/>
          <w:p>
            <w:pPr>
              <w:pStyle w:val="Compact"/>
              <w:jc w:val="right"/>
            </w:pPr>
            <w:r>
              <w:t xml:space="preserve">3.4x net leverage</w:t>
            </w:r>
          </w:p>
        </w:tc>
        <w:tc>
          <w:tcPr/>
          <w:p>
            <w:pPr>
              <w:pStyle w:val="Compact"/>
              <w:jc w:val="right"/>
            </w:pPr>
            <w:r>
              <w:t xml:space="preserve">~10.0x</w:t>
            </w:r>
          </w:p>
        </w:tc>
        <w:tc>
          <w:tcPr/>
          <w:p>
            <w:pPr>
              <w:pStyle w:val="Compact"/>
            </w:pPr>
            <w:r>
              <w:t xml:space="preserve">Closest listed Canadian comp after portfolio reshaping; lower multiple than U.S. landfill-heavy peers</w:t>
            </w:r>
          </w:p>
        </w:tc>
        <w:tc>
          <w:tcPr/>
          <w:p>
            <w:pPr>
              <w:pStyle w:val="Compact"/>
            </w:pPr>
            <w:hyperlink r:id="rId44">
              <w:r>
                <w:rPr>
                  <w:rStyle w:val="Hyperlink"/>
                </w:rPr>
                <w:t xml:space="preserve">[26]</w:t>
              </w:r>
            </w:hyperlink>
          </w:p>
        </w:tc>
      </w:tr>
      <w:tr>
        <w:tc>
          <w:tcPr/>
          <w:p>
            <w:pPr>
              <w:pStyle w:val="Compact"/>
            </w:pPr>
            <w:r>
              <w:t xml:space="preserve">Casella</w:t>
            </w:r>
          </w:p>
        </w:tc>
        <w:tc>
          <w:tcPr/>
          <w:p>
            <w:pPr>
              <w:pStyle w:val="Compact"/>
              <w:jc w:val="right"/>
            </w:pPr>
            <w:r>
              <w:t xml:space="preserve">US$4.82bn market cap</w:t>
            </w:r>
          </w:p>
        </w:tc>
        <w:tc>
          <w:tcPr/>
          <w:p>
            <w:pPr>
              <w:pStyle w:val="Compact"/>
              <w:jc w:val="right"/>
            </w:pPr>
            <w:r>
              <w:t xml:space="preserve">US$1.84bn</w:t>
            </w:r>
          </w:p>
        </w:tc>
        <w:tc>
          <w:tcPr/>
          <w:p>
            <w:pPr>
              <w:pStyle w:val="Compact"/>
              <w:jc w:val="right"/>
            </w:pPr>
            <w:r>
              <w:t xml:space="preserve">US$422.8m adjusted EBITDA</w:t>
            </w:r>
          </w:p>
        </w:tc>
        <w:tc>
          <w:tcPr/>
          <w:p>
            <w:pPr>
              <w:pStyle w:val="Compact"/>
              <w:jc w:val="right"/>
            </w:pPr>
            <w:r>
              <w:t xml:space="preserve">2.34x consolidated net leverage ratio</w:t>
            </w:r>
          </w:p>
        </w:tc>
        <w:tc>
          <w:tcPr/>
          <w:p>
            <w:pPr>
              <w:pStyle w:val="Compact"/>
              <w:jc w:val="right"/>
            </w:pPr>
            <w:r>
              <w:t xml:space="preserve">~13.9x</w:t>
            </w:r>
          </w:p>
        </w:tc>
        <w:tc>
          <w:tcPr/>
          <w:p>
            <w:pPr>
              <w:pStyle w:val="Compact"/>
            </w:pPr>
            <w:r>
              <w:t xml:space="preserve">Scaled regional waste comp; useful for revenue-per-employee cross-check</w:t>
            </w:r>
          </w:p>
        </w:tc>
        <w:tc>
          <w:tcPr/>
          <w:p>
            <w:pPr>
              <w:pStyle w:val="Compact"/>
            </w:pPr>
            <w:hyperlink r:id="rId37">
              <w:r>
                <w:rPr>
                  <w:rStyle w:val="Hyperlink"/>
                </w:rPr>
                <w:t xml:space="preserve">[27]</w:t>
              </w:r>
            </w:hyperlink>
          </w:p>
        </w:tc>
      </w:tr>
      <w:tr>
        <w:tc>
          <w:tcPr/>
          <w:p>
            <w:pPr>
              <w:pStyle w:val="Compact"/>
            </w:pPr>
            <w:r>
              <w:t xml:space="preserve">Clean Harbors</w:t>
            </w:r>
          </w:p>
        </w:tc>
        <w:tc>
          <w:tcPr/>
          <w:p>
            <w:pPr>
              <w:pStyle w:val="Compact"/>
              <w:jc w:val="right"/>
            </w:pPr>
            <w:r>
              <w:t xml:space="preserve">US$14.6bn market cap</w:t>
            </w:r>
          </w:p>
        </w:tc>
        <w:tc>
          <w:tcPr/>
          <w:p>
            <w:pPr>
              <w:pStyle w:val="Compact"/>
              <w:jc w:val="right"/>
            </w:pPr>
            <w:r>
              <w:t xml:space="preserve">US$6.03bn</w:t>
            </w:r>
          </w:p>
        </w:tc>
        <w:tc>
          <w:tcPr/>
          <w:p>
            <w:pPr>
              <w:pStyle w:val="Compact"/>
              <w:jc w:val="right"/>
            </w:pPr>
            <w:r>
              <w:t xml:space="preserve">US$1.17bn adjusted EBITDA</w:t>
            </w:r>
          </w:p>
        </w:tc>
        <w:tc>
          <w:tcPr/>
          <w:p>
            <w:pPr>
              <w:pStyle w:val="Compact"/>
              <w:jc w:val="right"/>
            </w:pPr>
            <w:r>
              <w:t xml:space="preserve">~US$1.94bn net debt</w:t>
            </w:r>
          </w:p>
        </w:tc>
        <w:tc>
          <w:tcPr/>
          <w:p>
            <w:pPr>
              <w:pStyle w:val="Compact"/>
              <w:jc w:val="right"/>
            </w:pPr>
            <w:r>
              <w:t xml:space="preserve">~14.2x</w:t>
            </w:r>
          </w:p>
        </w:tc>
        <w:tc>
          <w:tcPr/>
          <w:p>
            <w:pPr>
              <w:pStyle w:val="Compact"/>
            </w:pPr>
            <w:r>
              <w:t xml:space="preserve">Hazardous/environmental benchmark; supports higher margin and multiple for Miller Environmental</w:t>
            </w:r>
          </w:p>
        </w:tc>
        <w:tc>
          <w:tcPr/>
          <w:p>
            <w:pPr>
              <w:pStyle w:val="Compact"/>
            </w:pPr>
            <w:hyperlink r:id="rId45">
              <w:r>
                <w:rPr>
                  <w:rStyle w:val="Hyperlink"/>
                </w:rPr>
                <w:t xml:space="preserve">[28]</w:t>
              </w:r>
            </w:hyperlink>
          </w:p>
        </w:tc>
      </w:tr>
    </w:tbl>
    <w:p>
      <w:pPr>
        <w:pStyle w:val="BodyText"/>
      </w:pPr>
      <w:r>
        <w:t xml:space="preserve">The comp takeaway is straightforward: the quoted sector mostly trades in the</w:t>
      </w:r>
      <w:r>
        <w:t xml:space="preserve"> </w:t>
      </w:r>
      <w:r>
        <w:rPr>
          <w:b/>
          <w:bCs/>
        </w:rPr>
        <w:t xml:space="preserve">~14x EV/EBITDA range</w:t>
      </w:r>
      <w:r>
        <w:t xml:space="preserve">, except for GFL around</w:t>
      </w:r>
      <w:r>
        <w:t xml:space="preserve"> </w:t>
      </w:r>
      <w:r>
        <w:rPr>
          <w:b/>
          <w:bCs/>
        </w:rPr>
        <w:t xml:space="preserve">~10x</w:t>
      </w:r>
      <w:r>
        <w:t xml:space="preserve">. Miller should not command the same multiple as WM, Republic, Waste Connections, or even Casella because Miller publicly states it lacks landfill ownership and because the Walker sale removed the clearest specialty-energy premium assets. That is why the scenario range here tops out around</w:t>
      </w:r>
      <w:r>
        <w:t xml:space="preserve"> </w:t>
      </w:r>
      <w:r>
        <w:rPr>
          <w:b/>
          <w:bCs/>
        </w:rPr>
        <w:t xml:space="preserve">10.4x blended EV/EBITDA</w:t>
      </w:r>
      <w:r>
        <w:t xml:space="preserve">, not the public-comp median.</w:t>
      </w:r>
      <w:r>
        <w:t xml:space="preserve"> </w:t>
      </w:r>
      <w:hyperlink r:id="rId21">
        <w:r>
          <w:rPr>
            <w:rStyle w:val="Hyperlink"/>
          </w:rPr>
          <w:t xml:space="preserve">[29]</w:t>
        </w:r>
      </w:hyperlink>
    </w:p>
    <w:p>
      <w:pPr>
        <w:pStyle w:val="BodyText"/>
      </w:pPr>
      <w:r>
        <w:t xml:space="preserve">The Canadian transaction set is thinner, because public EBITDA disclosures for private waste deals are scarce. The most useful disclosed items I found are below.</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Transaction</w:t>
            </w:r>
          </w:p>
        </w:tc>
        <w:tc>
          <w:tcPr/>
          <w:p>
            <w:pPr>
              <w:pStyle w:val="Compact"/>
            </w:pPr>
            <w:r>
              <w:t xml:space="preserve">Date</w:t>
            </w:r>
          </w:p>
        </w:tc>
        <w:tc>
          <w:tcPr/>
          <w:p>
            <w:pPr>
              <w:pStyle w:val="Compact"/>
              <w:jc w:val="right"/>
            </w:pPr>
            <w:r>
              <w:t xml:space="preserve">Price disclosed</w:t>
            </w:r>
          </w:p>
        </w:tc>
        <w:tc>
          <w:tcPr/>
          <w:p>
            <w:pPr>
              <w:pStyle w:val="Compact"/>
              <w:jc w:val="right"/>
            </w:pPr>
            <w:r>
              <w:t xml:space="preserve">Revenue / EBITDA disclosed</w:t>
            </w:r>
          </w:p>
        </w:tc>
        <w:tc>
          <w:tcPr/>
          <w:p>
            <w:pPr>
              <w:pStyle w:val="Compact"/>
              <w:jc w:val="right"/>
            </w:pPr>
            <w:r>
              <w:t xml:space="preserve">Implied multiple</w:t>
            </w:r>
          </w:p>
        </w:tc>
        <w:tc>
          <w:tcPr/>
          <w:p>
            <w:pPr>
              <w:pStyle w:val="Compact"/>
            </w:pPr>
            <w:r>
              <w:t xml:space="preserve">Relevance</w:t>
            </w:r>
          </w:p>
        </w:tc>
        <w:tc>
          <w:tcPr/>
          <w:p>
            <w:pPr>
              <w:pStyle w:val="Compact"/>
            </w:pPr>
            <w:r>
              <w:t xml:space="preserve">Source</w:t>
            </w:r>
          </w:p>
        </w:tc>
      </w:tr>
      <w:tr>
        <w:tc>
          <w:tcPr/>
          <w:p>
            <w:pPr>
              <w:pStyle w:val="Compact"/>
            </w:pPr>
            <w:r>
              <w:t xml:space="preserve">GFL acquisition of Terrapure solid waste and environmental solutions business</w:t>
            </w:r>
          </w:p>
        </w:tc>
        <w:tc>
          <w:tcPr/>
          <w:p>
            <w:pPr>
              <w:pStyle w:val="Compact"/>
            </w:pPr>
            <w:r>
              <w:t xml:space="preserve">Mar 2021 announcement</w:t>
            </w:r>
          </w:p>
        </w:tc>
        <w:tc>
          <w:tcPr/>
          <w:p>
            <w:pPr>
              <w:pStyle w:val="Compact"/>
              <w:jc w:val="right"/>
            </w:pPr>
            <w:r>
              <w:t xml:space="preserve">C$927.5m</w:t>
            </w:r>
          </w:p>
        </w:tc>
        <w:tc>
          <w:tcPr/>
          <w:p>
            <w:pPr>
              <w:pStyle w:val="Compact"/>
              <w:jc w:val="right"/>
            </w:pPr>
            <w:r>
              <w:t xml:space="preserve">C$375m annualized revenue; C$110m adjusted EBITDA</w:t>
            </w:r>
            <w:r>
              <w:t xml:space="preserve"> </w:t>
            </w:r>
            <w:r>
              <w:rPr>
                <w:b/>
                <w:bCs/>
              </w:rPr>
              <w:t xml:space="preserve">including C$12.5m synergies</w:t>
            </w:r>
          </w:p>
        </w:tc>
        <w:tc>
          <w:tcPr/>
          <w:p>
            <w:pPr>
              <w:pStyle w:val="Compact"/>
              <w:jc w:val="right"/>
            </w:pPr>
            <w:r>
              <w:t xml:space="preserve">~2.5x revenue; ~8.4x EBITDA including synergies</w:t>
            </w:r>
          </w:p>
        </w:tc>
        <w:tc>
          <w:tcPr/>
          <w:p>
            <w:pPr>
              <w:pStyle w:val="Compact"/>
            </w:pPr>
            <w:r>
              <w:t xml:space="preserve">Best disclosed Canadian environmental/waste M&amp;A anchor in the reviewed set; supports high-single-digit floor multiples</w:t>
            </w:r>
          </w:p>
        </w:tc>
        <w:tc>
          <w:tcPr/>
          <w:p>
            <w:pPr>
              <w:pStyle w:val="Compact"/>
            </w:pPr>
            <w:hyperlink r:id="rId46">
              <w:r>
                <w:rPr>
                  <w:rStyle w:val="Hyperlink"/>
                </w:rPr>
                <w:t xml:space="preserve">[30]</w:t>
              </w:r>
            </w:hyperlink>
          </w:p>
        </w:tc>
      </w:tr>
      <w:tr>
        <w:tc>
          <w:tcPr/>
          <w:p>
            <w:pPr>
              <w:pStyle w:val="Compact"/>
            </w:pPr>
            <w:r>
              <w:t xml:space="preserve">Walker acquisition of Escarpment Renewables, Maryland Farms and Pickering assets from Miller</w:t>
            </w:r>
          </w:p>
        </w:tc>
        <w:tc>
          <w:tcPr/>
          <w:p>
            <w:pPr>
              <w:pStyle w:val="Compact"/>
            </w:pPr>
            <w:r>
              <w:t xml:space="preserve">Mar 2026</w:t>
            </w:r>
          </w:p>
        </w:tc>
        <w:tc>
          <w:tcPr/>
          <w:p>
            <w:pPr>
              <w:pStyle w:val="Compact"/>
              <w:jc w:val="right"/>
            </w:pPr>
            <w:r>
              <w:rPr>
                <w:b/>
                <w:bCs/>
              </w:rPr>
              <w:t xml:space="preserve">Undisclosed</w:t>
            </w:r>
          </w:p>
        </w:tc>
        <w:tc>
          <w:tcPr/>
          <w:p>
            <w:pPr>
              <w:pStyle w:val="Compact"/>
              <w:jc w:val="right"/>
            </w:pPr>
            <w:r>
              <w:t xml:space="preserve">Assets included Grimsby, Maryland and Pickering organics-energy assets</w:t>
            </w:r>
          </w:p>
        </w:tc>
        <w:tc>
          <w:tcPr/>
          <w:p>
            <w:pPr>
              <w:pStyle w:val="Compact"/>
              <w:jc w:val="right"/>
            </w:pPr>
            <w:r>
              <w:t xml:space="preserve">Not calculable</w:t>
            </w:r>
          </w:p>
        </w:tc>
        <w:tc>
          <w:tcPr/>
          <w:p>
            <w:pPr>
              <w:pStyle w:val="Compact"/>
            </w:pPr>
            <w:r>
              <w:t xml:space="preserve">Important because it confirms those assets are</w:t>
            </w:r>
            <w:r>
              <w:t xml:space="preserve"> </w:t>
            </w:r>
            <w:r>
              <w:rPr>
                <w:b/>
                <w:bCs/>
              </w:rPr>
              <w:t xml:space="preserve">out of current scope</w:t>
            </w:r>
            <w:r>
              <w:t xml:space="preserve"> </w:t>
            </w:r>
            <w:r>
              <w:t xml:space="preserve">and should not be double-counted</w:t>
            </w:r>
          </w:p>
        </w:tc>
        <w:tc>
          <w:tcPr/>
          <w:p>
            <w:pPr>
              <w:pStyle w:val="Compact"/>
            </w:pPr>
            <w:hyperlink r:id="rId47">
              <w:r>
                <w:rPr>
                  <w:rStyle w:val="Hyperlink"/>
                </w:rPr>
                <w:t xml:space="preserve">[31]</w:t>
              </w:r>
            </w:hyperlink>
          </w:p>
        </w:tc>
      </w:tr>
      <w:tr>
        <w:tc>
          <w:tcPr/>
          <w:p>
            <w:pPr>
              <w:pStyle w:val="Compact"/>
            </w:pPr>
            <w:r>
              <w:t xml:space="preserve">White Owl acquisition of Grimsby biodigester via Escarpment Renewables</w:t>
            </w:r>
          </w:p>
        </w:tc>
        <w:tc>
          <w:tcPr/>
          <w:p>
            <w:pPr>
              <w:pStyle w:val="Compact"/>
            </w:pPr>
            <w:r>
              <w:t xml:space="preserve">Sep 2019</w:t>
            </w:r>
          </w:p>
        </w:tc>
        <w:tc>
          <w:tcPr/>
          <w:p>
            <w:pPr>
              <w:pStyle w:val="Compact"/>
              <w:jc w:val="right"/>
            </w:pPr>
            <w:r>
              <w:rPr>
                <w:b/>
                <w:bCs/>
              </w:rPr>
              <w:t xml:space="preserve">Undisclosed</w:t>
            </w:r>
          </w:p>
        </w:tc>
        <w:tc>
          <w:tcPr/>
          <w:p>
            <w:pPr>
              <w:pStyle w:val="Compact"/>
              <w:jc w:val="right"/>
            </w:pPr>
            <w:r>
              <w:t xml:space="preserve">Town said sale proceeds were sufficient to retire bank debt, taxes, promissory note, payables and other indebtedness</w:t>
            </w:r>
          </w:p>
        </w:tc>
        <w:tc>
          <w:tcPr/>
          <w:p>
            <w:pPr>
              <w:pStyle w:val="Compact"/>
              <w:jc w:val="right"/>
            </w:pPr>
            <w:r>
              <w:t xml:space="preserve">Not calculable</w:t>
            </w:r>
          </w:p>
        </w:tc>
        <w:tc>
          <w:tcPr/>
          <w:p>
            <w:pPr>
              <w:pStyle w:val="Compact"/>
            </w:pPr>
            <w:r>
              <w:t xml:space="preserve">Useful historical ownership evidence, but not a direct current-value comp</w:t>
            </w:r>
          </w:p>
        </w:tc>
        <w:tc>
          <w:tcPr/>
          <w:p>
            <w:pPr>
              <w:pStyle w:val="Compact"/>
            </w:pPr>
            <w:hyperlink r:id="rId24">
              <w:r>
                <w:rPr>
                  <w:rStyle w:val="Hyperlink"/>
                </w:rPr>
                <w:t xml:space="preserve">[6]</w:t>
              </w:r>
            </w:hyperlink>
          </w:p>
        </w:tc>
      </w:tr>
      <w:tr>
        <w:tc>
          <w:tcPr/>
          <w:p>
            <w:pPr>
              <w:pStyle w:val="Compact"/>
            </w:pPr>
            <w:r>
              <w:t xml:space="preserve">SECURE / Tervita merger</w:t>
            </w:r>
          </w:p>
        </w:tc>
        <w:tc>
          <w:tcPr/>
          <w:p>
            <w:pPr>
              <w:pStyle w:val="Compact"/>
            </w:pPr>
            <w:r>
              <w:t xml:space="preserve">Mar 2021</w:t>
            </w:r>
          </w:p>
        </w:tc>
        <w:tc>
          <w:tcPr/>
          <w:p>
            <w:pPr>
              <w:pStyle w:val="Compact"/>
              <w:jc w:val="right"/>
            </w:pPr>
            <w:r>
              <w:t xml:space="preserve">Price not disclosed in reviewed source</w:t>
            </w:r>
          </w:p>
        </w:tc>
        <w:tc>
          <w:tcPr/>
          <w:p>
            <w:pPr>
              <w:pStyle w:val="Compact"/>
              <w:jc w:val="right"/>
            </w:pPr>
            <w:r>
              <w:t xml:space="preserve">Company said the combined business would target</w:t>
            </w:r>
            <w:r>
              <w:t xml:space="preserve"> </w:t>
            </w:r>
            <w:r>
              <w:rPr>
                <w:b/>
                <w:bCs/>
              </w:rPr>
              <w:t xml:space="preserve">less than 2.5x debt / EBITDA within two years</w:t>
            </w:r>
            <w:r>
              <w:t xml:space="preserve"> </w:t>
            </w:r>
            <w:r>
              <w:t xml:space="preserve">and an investor deck cited</w:t>
            </w:r>
            <w:r>
              <w:t xml:space="preserve"> </w:t>
            </w:r>
            <w:r>
              <w:rPr>
                <w:b/>
                <w:bCs/>
              </w:rPr>
              <w:t xml:space="preserve">TTM adjusted EBITDA</w:t>
            </w:r>
            <w:r>
              <w:t xml:space="preserve"> </w:t>
            </w:r>
            <w:r>
              <w:t xml:space="preserve">context</w:t>
            </w:r>
          </w:p>
        </w:tc>
        <w:tc>
          <w:tcPr/>
          <w:p>
            <w:pPr>
              <w:pStyle w:val="Compact"/>
              <w:jc w:val="right"/>
            </w:pPr>
            <w:r>
              <w:t xml:space="preserve">Not calculable from reviewed source</w:t>
            </w:r>
          </w:p>
        </w:tc>
        <w:tc>
          <w:tcPr/>
          <w:p>
            <w:pPr>
              <w:pStyle w:val="Compact"/>
            </w:pPr>
            <w:r>
              <w:t xml:space="preserve">Contextual Canadian environmental/platform transaction, but not a clean valuation multiple source here</w:t>
            </w:r>
          </w:p>
        </w:tc>
        <w:tc>
          <w:tcPr/>
          <w:p>
            <w:pPr>
              <w:pStyle w:val="Compact"/>
            </w:pPr>
            <w:hyperlink r:id="rId48">
              <w:r>
                <w:rPr>
                  <w:rStyle w:val="Hyperlink"/>
                </w:rPr>
                <w:t xml:space="preserve">[32]</w:t>
              </w:r>
            </w:hyperlink>
          </w:p>
        </w:tc>
      </w:tr>
    </w:tbl>
    <w:bookmarkEnd w:id="49"/>
    <w:bookmarkStart w:id="50" w:name="diligence-gaps-and-limitations"/>
    <w:p>
      <w:pPr>
        <w:pStyle w:val="Heading2"/>
      </w:pPr>
      <w:r>
        <w:t xml:space="preserve">Diligence gaps and limitations</w:t>
      </w:r>
    </w:p>
    <w:p>
      <w:pPr>
        <w:pStyle w:val="FirstParagraph"/>
      </w:pPr>
      <w:r>
        <w:t xml:space="preserve">The valuation is directionally useful, but it is</w:t>
      </w:r>
      <w:r>
        <w:t xml:space="preserve"> </w:t>
      </w:r>
      <w:r>
        <w:rPr>
          <w:b/>
          <w:bCs/>
        </w:rPr>
        <w:t xml:space="preserve">not yet diligence-grade</w:t>
      </w:r>
      <w:r>
        <w:t xml:space="preserve">. The table below shows the highest-value gaps to close.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Diligence gap</w:t>
            </w:r>
          </w:p>
        </w:tc>
        <w:tc>
          <w:tcPr/>
          <w:p>
            <w:pPr>
              <w:pStyle w:val="Compact"/>
            </w:pPr>
            <w:r>
              <w:t xml:space="preserve">Why it matters</w:t>
            </w:r>
          </w:p>
        </w:tc>
        <w:tc>
          <w:tcPr/>
          <w:p>
            <w:pPr>
              <w:pStyle w:val="Compact"/>
            </w:pPr>
            <w:r>
              <w:t xml:space="preserve">Most useful next-step data</w:t>
            </w:r>
          </w:p>
        </w:tc>
      </w:tr>
      <w:tr>
        <w:tc>
          <w:tcPr/>
          <w:p>
            <w:pPr>
              <w:pStyle w:val="Compact"/>
            </w:pPr>
            <w:r>
              <w:t xml:space="preserve">Exact current legal entity list and ownership map</w:t>
            </w:r>
          </w:p>
        </w:tc>
        <w:tc>
          <w:tcPr/>
          <w:p>
            <w:pPr>
              <w:pStyle w:val="Compact"/>
            </w:pPr>
            <w:r>
              <w:t xml:space="preserve">Confirms which opcos are in scope and which assets or liabilities were sold or retained</w:t>
            </w:r>
          </w:p>
        </w:tc>
        <w:tc>
          <w:tcPr/>
          <w:p>
            <w:pPr>
              <w:pStyle w:val="Compact"/>
            </w:pPr>
            <w:r>
              <w:t xml:space="preserve">Current corporate structure chart; opco register; ownership of Miller Compost and Miller Environmental; any retained ownership in organics processing assets</w:t>
            </w:r>
          </w:p>
        </w:tc>
      </w:tr>
      <w:tr>
        <w:tc>
          <w:tcPr/>
          <w:p>
            <w:pPr>
              <w:pStyle w:val="Compact"/>
            </w:pPr>
            <w:r>
              <w:t xml:space="preserve">Historical revenue and EBITDA by opco / segment</w:t>
            </w:r>
          </w:p>
        </w:tc>
        <w:tc>
          <w:tcPr/>
          <w:p>
            <w:pPr>
              <w:pStyle w:val="Compact"/>
            </w:pPr>
            <w:r>
              <w:t xml:space="preserve">Greatest single driver of valuation accuracy</w:t>
            </w:r>
          </w:p>
        </w:tc>
        <w:tc>
          <w:tcPr/>
          <w:p>
            <w:pPr>
              <w:pStyle w:val="Compact"/>
            </w:pPr>
            <w:r>
              <w:t xml:space="preserve">Last 3 years monthly or annual P&amp;Ls for Miller Waste, Miller Compost, Miller Environmental; segment bridge for municipal, commercial, transfer, recycling, organics, hazardous</w:t>
            </w:r>
          </w:p>
        </w:tc>
      </w:tr>
      <w:tr>
        <w:tc>
          <w:tcPr/>
          <w:p>
            <w:pPr>
              <w:pStyle w:val="Compact"/>
            </w:pPr>
            <w:r>
              <w:t xml:space="preserve">Debt, leases, equipment financing, related-party loans</w:t>
            </w:r>
          </w:p>
        </w:tc>
        <w:tc>
          <w:tcPr/>
          <w:p>
            <w:pPr>
              <w:pStyle w:val="Compact"/>
            </w:pPr>
            <w:r>
              <w:t xml:space="preserve">Largest uncertainty in equity value</w:t>
            </w:r>
          </w:p>
        </w:tc>
        <w:tc>
          <w:tcPr/>
          <w:p>
            <w:pPr>
              <w:pStyle w:val="Compact"/>
            </w:pPr>
            <w:r>
              <w:t xml:space="preserve">Debt schedule by entity; lease schedule; equipment financing; shareholder loans; intercompany balances; post-Walker debt paydown evidence</w:t>
            </w:r>
          </w:p>
        </w:tc>
      </w:tr>
      <w:tr>
        <w:tc>
          <w:tcPr/>
          <w:p>
            <w:pPr>
              <w:pStyle w:val="Compact"/>
            </w:pPr>
            <w:r>
              <w:t xml:space="preserve">Contract book with annualized revenue and margin</w:t>
            </w:r>
          </w:p>
        </w:tc>
        <w:tc>
          <w:tcPr/>
          <w:p>
            <w:pPr>
              <w:pStyle w:val="Compact"/>
            </w:pPr>
            <w:r>
              <w:t xml:space="preserve">Needed to move from scale-based estimation to contract-based valuation</w:t>
            </w:r>
          </w:p>
        </w:tc>
        <w:tc>
          <w:tcPr/>
          <w:p>
            <w:pPr>
              <w:pStyle w:val="Compact"/>
            </w:pPr>
            <w:r>
              <w:t xml:space="preserve">Top 25 municipal contracts with annual revenue, EBITDA contribution, term end, CPI escalators, route density, and renewal odds</w:t>
            </w:r>
          </w:p>
        </w:tc>
      </w:tr>
      <w:tr>
        <w:tc>
          <w:tcPr/>
          <w:p>
            <w:pPr>
              <w:pStyle w:val="Compact"/>
            </w:pPr>
            <w:r>
              <w:t xml:space="preserve">Blue Box / EPR transition economics</w:t>
            </w:r>
          </w:p>
        </w:tc>
        <w:tc>
          <w:tcPr/>
          <w:p>
            <w:pPr>
              <w:pStyle w:val="Compact"/>
            </w:pPr>
            <w:r>
              <w:t xml:space="preserve">Ontario EPR has already altered municipal contract structures and economics</w:t>
            </w:r>
          </w:p>
        </w:tc>
        <w:tc>
          <w:tcPr/>
          <w:p>
            <w:pPr>
              <w:pStyle w:val="Compact"/>
            </w:pPr>
            <w:r>
              <w:t xml:space="preserve">Contract amendments, Circular Materials or producer-responsibility awards, and explicit revenue replacement / loss by zone</w:t>
            </w:r>
          </w:p>
        </w:tc>
      </w:tr>
      <w:tr>
        <w:tc>
          <w:tcPr/>
          <w:p>
            <w:pPr>
              <w:pStyle w:val="Compact"/>
            </w:pPr>
            <w:r>
              <w:t xml:space="preserve">Hazardous-waste permit capacity and environmental reserves</w:t>
            </w:r>
          </w:p>
        </w:tc>
        <w:tc>
          <w:tcPr/>
          <w:p>
            <w:pPr>
              <w:pStyle w:val="Compact"/>
            </w:pPr>
            <w:r>
              <w:t xml:space="preserve">Determines whether Miller Environmental deserves the upper or lower hazard multiple</w:t>
            </w:r>
          </w:p>
        </w:tc>
        <w:tc>
          <w:tcPr/>
          <w:p>
            <w:pPr>
              <w:pStyle w:val="Compact"/>
            </w:pPr>
            <w:r>
              <w:t xml:space="preserve">Facility permits, throughput, treatment capacity, liability reserves, closure obligations, emergency-response revenue, and customer concentration</w:t>
            </w:r>
          </w:p>
        </w:tc>
      </w:tr>
      <w:tr>
        <w:tc>
          <w:tcPr/>
          <w:p>
            <w:pPr>
              <w:pStyle w:val="Compact"/>
            </w:pPr>
            <w:r>
              <w:t xml:space="preserve">Real estate ownership split</w:t>
            </w:r>
          </w:p>
        </w:tc>
        <w:tc>
          <w:tcPr/>
          <w:p>
            <w:pPr>
              <w:pStyle w:val="Compact"/>
            </w:pPr>
            <w:r>
              <w:t xml:space="preserve">Needed to ensure real estate is properly excluded</w:t>
            </w:r>
          </w:p>
        </w:tc>
        <w:tc>
          <w:tcPr/>
          <w:p>
            <w:pPr>
              <w:pStyle w:val="Compact"/>
            </w:pPr>
            <w:r>
              <w:t xml:space="preserve">Fixed-asset register by opco; rent rolls and related-party leases; title schedule distinguishing operating-company-owned vs White Owl-owned real estate</w:t>
            </w:r>
          </w:p>
        </w:tc>
      </w:tr>
      <w:tr>
        <w:tc>
          <w:tcPr/>
          <w:p>
            <w:pPr>
              <w:pStyle w:val="Compact"/>
            </w:pPr>
            <w:r>
              <w:t xml:space="preserve">Walker transaction economics</w:t>
            </w:r>
          </w:p>
        </w:tc>
        <w:tc>
          <w:tcPr/>
          <w:p>
            <w:pPr>
              <w:pStyle w:val="Compact"/>
            </w:pPr>
            <w:r>
              <w:t xml:space="preserve">Could materially raise or lower current opco equity if proceeds or liabilities sat at opco level</w:t>
            </w:r>
          </w:p>
        </w:tc>
        <w:tc>
          <w:tcPr/>
          <w:p>
            <w:pPr>
              <w:pStyle w:val="Compact"/>
            </w:pPr>
            <w:r>
              <w:t xml:space="preserve">SPA summary, purchase price allocation, retained liabilities, TSA terms, intercompany service revenues retained or lost</w:t>
            </w:r>
          </w:p>
        </w:tc>
      </w:tr>
    </w:tbl>
    <w:p>
      <w:pPr>
        <w:pStyle w:val="BodyText"/>
      </w:pPr>
      <w:r>
        <w:t xml:space="preserve">The biggest unresolved questions are therefore</w:t>
      </w:r>
      <w:r>
        <w:t xml:space="preserve"> </w:t>
      </w:r>
      <w:r>
        <w:rPr>
          <w:b/>
          <w:bCs/>
        </w:rPr>
        <w:t xml:space="preserve">not</w:t>
      </w:r>
      <w:r>
        <w:t xml:space="preserve"> </w:t>
      </w:r>
      <w:r>
        <w:t xml:space="preserve">whether Miller is a real platform—it clearly is—but</w:t>
      </w:r>
      <w:r>
        <w:t xml:space="preserve"> </w:t>
      </w:r>
      <w:r>
        <w:rPr>
          <w:b/>
          <w:bCs/>
        </w:rPr>
        <w:t xml:space="preserve">how profitable it is</w:t>
      </w:r>
      <w:r>
        <w:t xml:space="preserve">,</w:t>
      </w:r>
      <w:r>
        <w:t xml:space="preserve"> </w:t>
      </w:r>
      <w:r>
        <w:rPr>
          <w:b/>
          <w:bCs/>
        </w:rPr>
        <w:t xml:space="preserve">how levered it is</w:t>
      </w:r>
      <w:r>
        <w:t xml:space="preserve">, and</w:t>
      </w:r>
      <w:r>
        <w:t xml:space="preserve"> </w:t>
      </w:r>
      <w:r>
        <w:rPr>
          <w:b/>
          <w:bCs/>
        </w:rPr>
        <w:t xml:space="preserve">how much value left with the Walker transaction</w:t>
      </w:r>
      <w:r>
        <w:t xml:space="preserve">. If diligence shows EBITDA margins closer to the high end of the scenario range and net debt materially lower because Walker proceeds delevered the opcos, equity value could move</w:t>
      </w:r>
      <w:r>
        <w:t xml:space="preserve"> </w:t>
      </w:r>
      <w:r>
        <w:rPr>
          <w:b/>
          <w:bCs/>
        </w:rPr>
        <w:t xml:space="preserve">meaningfully above</w:t>
      </w:r>
      <w:r>
        <w:t xml:space="preserve"> </w:t>
      </w:r>
      <w:r>
        <w:t xml:space="preserve">the base-case figure. If diligence instead shows municipal concentration, EPR-related runoff, heavy equipment financing, or meaningful environmental reserves, equity value could move</w:t>
      </w:r>
      <w:r>
        <w:t xml:space="preserve"> </w:t>
      </w:r>
      <w:r>
        <w:rPr>
          <w:b/>
          <w:bCs/>
        </w:rPr>
        <w:t xml:space="preserve">meaningfully below</w:t>
      </w:r>
      <w:r>
        <w:t xml:space="preserve"> </w:t>
      </w:r>
      <w:r>
        <w:t xml:space="preserve">it.</w:t>
      </w:r>
      <w:r>
        <w:t xml:space="preserve"> </w:t>
      </w:r>
      <w:hyperlink r:id="rId33">
        <w:r>
          <w:rPr>
            <w:rStyle w:val="Hyperlink"/>
          </w:rPr>
          <w:t xml:space="preserve">[33]</w:t>
        </w:r>
      </w:hyperlink>
    </w:p>
    <w:p>
      <w:pPr>
        <w:pStyle w:val="BodyText"/>
      </w:pPr>
      <w:r>
        <w:t xml:space="preserve">The headline conclusion remains: on the public record currently available, a reasonable working estimate for the</w:t>
      </w:r>
      <w:r>
        <w:t xml:space="preserve"> </w:t>
      </w:r>
      <w:r>
        <w:rPr>
          <w:b/>
          <w:bCs/>
        </w:rPr>
        <w:t xml:space="preserve">current</w:t>
      </w:r>
      <w:r>
        <w:t xml:space="preserve"> </w:t>
      </w:r>
      <w:r>
        <w:t xml:space="preserve">White Owl-owned Miller-branded operating companies is</w:t>
      </w:r>
      <w:r>
        <w:t xml:space="preserve"> </w:t>
      </w:r>
      <w:r>
        <w:rPr>
          <w:b/>
          <w:bCs/>
        </w:rPr>
        <w:t xml:space="preserve">about C$0.8 billion of enterprise value and about C$0.6 billion of equity value</w:t>
      </w:r>
      <w:r>
        <w:t xml:space="preserve">, with a defensible range of roughly</w:t>
      </w:r>
      <w:r>
        <w:t xml:space="preserve"> </w:t>
      </w:r>
      <w:r>
        <w:rPr>
          <w:b/>
          <w:bCs/>
        </w:rPr>
        <w:t xml:space="preserve">C$0.4 billion to C$1.2 billion of EV</w:t>
      </w:r>
      <w:r>
        <w:t xml:space="preserve"> </w:t>
      </w:r>
      <w:r>
        <w:t xml:space="preserve">and</w:t>
      </w:r>
      <w:r>
        <w:t xml:space="preserve"> </w:t>
      </w:r>
      <w:r>
        <w:rPr>
          <w:b/>
          <w:bCs/>
        </w:rPr>
        <w:t xml:space="preserve">C$0.25 billion to C$1.0 billion of equity value</w:t>
      </w:r>
      <w:r>
        <w:t xml:space="preserve">.</w:t>
      </w:r>
    </w:p>
    <w:bookmarkEnd w:id="50"/>
    <w:bookmarkEnd w:id="51"/>
    <w:bookmarkEnd w:id="52"/>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[5]</w:t>
        </w:r>
      </w:hyperlink>
      <w:r>
        <w:t xml:space="preserve"> </w:t>
      </w:r>
      <w:hyperlink r:id="rId21">
        <w:r>
          <w:rPr>
            <w:rStyle w:val="Hyperlink"/>
          </w:rPr>
          <w:t xml:space="preserve">[29]</w:t>
        </w:r>
      </w:hyperlink>
      <w:r>
        <w:t xml:space="preserve"> </w:t>
      </w:r>
      <w:r>
        <w:t xml:space="preserve">Home - Miller Waste Systems - Waste Management Solutions</w:t>
      </w:r>
    </w:p>
    <w:p>
      <w:pPr>
        <w:pStyle w:val="BodyText"/>
      </w:pPr>
      <w:hyperlink r:id="rId21">
        <w:r>
          <w:rPr>
            <w:rStyle w:val="Hyperlink"/>
          </w:rPr>
          <w:t xml:space="preserve">https://millerwaste.ca/?utm_source=chatgpt.com</w:t>
        </w:r>
      </w:hyperlink>
    </w:p>
    <w:p>
      <w:pPr>
        <w:pStyle w:val="BodyText"/>
      </w:pPr>
      <w:hyperlink r:id="rId23">
        <w:r>
          <w:rPr>
            <w:rStyle w:val="Hyperlink"/>
          </w:rPr>
          <w:t xml:space="preserve">[3]</w:t>
        </w:r>
      </w:hyperlink>
      <w:r>
        <w:t xml:space="preserve"> </w:t>
      </w:r>
      <w:hyperlink r:id="rId23">
        <w:r>
          <w:rPr>
            <w:rStyle w:val="Hyperlink"/>
          </w:rPr>
          <w:t xml:space="preserve">[19]</w:t>
        </w:r>
      </w:hyperlink>
      <w:r>
        <w:t xml:space="preserve"> </w:t>
      </w:r>
      <w:hyperlink r:id="rId23">
        <w:r>
          <w:rPr>
            <w:rStyle w:val="Hyperlink"/>
          </w:rPr>
          <w:t xml:space="preserve">[23]</w:t>
        </w:r>
      </w:hyperlink>
      <w:r>
        <w:t xml:space="preserve"> </w:t>
      </w:r>
      <w:r>
        <w:t xml:space="preserve">https://investors.wm.com/news-releases/news-release-details/wm-announces-fourth-quarter-and-full-year-2025-earnings/</w:t>
      </w:r>
    </w:p>
    <w:p>
      <w:pPr>
        <w:pStyle w:val="BodyText"/>
      </w:pPr>
      <w:hyperlink r:id="rId23">
        <w:r>
          <w:rPr>
            <w:rStyle w:val="Hyperlink"/>
          </w:rPr>
          <w:t xml:space="preserve">https://investors.wm.com/news-releases/news-release-details/wm-announces-fourth-quarter-and-full-year-2025-earnings/</w:t>
        </w:r>
      </w:hyperlink>
    </w:p>
    <w:p>
      <w:pPr>
        <w:pStyle w:val="BodyText"/>
      </w:pPr>
      <w:hyperlink r:id="rId24">
        <w:r>
          <w:rPr>
            <w:rStyle w:val="Hyperlink"/>
          </w:rPr>
          <w:t xml:space="preserve">[4]</w:t>
        </w:r>
      </w:hyperlink>
      <w:r>
        <w:t xml:space="preserve"> </w:t>
      </w:r>
      <w:hyperlink r:id="rId24">
        <w:r>
          <w:rPr>
            <w:rStyle w:val="Hyperlink"/>
          </w:rPr>
          <w:t xml:space="preserve">[6]</w:t>
        </w:r>
      </w:hyperlink>
      <w:r>
        <w:t xml:space="preserve"> </w:t>
      </w:r>
      <w:hyperlink r:id="rId24">
        <w:r>
          <w:rPr>
            <w:rStyle w:val="Hyperlink"/>
          </w:rPr>
          <w:t xml:space="preserve">[18]</w:t>
        </w:r>
      </w:hyperlink>
      <w:r>
        <w:t xml:space="preserve"> </w:t>
      </w:r>
      <w:r>
        <w:t xml:space="preserve">https://millerwaste.ca/wp-content/uploads/2021/09/News-Release-Sept-30-2019.pdf</w:t>
      </w:r>
    </w:p>
    <w:p>
      <w:pPr>
        <w:pStyle w:val="BodyText"/>
      </w:pPr>
      <w:hyperlink r:id="rId24">
        <w:r>
          <w:rPr>
            <w:rStyle w:val="Hyperlink"/>
          </w:rPr>
          <w:t xml:space="preserve">https://millerwaste.ca/wp-content/uploads/2021/09/News-Release-Sept-30-2019.pdf</w:t>
        </w:r>
      </w:hyperlink>
    </w:p>
    <w:p>
      <w:pPr>
        <w:pStyle w:val="BodyText"/>
      </w:pPr>
      <w:hyperlink r:id="rId26">
        <w:r>
          <w:rPr>
            <w:rStyle w:val="Hyperlink"/>
          </w:rPr>
          <w:t xml:space="preserve">[7]</w:t>
        </w:r>
      </w:hyperlink>
      <w:r>
        <w:t xml:space="preserve"> </w:t>
      </w:r>
      <w:r>
        <w:t xml:space="preserve">Miller Waste: Partnering to navigate the complexity of enterprise commerce | Global Payments</w:t>
      </w:r>
    </w:p>
    <w:p>
      <w:pPr>
        <w:pStyle w:val="BodyText"/>
      </w:pPr>
      <w:hyperlink r:id="rId26">
        <w:r>
          <w:rPr>
            <w:rStyle w:val="Hyperlink"/>
          </w:rPr>
          <w:t xml:space="preserve">https://www.globalpayments.com/en-ca/insights/miller-waste</w:t>
        </w:r>
      </w:hyperlink>
    </w:p>
    <w:p>
      <w:pPr>
        <w:pStyle w:val="BodyText"/>
      </w:pPr>
      <w:hyperlink r:id="rId27">
        <w:r>
          <w:rPr>
            <w:rStyle w:val="Hyperlink"/>
          </w:rPr>
          <w:t xml:space="preserve">[8]</w:t>
        </w:r>
      </w:hyperlink>
      <w:r>
        <w:t xml:space="preserve"> </w:t>
      </w:r>
      <w:hyperlink r:id="rId27">
        <w:r>
          <w:rPr>
            <w:rStyle w:val="Hyperlink"/>
          </w:rPr>
          <w:t xml:space="preserve">[17]</w:t>
        </w:r>
      </w:hyperlink>
      <w:r>
        <w:t xml:space="preserve"> </w:t>
      </w:r>
      <w:hyperlink r:id="rId27">
        <w:r>
          <w:rPr>
            <w:rStyle w:val="Hyperlink"/>
          </w:rPr>
          <w:t xml:space="preserve">[22]</w:t>
        </w:r>
      </w:hyperlink>
      <w:r>
        <w:t xml:space="preserve"> </w:t>
      </w:r>
      <w:r>
        <w:t xml:space="preserve">Miller Waste Systems Case Study | AMCS</w:t>
      </w:r>
    </w:p>
    <w:p>
      <w:pPr>
        <w:pStyle w:val="BodyText"/>
      </w:pPr>
      <w:hyperlink r:id="rId27">
        <w:r>
          <w:rPr>
            <w:rStyle w:val="Hyperlink"/>
          </w:rPr>
          <w:t xml:space="preserve">https://www.amcsgroup.com/success-stories/miller-waste-systems/</w:t>
        </w:r>
      </w:hyperlink>
    </w:p>
    <w:p>
      <w:pPr>
        <w:pStyle w:val="BodyText"/>
      </w:pPr>
      <w:hyperlink r:id="rId28">
        <w:r>
          <w:rPr>
            <w:rStyle w:val="Hyperlink"/>
          </w:rPr>
          <w:t xml:space="preserve">[9]</w:t>
        </w:r>
      </w:hyperlink>
      <w:r>
        <w:t xml:space="preserve"> </w:t>
      </w:r>
      <w:hyperlink r:id="rId28">
        <w:r>
          <w:rPr>
            <w:rStyle w:val="Hyperlink"/>
          </w:rPr>
          <w:t xml:space="preserve">[15]</w:t>
        </w:r>
      </w:hyperlink>
      <w:r>
        <w:t xml:space="preserve"> </w:t>
      </w:r>
      <w:r>
        <w:t xml:space="preserve">Contracts awarded under delegation of authority ... - Documents</w:t>
      </w:r>
    </w:p>
    <w:p>
      <w:pPr>
        <w:pStyle w:val="BodyText"/>
      </w:pPr>
      <w:hyperlink r:id="rId28">
        <w:r>
          <w:rPr>
            <w:rStyle w:val="Hyperlink"/>
          </w:rPr>
          <w:t xml:space="preserve">https://documents.ottawa.ca/sites/default/files/Contracts%20awarded%20under%20delegation%20of%20authority%20for%20Jan-June%202024-AODA.pdf?utm_source=chatgpt.com</w:t>
        </w:r>
      </w:hyperlink>
    </w:p>
    <w:p>
      <w:pPr>
        <w:pStyle w:val="BodyText"/>
      </w:pPr>
      <w:hyperlink r:id="rId29">
        <w:r>
          <w:rPr>
            <w:rStyle w:val="Hyperlink"/>
          </w:rPr>
          <w:t xml:space="preserve">[10]</w:t>
        </w:r>
      </w:hyperlink>
      <w:r>
        <w:t xml:space="preserve"> </w:t>
      </w:r>
      <w:r>
        <w:t xml:space="preserve">https://haltonpoliceboard.ca/wp-content/uploads/2024/07/Halton-Police-Board-Public-Meeting-August-29-2024.pdf</w:t>
      </w:r>
    </w:p>
    <w:p>
      <w:pPr>
        <w:pStyle w:val="BodyText"/>
      </w:pPr>
      <w:hyperlink r:id="rId29">
        <w:r>
          <w:rPr>
            <w:rStyle w:val="Hyperlink"/>
          </w:rPr>
          <w:t xml:space="preserve">https://haltonpoliceboard.ca/wp-content/uploads/2024/07/Halton-Police-Board-Public-Meeting-August-29-2024.pdf</w:t>
        </w:r>
      </w:hyperlink>
    </w:p>
    <w:p>
      <w:pPr>
        <w:pStyle w:val="BodyText"/>
      </w:pPr>
      <w:hyperlink r:id="rId30">
        <w:r>
          <w:rPr>
            <w:rStyle w:val="Hyperlink"/>
          </w:rPr>
          <w:t xml:space="preserve">[11]</w:t>
        </w:r>
      </w:hyperlink>
      <w:r>
        <w:t xml:space="preserve"> </w:t>
      </w:r>
      <w:r>
        <w:t xml:space="preserve">vaughan.ca</w:t>
      </w:r>
    </w:p>
    <w:p>
      <w:pPr>
        <w:pStyle w:val="BodyText"/>
      </w:pPr>
      <w:hyperlink r:id="rId30">
        <w:r>
          <w:rPr>
            <w:rStyle w:val="Hyperlink"/>
          </w:rPr>
          <w:t xml:space="preserve">https://www.vaughan.ca/sites/default/files/CW0117_17_1.pdf</w:t>
        </w:r>
      </w:hyperlink>
    </w:p>
    <w:p>
      <w:pPr>
        <w:pStyle w:val="BodyText"/>
      </w:pPr>
      <w:hyperlink r:id="rId31">
        <w:r>
          <w:rPr>
            <w:rStyle w:val="Hyperlink"/>
          </w:rPr>
          <w:t xml:space="preserve">[12]</w:t>
        </w:r>
      </w:hyperlink>
      <w:r>
        <w:t xml:space="preserve"> </w:t>
      </w:r>
      <w:r>
        <w:t xml:space="preserve">millerwaste.ca</w:t>
      </w:r>
    </w:p>
    <w:p>
      <w:pPr>
        <w:pStyle w:val="BodyText"/>
      </w:pPr>
      <w:hyperlink r:id="rId31">
        <w:r>
          <w:rPr>
            <w:rStyle w:val="Hyperlink"/>
          </w:rPr>
          <w:t xml:space="preserve">https://millerwaste.ca/wp-content/uploads/2021/09/Award-Letter-089-R-19-Residential-and-Multi-Residential-Waste-Management-Collection.pdf</w:t>
        </w:r>
      </w:hyperlink>
    </w:p>
    <w:p>
      <w:pPr>
        <w:pStyle w:val="BodyText"/>
      </w:pPr>
      <w:hyperlink r:id="rId32">
        <w:r>
          <w:rPr>
            <w:rStyle w:val="Hyperlink"/>
          </w:rPr>
          <w:t xml:space="preserve">[13]</w:t>
        </w:r>
      </w:hyperlink>
      <w:r>
        <w:t xml:space="preserve"> </w:t>
      </w:r>
      <w:r>
        <w:t xml:space="preserve">Solid Waste Collection - Town of Amherst</w:t>
      </w:r>
    </w:p>
    <w:p>
      <w:pPr>
        <w:pStyle w:val="BodyText"/>
      </w:pPr>
      <w:hyperlink r:id="rId32">
        <w:r>
          <w:rPr>
            <w:rStyle w:val="Hyperlink"/>
          </w:rPr>
          <w:t xml:space="preserve">https://www.amherst.ca/solid-waste-collection.html?utm_source=chatgpt.com</w:t>
        </w:r>
      </w:hyperlink>
    </w:p>
    <w:p>
      <w:pPr>
        <w:pStyle w:val="BodyText"/>
      </w:pPr>
      <w:hyperlink r:id="rId33">
        <w:r>
          <w:rPr>
            <w:rStyle w:val="Hyperlink"/>
          </w:rPr>
          <w:t xml:space="preserve">[14]</w:t>
        </w:r>
      </w:hyperlink>
      <w:r>
        <w:t xml:space="preserve"> </w:t>
      </w:r>
      <w:hyperlink r:id="rId33">
        <w:r>
          <w:rPr>
            <w:rStyle w:val="Hyperlink"/>
          </w:rPr>
          <w:t xml:space="preserve">[21]</w:t>
        </w:r>
      </w:hyperlink>
      <w:r>
        <w:t xml:space="preserve"> </w:t>
      </w:r>
      <w:hyperlink r:id="rId33">
        <w:r>
          <w:rPr>
            <w:rStyle w:val="Hyperlink"/>
          </w:rPr>
          <w:t xml:space="preserve">[33]</w:t>
        </w:r>
      </w:hyperlink>
      <w:r>
        <w:t xml:space="preserve"> </w:t>
      </w:r>
      <w:r>
        <w:t xml:space="preserve">https://walkerind.com/walker-industries-acquires-biogas-facilities-from-miller-waste-systems-strengthening-its-renewable-energy-portfolio/</w:t>
      </w:r>
    </w:p>
    <w:p>
      <w:pPr>
        <w:pStyle w:val="BodyText"/>
      </w:pPr>
      <w:hyperlink r:id="rId33">
        <w:r>
          <w:rPr>
            <w:rStyle w:val="Hyperlink"/>
          </w:rPr>
          <w:t xml:space="preserve">https://walkerind.com/walker-industries-acquires-biogas-facilities-from-miller-waste-systems-strengthening-its-renewable-energy-portfolio/</w:t>
        </w:r>
      </w:hyperlink>
    </w:p>
    <w:p>
      <w:pPr>
        <w:pStyle w:val="BodyText"/>
      </w:pPr>
      <w:hyperlink r:id="rId37">
        <w:r>
          <w:rPr>
            <w:rStyle w:val="Hyperlink"/>
          </w:rPr>
          <w:t xml:space="preserve">[16]</w:t>
        </w:r>
      </w:hyperlink>
      <w:r>
        <w:t xml:space="preserve"> </w:t>
      </w:r>
      <w:hyperlink r:id="rId37">
        <w:r>
          <w:rPr>
            <w:rStyle w:val="Hyperlink"/>
          </w:rPr>
          <w:t xml:space="preserve">[27]</w:t>
        </w:r>
      </w:hyperlink>
      <w:r>
        <w:t xml:space="preserve"> </w:t>
      </w:r>
      <w:r>
        <w:t xml:space="preserve">https://ir.casella.com/static-files/46a3af44-5d31-4bfb-aacf-de81e8516c1c</w:t>
      </w:r>
    </w:p>
    <w:p>
      <w:pPr>
        <w:pStyle w:val="BodyText"/>
      </w:pPr>
      <w:hyperlink r:id="rId37">
        <w:r>
          <w:rPr>
            <w:rStyle w:val="Hyperlink"/>
          </w:rPr>
          <w:t xml:space="preserve">https://ir.casella.com/static-files/46a3af44-5d31-4bfb-aacf-de81e8516c1c</w:t>
        </w:r>
      </w:hyperlink>
    </w:p>
    <w:p>
      <w:pPr>
        <w:pStyle w:val="BodyText"/>
      </w:pPr>
      <w:hyperlink r:id="rId39">
        <w:r>
          <w:rPr>
            <w:rStyle w:val="Hyperlink"/>
          </w:rPr>
          <w:t xml:space="preserve">[20]</w:t>
        </w:r>
      </w:hyperlink>
      <w:r>
        <w:t xml:space="preserve"> </w:t>
      </w:r>
      <w:r>
        <w:t xml:space="preserve">https://investors.wasteconnections.com/financials/2024-annual-report/default.aspx</w:t>
      </w:r>
    </w:p>
    <w:p>
      <w:pPr>
        <w:pStyle w:val="BodyText"/>
      </w:pPr>
      <w:hyperlink r:id="rId39">
        <w:r>
          <w:rPr>
            <w:rStyle w:val="Hyperlink"/>
          </w:rPr>
          <w:t xml:space="preserve">https://investors.wasteconnections.com/financials/2024-annual-report/default.aspx</w:t>
        </w:r>
      </w:hyperlink>
    </w:p>
    <w:p>
      <w:pPr>
        <w:pStyle w:val="BodyText"/>
      </w:pPr>
      <w:hyperlink r:id="rId42">
        <w:r>
          <w:rPr>
            <w:rStyle w:val="Hyperlink"/>
          </w:rPr>
          <w:t xml:space="preserve">[24]</w:t>
        </w:r>
      </w:hyperlink>
      <w:r>
        <w:t xml:space="preserve"> </w:t>
      </w:r>
      <w:r>
        <w:t xml:space="preserve">https://investor.republicservices.com/static-files/9bc2f8b9-764b-4a60-8499-033f9ac07aee</w:t>
      </w:r>
    </w:p>
    <w:p>
      <w:pPr>
        <w:pStyle w:val="BodyText"/>
      </w:pPr>
      <w:hyperlink r:id="rId42">
        <w:r>
          <w:rPr>
            <w:rStyle w:val="Hyperlink"/>
          </w:rPr>
          <w:t xml:space="preserve">https://investor.republicservices.com/static-files/9bc2f8b9-764b-4a60-8499-033f9ac07aee</w:t>
        </w:r>
      </w:hyperlink>
    </w:p>
    <w:p>
      <w:pPr>
        <w:pStyle w:val="BodyText"/>
      </w:pPr>
      <w:hyperlink r:id="rId43">
        <w:r>
          <w:rPr>
            <w:rStyle w:val="Hyperlink"/>
          </w:rPr>
          <w:t xml:space="preserve">[25]</w:t>
        </w:r>
      </w:hyperlink>
      <w:r>
        <w:t xml:space="preserve"> </w:t>
      </w:r>
      <w:r>
        <w:t xml:space="preserve">https://investors.wasteconnections.com/news/news-details/2026/Waste-Connections-Reports-Fourth-Quarter-2025-Results-and-Provides-2026-Outlook/default.aspx</w:t>
      </w:r>
    </w:p>
    <w:p>
      <w:pPr>
        <w:pStyle w:val="BodyText"/>
      </w:pPr>
      <w:hyperlink r:id="rId43">
        <w:r>
          <w:rPr>
            <w:rStyle w:val="Hyperlink"/>
          </w:rPr>
          <w:t xml:space="preserve">https://investors.wasteconnections.com/news/news-details/2026/Waste-Connections-Reports-Fourth-Quarter-2025-Results-and-Provides-2026-Outlook/default.aspx</w:t>
        </w:r>
      </w:hyperlink>
    </w:p>
    <w:p>
      <w:pPr>
        <w:pStyle w:val="BodyText"/>
      </w:pPr>
      <w:hyperlink r:id="rId44">
        <w:r>
          <w:rPr>
            <w:rStyle w:val="Hyperlink"/>
          </w:rPr>
          <w:t xml:space="preserve">[26]</w:t>
        </w:r>
      </w:hyperlink>
      <w:r>
        <w:t xml:space="preserve"> </w:t>
      </w:r>
      <w:r>
        <w:t xml:space="preserve">https://investors.gflenv.com/English/news/news-details/2026/GFL-Environmental-Reports-Fourth-Quarter-and-Full-Year-2025-Results-Provides-Full-Year-2026-Guidance/default.aspx</w:t>
      </w:r>
    </w:p>
    <w:p>
      <w:pPr>
        <w:pStyle w:val="BodyText"/>
      </w:pPr>
      <w:hyperlink r:id="rId44">
        <w:r>
          <w:rPr>
            <w:rStyle w:val="Hyperlink"/>
          </w:rPr>
          <w:t xml:space="preserve">https://investors.gflenv.com/English/news/news-details/2026/GFL-Environmental-Reports-Fourth-Quarter-and-Full-Year-2025-Results-Provides-Full-Year-2026-Guidance/default.aspx</w:t>
        </w:r>
      </w:hyperlink>
    </w:p>
    <w:p>
      <w:pPr>
        <w:pStyle w:val="BodyText"/>
      </w:pPr>
      <w:hyperlink r:id="rId45">
        <w:r>
          <w:rPr>
            <w:rStyle w:val="Hyperlink"/>
          </w:rPr>
          <w:t xml:space="preserve">[28]</w:t>
        </w:r>
      </w:hyperlink>
      <w:r>
        <w:t xml:space="preserve"> </w:t>
      </w:r>
      <w:r>
        <w:t xml:space="preserve">https://ir.cleanharbors.com/news-releases/news-release-details/clean-harbors-announces-fourth-quarter-and-full-year-2025</w:t>
      </w:r>
    </w:p>
    <w:p>
      <w:pPr>
        <w:pStyle w:val="BodyText"/>
      </w:pPr>
      <w:hyperlink r:id="rId45">
        <w:r>
          <w:rPr>
            <w:rStyle w:val="Hyperlink"/>
          </w:rPr>
          <w:t xml:space="preserve">https://ir.cleanharbors.com/news-releases/news-release-details/clean-harbors-announces-fourth-quarter-and-full-year-2025</w:t>
        </w:r>
      </w:hyperlink>
    </w:p>
    <w:p>
      <w:pPr>
        <w:pStyle w:val="BodyText"/>
      </w:pPr>
      <w:hyperlink r:id="rId46">
        <w:r>
          <w:rPr>
            <w:rStyle w:val="Hyperlink"/>
          </w:rPr>
          <w:t xml:space="preserve">[30]</w:t>
        </w:r>
      </w:hyperlink>
      <w:r>
        <w:t xml:space="preserve"> </w:t>
      </w:r>
      <w:r>
        <w:t xml:space="preserve">https://investors.gflenv.com/English/news/news-details/2021/GFL-Environmental-Announces-Proposed-Acquisition-of-Terrapure-Environmental/default.aspx</w:t>
      </w:r>
    </w:p>
    <w:p>
      <w:pPr>
        <w:pStyle w:val="BodyText"/>
      </w:pPr>
      <w:hyperlink r:id="rId46">
        <w:r>
          <w:rPr>
            <w:rStyle w:val="Hyperlink"/>
          </w:rPr>
          <w:t xml:space="preserve">https://investors.gflenv.com/English/news/news-details/2021/GFL-Environmental-Announces-Proposed-Acquisition-of-Terrapure-Environmental/default.aspx</w:t>
        </w:r>
      </w:hyperlink>
    </w:p>
    <w:p>
      <w:pPr>
        <w:pStyle w:val="BodyText"/>
      </w:pPr>
      <w:hyperlink r:id="rId47">
        <w:r>
          <w:rPr>
            <w:rStyle w:val="Hyperlink"/>
          </w:rPr>
          <w:t xml:space="preserve">[31]</w:t>
        </w:r>
      </w:hyperlink>
      <w:r>
        <w:t xml:space="preserve"> </w:t>
      </w:r>
      <w:r>
        <w:t xml:space="preserve">News &amp; Reports</w:t>
      </w:r>
    </w:p>
    <w:p>
      <w:pPr>
        <w:pStyle w:val="BodyText"/>
      </w:pPr>
      <w:hyperlink r:id="rId47">
        <w:r>
          <w:rPr>
            <w:rStyle w:val="Hyperlink"/>
          </w:rPr>
          <w:t xml:space="preserve">https://walkerind.com/news-reports/?utm_source=chatgpt.com</w:t>
        </w:r>
      </w:hyperlink>
    </w:p>
    <w:p>
      <w:pPr>
        <w:pStyle w:val="BodyText"/>
      </w:pPr>
      <w:hyperlink r:id="rId48">
        <w:r>
          <w:rPr>
            <w:rStyle w:val="Hyperlink"/>
          </w:rPr>
          <w:t xml:space="preserve">[32]</w:t>
        </w:r>
      </w:hyperlink>
      <w:r>
        <w:t xml:space="preserve"> </w:t>
      </w:r>
      <w:r>
        <w:t xml:space="preserve">https://secure.mediaroom.com/2021-03-09-SECURE-Energy-Services-Inc-and-Tervita-Corporation-Merge-to-Create-a-Stronger-Midstream-Infrastructure-and-Environmental-Solutions-Business</w:t>
      </w:r>
    </w:p>
    <w:p>
      <w:pPr>
        <w:pStyle w:val="BodyText"/>
      </w:pPr>
      <w:hyperlink r:id="rId48">
        <w:r>
          <w:rPr>
            <w:rStyle w:val="Hyperlink"/>
          </w:rPr>
          <w:t xml:space="preserve">https://secure.mediaroom.com/2021-03-09-SECURE-Energy-Services-Inc-and-Tervita-Corporation-Merge-to-Create-a-Stronger-Midstream-Infrastructure-and-Environmental-Solutions-Business</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hyperlink" Id="rId28" Target="https://documents.ottawa.ca/sites/default/files/Contracts%20awarded%20under%20delegation%20of%20authority%20for%20Jan-June%202024-AODA.pdf?utm_source=chatgpt.com" TargetMode="External" /><Relationship Type="http://schemas.openxmlformats.org/officeDocument/2006/relationships/hyperlink" Id="rId29" Target="https://haltonpoliceboard.ca/wp-content/uploads/2024/07/Halton-Police-Board-Public-Meeting-August-29-2024.pdf" TargetMode="External" /><Relationship Type="http://schemas.openxmlformats.org/officeDocument/2006/relationships/hyperlink" Id="rId42" Target="https://investor.republicservices.com/static-files/9bc2f8b9-764b-4a60-8499-033f9ac07aee" TargetMode="External" /><Relationship Type="http://schemas.openxmlformats.org/officeDocument/2006/relationships/hyperlink" Id="rId46" Target="https://investors.gflenv.com/English/news/news-details/2021/GFL-Environmental-Announces-Proposed-Acquisition-of-Terrapure-Environmental/default.aspx" TargetMode="External" /><Relationship Type="http://schemas.openxmlformats.org/officeDocument/2006/relationships/hyperlink" Id="rId44" Target="https://investors.gflenv.com/English/news/news-details/2026/GFL-Environmental-Reports-Fourth-Quarter-and-Full-Year-2025-Results-Provides-Full-Year-2026-Guidance/default.aspx" TargetMode="External" /><Relationship Type="http://schemas.openxmlformats.org/officeDocument/2006/relationships/hyperlink" Id="rId39" Target="https://investors.wasteconnections.com/financials/2024-annual-report/default.aspx" TargetMode="External" /><Relationship Type="http://schemas.openxmlformats.org/officeDocument/2006/relationships/hyperlink" Id="rId43" Target="https://investors.wasteconnections.com/news/news-details/2026/Waste-Connections-Reports-Fourth-Quarter-2025-Results-and-Provides-2026-Outlook/default.aspx" TargetMode="External" /><Relationship Type="http://schemas.openxmlformats.org/officeDocument/2006/relationships/hyperlink" Id="rId23" Target="https://investors.wm.com/news-releases/news-release-details/wm-announces-fourth-quarter-and-full-year-2025-earnings/" TargetMode="External" /><Relationship Type="http://schemas.openxmlformats.org/officeDocument/2006/relationships/hyperlink" Id="rId37" Target="https://ir.casella.com/static-files/46a3af44-5d31-4bfb-aacf-de81e8516c1c" TargetMode="External" /><Relationship Type="http://schemas.openxmlformats.org/officeDocument/2006/relationships/hyperlink" Id="rId45" Target="https://ir.cleanharbors.com/news-releases/news-release-details/clean-harbors-announces-fourth-quarter-and-full-year-2025" TargetMode="External" /><Relationship Type="http://schemas.openxmlformats.org/officeDocument/2006/relationships/hyperlink" Id="rId21" Target="https://millerwaste.ca/?utm_source=chatgpt.com" TargetMode="External" /><Relationship Type="http://schemas.openxmlformats.org/officeDocument/2006/relationships/hyperlink" Id="rId31" Target="https://millerwaste.ca/wp-content/uploads/2021/09/Award-Letter-089-R-19-Residential-and-Multi-Residential-Waste-Management-Collection.pdf" TargetMode="External" /><Relationship Type="http://schemas.openxmlformats.org/officeDocument/2006/relationships/hyperlink" Id="rId24" Target="https://millerwaste.ca/wp-content/uploads/2021/09/News-Release-Sept-30-2019.pdf" TargetMode="External" /><Relationship Type="http://schemas.openxmlformats.org/officeDocument/2006/relationships/hyperlink" Id="rId48" Target="https://secure.mediaroom.com/2021-03-09-SECURE-Energy-Services-Inc-and-Tervita-Corporation-Merge-to-Create-a-Stronger-Midstream-Infrastructure-and-Environmental-Solutions-Business" TargetMode="External" /><Relationship Type="http://schemas.openxmlformats.org/officeDocument/2006/relationships/hyperlink" Id="rId47" Target="https://walkerind.com/news-reports/?utm_source=chatgpt.com" TargetMode="External" /><Relationship Type="http://schemas.openxmlformats.org/officeDocument/2006/relationships/hyperlink" Id="rId33" Target="https://walkerind.com/walker-industries-acquires-biogas-facilities-from-miller-waste-systems-strengthening-its-renewable-energy-portfolio/" TargetMode="External" /><Relationship Type="http://schemas.openxmlformats.org/officeDocument/2006/relationships/hyperlink" Id="rId27" Target="https://www.amcsgroup.com/success-stories/miller-waste-systems/" TargetMode="External" /><Relationship Type="http://schemas.openxmlformats.org/officeDocument/2006/relationships/hyperlink" Id="rId32" Target="https://www.amherst.ca/solid-waste-collection.html?utm_source=chatgpt.com" TargetMode="External" /><Relationship Type="http://schemas.openxmlformats.org/officeDocument/2006/relationships/hyperlink" Id="rId26" Target="https://www.globalpayments.com/en-ca/insights/miller-waste" TargetMode="External" /><Relationship Type="http://schemas.openxmlformats.org/officeDocument/2006/relationships/hyperlink" Id="rId30" Target="https://www.vaughan.ca/sites/default/files/CW0117_17_1.pdf" TargetMode="External" /></Relationships>
</file>

<file path=word/_rels/footnotes.xml.rels><?xml version="1.0" encoding="UTF-8"?><Relationships xmlns="http://schemas.openxmlformats.org/package/2006/relationships"><Relationship Type="http://schemas.openxmlformats.org/officeDocument/2006/relationships/hyperlink" Id="rId28" Target="https://documents.ottawa.ca/sites/default/files/Contracts%20awarded%20under%20delegation%20of%20authority%20for%20Jan-June%202024-AODA.pdf?utm_source=chatgpt.com" TargetMode="External" /><Relationship Type="http://schemas.openxmlformats.org/officeDocument/2006/relationships/hyperlink" Id="rId29" Target="https://haltonpoliceboard.ca/wp-content/uploads/2024/07/Halton-Police-Board-Public-Meeting-August-29-2024.pdf" TargetMode="External" /><Relationship Type="http://schemas.openxmlformats.org/officeDocument/2006/relationships/hyperlink" Id="rId42" Target="https://investor.republicservices.com/static-files/9bc2f8b9-764b-4a60-8499-033f9ac07aee" TargetMode="External" /><Relationship Type="http://schemas.openxmlformats.org/officeDocument/2006/relationships/hyperlink" Id="rId46" Target="https://investors.gflenv.com/English/news/news-details/2021/GFL-Environmental-Announces-Proposed-Acquisition-of-Terrapure-Environmental/default.aspx" TargetMode="External" /><Relationship Type="http://schemas.openxmlformats.org/officeDocument/2006/relationships/hyperlink" Id="rId44" Target="https://investors.gflenv.com/English/news/news-details/2026/GFL-Environmental-Reports-Fourth-Quarter-and-Full-Year-2025-Results-Provides-Full-Year-2026-Guidance/default.aspx" TargetMode="External" /><Relationship Type="http://schemas.openxmlformats.org/officeDocument/2006/relationships/hyperlink" Id="rId39" Target="https://investors.wasteconnections.com/financials/2024-annual-report/default.aspx" TargetMode="External" /><Relationship Type="http://schemas.openxmlformats.org/officeDocument/2006/relationships/hyperlink" Id="rId43" Target="https://investors.wasteconnections.com/news/news-details/2026/Waste-Connections-Reports-Fourth-Quarter-2025-Results-and-Provides-2026-Outlook/default.aspx" TargetMode="External" /><Relationship Type="http://schemas.openxmlformats.org/officeDocument/2006/relationships/hyperlink" Id="rId23" Target="https://investors.wm.com/news-releases/news-release-details/wm-announces-fourth-quarter-and-full-year-2025-earnings/" TargetMode="External" /><Relationship Type="http://schemas.openxmlformats.org/officeDocument/2006/relationships/hyperlink" Id="rId37" Target="https://ir.casella.com/static-files/46a3af44-5d31-4bfb-aacf-de81e8516c1c" TargetMode="External" /><Relationship Type="http://schemas.openxmlformats.org/officeDocument/2006/relationships/hyperlink" Id="rId45" Target="https://ir.cleanharbors.com/news-releases/news-release-details/clean-harbors-announces-fourth-quarter-and-full-year-2025" TargetMode="External" /><Relationship Type="http://schemas.openxmlformats.org/officeDocument/2006/relationships/hyperlink" Id="rId21" Target="https://millerwaste.ca/?utm_source=chatgpt.com" TargetMode="External" /><Relationship Type="http://schemas.openxmlformats.org/officeDocument/2006/relationships/hyperlink" Id="rId31" Target="https://millerwaste.ca/wp-content/uploads/2021/09/Award-Letter-089-R-19-Residential-and-Multi-Residential-Waste-Management-Collection.pdf" TargetMode="External" /><Relationship Type="http://schemas.openxmlformats.org/officeDocument/2006/relationships/hyperlink" Id="rId24" Target="https://millerwaste.ca/wp-content/uploads/2021/09/News-Release-Sept-30-2019.pdf" TargetMode="External" /><Relationship Type="http://schemas.openxmlformats.org/officeDocument/2006/relationships/hyperlink" Id="rId48" Target="https://secure.mediaroom.com/2021-03-09-SECURE-Energy-Services-Inc-and-Tervita-Corporation-Merge-to-Create-a-Stronger-Midstream-Infrastructure-and-Environmental-Solutions-Business" TargetMode="External" /><Relationship Type="http://schemas.openxmlformats.org/officeDocument/2006/relationships/hyperlink" Id="rId47" Target="https://walkerind.com/news-reports/?utm_source=chatgpt.com" TargetMode="External" /><Relationship Type="http://schemas.openxmlformats.org/officeDocument/2006/relationships/hyperlink" Id="rId33" Target="https://walkerind.com/walker-industries-acquires-biogas-facilities-from-miller-waste-systems-strengthening-its-renewable-energy-portfolio/" TargetMode="External" /><Relationship Type="http://schemas.openxmlformats.org/officeDocument/2006/relationships/hyperlink" Id="rId27" Target="https://www.amcsgroup.com/success-stories/miller-waste-systems/" TargetMode="External" /><Relationship Type="http://schemas.openxmlformats.org/officeDocument/2006/relationships/hyperlink" Id="rId32" Target="https://www.amherst.ca/solid-waste-collection.html?utm_source=chatgpt.com" TargetMode="External" /><Relationship Type="http://schemas.openxmlformats.org/officeDocument/2006/relationships/hyperlink" Id="rId26" Target="https://www.globalpayments.com/en-ca/insights/miller-waste" TargetMode="External" /><Relationship Type="http://schemas.openxmlformats.org/officeDocument/2006/relationships/hyperlink" Id="rId30" Target="https://www.vaughan.ca/sites/default/files/CW0117_17_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2026-06-03T14:08:57Z</dcterms:created>
  <dcterms:modified xsi:type="dcterms:W3CDTF">2026-06-03T14:08:57Z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