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DCA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TLC2652的“nulling phase”（即校零周期）是其斩波稳零技术中的关键部分，这一工作原理确保了放大器具有极低的输入失调电压及其漂移，从而适用于微信号放大等高精度应用。以下是TLC2652的nulling phase工作原理的详细解释：</w:t>
      </w:r>
    </w:p>
    <w:p w14:paraId="1DCE46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68" w:beforeAutospacing="0" w:after="96" w:afterAutospacing="0" w:line="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一、工作原理概述</w:t>
      </w:r>
    </w:p>
    <w:p w14:paraId="566FFE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TLC2652芯片上的控制逻辑产生两个主要的时钟周期：校零周期（nulling phase）和放大周期。在这两个周期内，放大器通过特定的机制来校正和稳定其性能。</w:t>
      </w:r>
    </w:p>
    <w:p w14:paraId="5C4F11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68" w:beforeAutospacing="0" w:after="96" w:afterAutospacing="0" w:line="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二、校零周期（Nulling Phase）</w:t>
      </w:r>
    </w:p>
    <w:p w14:paraId="735ED70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kern w:val="0"/>
          <w:sz w:val="18"/>
          <w:szCs w:val="18"/>
          <w:shd w:val="clear" w:fill="FDFDF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kern w:val="0"/>
          <w:sz w:val="18"/>
          <w:szCs w:val="18"/>
          <w:shd w:val="clear" w:fill="FDFDFE"/>
          <w:lang w:val="en-US" w:eastAsia="zh-CN" w:bidi="ar"/>
        </w:rPr>
        <w:t>开关状态：在校零周期内，开关A闭合，使校零放大器的两个输入端短路。</w:t>
      </w:r>
    </w:p>
    <w:p w14:paraId="30E1B8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kern w:val="0"/>
          <w:sz w:val="18"/>
          <w:szCs w:val="18"/>
          <w:shd w:val="clear" w:fill="FDFDF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kern w:val="0"/>
          <w:sz w:val="18"/>
          <w:szCs w:val="18"/>
          <w:shd w:val="clear" w:fill="FDFDFE"/>
          <w:lang w:val="en-US" w:eastAsia="zh-CN" w:bidi="ar"/>
        </w:rPr>
        <w:t>失调电压校正：通过校零放大器自身的反馈机制，其失调电压被减到最小。同时，外接记忆电容CXA中储存了这一失调电压，这样校零放大器在放大周期内仍保持校零状态。</w:t>
      </w:r>
    </w:p>
    <w:p w14:paraId="0CC2A5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68" w:beforeAutospacing="0" w:after="96" w:afterAutospacing="0" w:line="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三、放大周期</w:t>
      </w:r>
    </w:p>
    <w:p w14:paraId="40F2232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kern w:val="0"/>
          <w:sz w:val="18"/>
          <w:szCs w:val="18"/>
          <w:shd w:val="clear" w:fill="FDFDF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kern w:val="0"/>
          <w:sz w:val="18"/>
          <w:szCs w:val="18"/>
          <w:shd w:val="clear" w:fill="FDFDFE"/>
          <w:lang w:val="en-US" w:eastAsia="zh-CN" w:bidi="ar"/>
        </w:rPr>
        <w:t>开关状态：在放大周期内，开关B闭合，把校零放大器的输出与主放大器的同相输入端连接起来。</w:t>
      </w:r>
    </w:p>
    <w:p w14:paraId="1F93AB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kern w:val="0"/>
          <w:sz w:val="18"/>
          <w:szCs w:val="18"/>
          <w:shd w:val="clear" w:fill="FDFDF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kern w:val="0"/>
          <w:sz w:val="18"/>
          <w:szCs w:val="18"/>
          <w:shd w:val="clear" w:fill="FDFDFE"/>
          <w:lang w:val="en-US" w:eastAsia="zh-CN" w:bidi="ar"/>
        </w:rPr>
        <w:t>主放大器校零：这样，主放大器也被校零。同时，外接记忆电容CXB中储存了校零电压，确保主放大器在下一个校零周期内仍保持校零状态。</w:t>
      </w:r>
    </w:p>
    <w:p w14:paraId="41716A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68" w:beforeAutospacing="0" w:after="96" w:afterAutospacing="0" w:line="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四、连续校零机制</w:t>
      </w:r>
    </w:p>
    <w:p w14:paraId="44966C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在TLC2652中，内部时钟使放大器以450Hz的频率进行校零。在这种连续校零的机制下，失调电压及其漂移、共模电压、低频噪声、电源电压变化等对运算放大器的影响被降低到了最小。</w:t>
      </w:r>
    </w:p>
    <w:p w14:paraId="0A61F8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68" w:beforeAutospacing="0" w:after="96" w:afterAutospacing="0" w:line="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五、技术性能与应用</w:t>
      </w:r>
    </w:p>
    <w:p w14:paraId="0BB7CA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由于采用了上述校零技术，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8"/>
          <w:szCs w:val="18"/>
          <w:shd w:val="clear" w:fill="FDFDFE"/>
        </w:rPr>
        <w:t>TLC2652具有极低的输入失调电压（0.5μV典型值，1μV最大值）和极低的失调电压漂移（0.003μV/℃典型值）。这使得TLC2652非常适合用于微信号的放大，如应变仪、热电偶和其他传感器放大器等低电平信号处理应用。</w:t>
      </w:r>
    </w:p>
    <w:p w14:paraId="5E0FF6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68" w:beforeAutospacing="0" w:after="96" w:afterAutospacing="0" w:line="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24"/>
          <w:szCs w:val="24"/>
          <w:shd w:val="clear" w:fill="FDFDFE"/>
        </w:rPr>
        <w:t>六、总结</w:t>
      </w:r>
    </w:p>
    <w:p w14:paraId="544143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TLC2652的nulling phase工作原理是通过在校零周期内对校零放大器进行失调电压校正，并在放大周期内将校正结果传递给主放大器，从而实现连续校零和稳定性能。这一机制确保了TLC2652具有极低的输入失调电压及其漂移，适用于高精度放大应用。</w:t>
      </w:r>
    </w:p>
    <w:p w14:paraId="41D0BB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</w:pPr>
    </w:p>
    <w:p w14:paraId="1BCA90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</w:pPr>
    </w:p>
    <w:p w14:paraId="26627E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</w:pPr>
    </w:p>
    <w:p w14:paraId="2DC26A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right="0"/>
        <w:rPr>
          <w:rFonts w:hint="default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  <w:t>对于100KHZ方波信号如何选择合适的运放？</w:t>
      </w:r>
    </w:p>
    <w:p w14:paraId="6F8A1E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  <w:t>理论依据：</w:t>
      </w:r>
    </w:p>
    <w:p w14:paraId="6DDCF5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一个理想的方波可以由无穷多的奇次正弦谐波叠加而成：</w:t>
      </w:r>
      <w:r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f(t)=4π(sin(ωt)+13sin(3ωt)+15sin(5ωt)+17sin(7ωt)+...)</w:t>
      </w:r>
    </w:p>
    <w:p w14:paraId="2FCE55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基波频率 = 方波频率 = 100kHz</w:t>
      </w:r>
    </w:p>
    <w:p w14:paraId="7DF7BB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第n次谐波频率 = n × 100kHz</w:t>
      </w:r>
    </w:p>
    <w:p w14:paraId="4AF758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谐波幅度以 1/n 衰减。</w:t>
      </w:r>
    </w:p>
    <w:p w14:paraId="127CAC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</w:rPr>
        <w:t>要较好地重现方波，至少需要保留到第5次或第7次谐波，否则波形会变圆，失去“方”的特征。</w:t>
      </w:r>
    </w:p>
    <w:p w14:paraId="0ECDEF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</w:pPr>
    </w:p>
    <w:p w14:paraId="56F74B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  <w:t>运放驱动能力0-20mA</w:t>
      </w:r>
    </w:p>
    <w:p w14:paraId="5F2A16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  <w:t>运放增益带宽GBW</w:t>
      </w:r>
    </w:p>
    <w:p w14:paraId="469591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  <w:t>GBW&gt;=(5-7)f</w:t>
      </w:r>
    </w:p>
    <w:p w14:paraId="1CE673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  <w:t>f−</w:t>
      </w:r>
      <w:r>
        <w:rPr>
          <w:rFonts w:hint="default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  <w:t>3dB</w:t>
      </w:r>
    </w:p>
    <w:p w14:paraId="148756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  <w:t>f−</w:t>
      </w:r>
      <w:r>
        <w:rPr>
          <w:rFonts w:hint="default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  <w:t>3dB​≥k×fsquare​</w:t>
      </w:r>
      <w:bookmarkStart w:id="0" w:name="_GoBack"/>
      <w:bookmarkEnd w:id="0"/>
      <w:r>
        <w:rPr>
          <w:rFonts w:hint="eastAsia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  <w:br w:type="textWrapping"/>
      </w:r>
      <w:r>
        <w:rPr>
          <w:rFonts w:hint="default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  <w:t>其中 kk 是谐波因子，建议取 5 到 10。</w:t>
      </w:r>
    </w:p>
    <w:p w14:paraId="075AC6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  <w:t>压摆率</w:t>
      </w:r>
      <w:r>
        <w:rPr>
          <w:rFonts w:hint="eastAsia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  <w:t xml:space="preserve">SR </w:t>
      </w:r>
    </w:p>
    <w:p w14:paraId="64BE7F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  <w:t>SR≥</w:t>
      </w:r>
      <w:r>
        <w:rPr>
          <w:rFonts w:hint="default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  <w:t>2πf×Vp=πf×Vpp​</w:t>
      </w:r>
      <w:r>
        <w:rPr>
          <w:rFonts w:hint="eastAsia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  <w:t>f是输入信号频率，Vpp是峰峰值，</w:t>
      </w:r>
      <w:r>
        <w:rPr>
          <w:rFonts w:hint="default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  <w:t>实际选择必须有充足余量，建议 SR ≥ (2 ~ 3) × 计算值</w:t>
      </w:r>
      <w:r>
        <w:rPr>
          <w:rFonts w:hint="eastAsia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  <w:t>。</w:t>
      </w:r>
    </w:p>
    <w:p w14:paraId="7D1BDE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6071F"/>
          <w:spacing w:val="0"/>
          <w:sz w:val="18"/>
          <w:szCs w:val="18"/>
          <w:shd w:val="clear" w:fill="FDFDFE"/>
          <w:lang w:val="en-US" w:eastAsia="zh-CN"/>
        </w:rPr>
      </w:pPr>
    </w:p>
    <w:p w14:paraId="5F80B3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FCD576"/>
    <w:multiLevelType w:val="multilevel"/>
    <w:tmpl w:val="D0FCD5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9477C"/>
    <w:rsid w:val="18D70DAF"/>
    <w:rsid w:val="5D16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684</Words>
  <Characters>805</Characters>
  <Lines>0</Lines>
  <Paragraphs>0</Paragraphs>
  <TotalTime>6</TotalTime>
  <ScaleCrop>false</ScaleCrop>
  <LinksUpToDate>false</LinksUpToDate>
  <CharactersWithSpaces>810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2025-03-11T03:01:00Z</dcterms:created>
  <dc:creator>user</dc:creator>
  <cp:lastModifiedBy>雒国辉</cp:lastModifiedBy>
  <dcterms:modified xsi:type="dcterms:W3CDTF">2026-02-07T05:15:14Z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eyJoZGlkIjoiMDdkYjgwYjliYmE4MmJjYzNiNzcxODFkN2IyOWUxYjAiLCJ1c2VySWQiOiI1NTg4NjYyNDEifQ==</vt:lpwstr>
  </property>
  <property fmtid="{D5CDD505-2E9C-101B-9397-08002B2CF9AE}" pid="4" name="ICV">
    <vt:lpwstr>BA9B8500EDE441B489C954749E7DC6AD_12</vt:lpwstr>
  </property>
</Properties>
</file>