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87720FB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2025</w:t>
      </w:r>
      <w:r>
        <w:rPr>
          <w:rFonts w:hint="eastAsia"/>
          <w:b/>
          <w:sz w:val="32"/>
          <w:szCs w:val="32"/>
        </w:rPr>
        <w:t>年度个人工作总结</w:t>
      </w:r>
    </w:p>
    <w:tbl>
      <w:tblPr>
        <w:tblStyle w:val="5"/>
        <w:tblW w:w="9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260"/>
        <w:gridCol w:w="900"/>
        <w:gridCol w:w="1118"/>
        <w:gridCol w:w="1590"/>
        <w:gridCol w:w="1155"/>
        <w:gridCol w:w="817"/>
        <w:gridCol w:w="2048"/>
      </w:tblGrid>
      <w:tr w14:paraId="45D21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900" w:type="dxa"/>
            <w:noWrap w:val="0"/>
            <w:vAlign w:val="center"/>
          </w:tcPr>
          <w:p w14:paraId="4F17113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260" w:type="dxa"/>
            <w:noWrap w:val="0"/>
            <w:vAlign w:val="center"/>
          </w:tcPr>
          <w:p w14:paraId="522556CA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雒国辉</w:t>
            </w:r>
          </w:p>
        </w:tc>
        <w:tc>
          <w:tcPr>
            <w:tcW w:w="900" w:type="dxa"/>
            <w:noWrap w:val="0"/>
            <w:vAlign w:val="center"/>
          </w:tcPr>
          <w:p w14:paraId="17FECF5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1118" w:type="dxa"/>
            <w:noWrap w:val="0"/>
            <w:vAlign w:val="center"/>
          </w:tcPr>
          <w:p w14:paraId="66A3C7A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1590" w:type="dxa"/>
            <w:noWrap w:val="0"/>
            <w:vAlign w:val="center"/>
          </w:tcPr>
          <w:p w14:paraId="0048832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155" w:type="dxa"/>
            <w:noWrap w:val="0"/>
            <w:vAlign w:val="center"/>
          </w:tcPr>
          <w:p w14:paraId="1DBE5717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1996.12</w:t>
            </w:r>
          </w:p>
        </w:tc>
        <w:tc>
          <w:tcPr>
            <w:tcW w:w="817" w:type="dxa"/>
            <w:noWrap w:val="0"/>
            <w:vAlign w:val="center"/>
          </w:tcPr>
          <w:p w14:paraId="6D28B9C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入职时间</w:t>
            </w:r>
          </w:p>
        </w:tc>
        <w:tc>
          <w:tcPr>
            <w:tcW w:w="2048" w:type="dxa"/>
            <w:noWrap w:val="0"/>
            <w:vAlign w:val="center"/>
          </w:tcPr>
          <w:p w14:paraId="54C50B72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2021.5</w:t>
            </w:r>
          </w:p>
        </w:tc>
      </w:tr>
      <w:tr w14:paraId="32EF7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900" w:type="dxa"/>
            <w:noWrap w:val="0"/>
            <w:vAlign w:val="center"/>
          </w:tcPr>
          <w:p w14:paraId="15A720F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260" w:type="dxa"/>
            <w:noWrap w:val="0"/>
            <w:vAlign w:val="center"/>
          </w:tcPr>
          <w:p w14:paraId="55FE010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00" w:type="dxa"/>
            <w:noWrap w:val="0"/>
            <w:vAlign w:val="center"/>
          </w:tcPr>
          <w:p w14:paraId="0A0E2D7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岗位</w:t>
            </w:r>
          </w:p>
        </w:tc>
        <w:tc>
          <w:tcPr>
            <w:tcW w:w="1118" w:type="dxa"/>
            <w:noWrap w:val="0"/>
            <w:vAlign w:val="center"/>
          </w:tcPr>
          <w:p w14:paraId="0CCD284F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硬件工程师</w:t>
            </w:r>
          </w:p>
        </w:tc>
        <w:tc>
          <w:tcPr>
            <w:tcW w:w="1590" w:type="dxa"/>
            <w:noWrap w:val="0"/>
            <w:vAlign w:val="center"/>
          </w:tcPr>
          <w:p w14:paraId="0A00CF27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工作年限</w:t>
            </w:r>
          </w:p>
        </w:tc>
        <w:tc>
          <w:tcPr>
            <w:tcW w:w="1155" w:type="dxa"/>
            <w:noWrap w:val="0"/>
            <w:vAlign w:val="center"/>
          </w:tcPr>
          <w:p w14:paraId="0690A294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5年</w:t>
            </w:r>
          </w:p>
        </w:tc>
        <w:tc>
          <w:tcPr>
            <w:tcW w:w="817" w:type="dxa"/>
            <w:noWrap w:val="0"/>
            <w:vAlign w:val="center"/>
          </w:tcPr>
          <w:p w14:paraId="25B23D4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填表时间</w:t>
            </w:r>
          </w:p>
        </w:tc>
        <w:tc>
          <w:tcPr>
            <w:tcW w:w="2048" w:type="dxa"/>
            <w:noWrap w:val="0"/>
            <w:vAlign w:val="center"/>
          </w:tcPr>
          <w:p w14:paraId="02FD94C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2026.1.27</w:t>
            </w:r>
          </w:p>
        </w:tc>
      </w:tr>
      <w:tr w14:paraId="6351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2160" w:type="dxa"/>
            <w:gridSpan w:val="2"/>
            <w:noWrap w:val="0"/>
            <w:vAlign w:val="center"/>
          </w:tcPr>
          <w:p w14:paraId="5DD6D57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</w:p>
        </w:tc>
        <w:tc>
          <w:tcPr>
            <w:tcW w:w="7628" w:type="dxa"/>
            <w:gridSpan w:val="6"/>
            <w:noWrap w:val="0"/>
            <w:vAlign w:val="center"/>
          </w:tcPr>
          <w:p w14:paraId="36CB74D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具体内容</w:t>
            </w:r>
          </w:p>
        </w:tc>
      </w:tr>
      <w:tr w14:paraId="6A83F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2" w:hRule="atLeast"/>
          <w:jc w:val="center"/>
        </w:trPr>
        <w:tc>
          <w:tcPr>
            <w:tcW w:w="2160" w:type="dxa"/>
            <w:gridSpan w:val="2"/>
            <w:noWrap w:val="0"/>
            <w:vAlign w:val="center"/>
          </w:tcPr>
          <w:p w14:paraId="4E1A4C4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50KV高压冲击项目</w:t>
            </w:r>
          </w:p>
        </w:tc>
        <w:tc>
          <w:tcPr>
            <w:tcW w:w="7628" w:type="dxa"/>
            <w:gridSpan w:val="6"/>
            <w:noWrap w:val="0"/>
            <w:vAlign w:val="center"/>
          </w:tcPr>
          <w:p w14:paraId="232485E6">
            <w:pPr>
              <w:numPr>
                <w:ilvl w:val="0"/>
                <w:numId w:val="1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完成50KV高压冲击控制板的原理图设计和PCB设计。</w:t>
            </w:r>
          </w:p>
          <w:p w14:paraId="1CD9F87A">
            <w:pPr>
              <w:numPr>
                <w:ilvl w:val="0"/>
                <w:numId w:val="1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下位机程序设计。</w:t>
            </w:r>
          </w:p>
          <w:p w14:paraId="116C6055">
            <w:pPr>
              <w:numPr>
                <w:ilvl w:val="0"/>
                <w:numId w:val="1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和屈文举一起完成后续程序的修改和样机调试工作。</w:t>
            </w:r>
          </w:p>
          <w:p w14:paraId="6B516F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szCs w:val="21"/>
                <w:lang w:val="en-US" w:eastAsia="zh-CN"/>
              </w:rPr>
            </w:pPr>
          </w:p>
          <w:p w14:paraId="17FA75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/>
                <w:szCs w:val="21"/>
                <w:lang w:val="en-US" w:eastAsia="zh-CN"/>
              </w:rPr>
            </w:pPr>
          </w:p>
        </w:tc>
      </w:tr>
      <w:tr w14:paraId="2EB9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0" w:hRule="atLeast"/>
          <w:jc w:val="center"/>
        </w:trPr>
        <w:tc>
          <w:tcPr>
            <w:tcW w:w="2160" w:type="dxa"/>
            <w:gridSpan w:val="2"/>
            <w:noWrap w:val="0"/>
            <w:vAlign w:val="center"/>
          </w:tcPr>
          <w:p w14:paraId="79043067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1us高速采集板（预研）</w:t>
            </w:r>
          </w:p>
        </w:tc>
        <w:tc>
          <w:tcPr>
            <w:tcW w:w="7628" w:type="dxa"/>
            <w:gridSpan w:val="6"/>
            <w:noWrap w:val="0"/>
            <w:vAlign w:val="center"/>
          </w:tcPr>
          <w:p w14:paraId="6000B91F">
            <w:pPr>
              <w:numPr>
                <w:ilvl w:val="0"/>
                <w:numId w:val="2"/>
              </w:num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完成1us高速采集板的原理图和PCB设计。</w:t>
            </w:r>
          </w:p>
          <w:p w14:paraId="0D283C92">
            <w:pPr>
              <w:numPr>
                <w:ilvl w:val="0"/>
                <w:numId w:val="2"/>
              </w:num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配合屈文举完成脉冲采样测试，成功完成了1us脉冲测试。</w:t>
            </w:r>
          </w:p>
          <w:p w14:paraId="2127457D">
            <w:pPr>
              <w:numPr>
                <w:ilvl w:val="0"/>
                <w:numId w:val="2"/>
              </w:num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撰写高速采集板项目总结报告，项目扩展。</w:t>
            </w:r>
          </w:p>
        </w:tc>
      </w:tr>
      <w:tr w14:paraId="42302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0" w:hRule="atLeast"/>
          <w:jc w:val="center"/>
        </w:trPr>
        <w:tc>
          <w:tcPr>
            <w:tcW w:w="2160" w:type="dxa"/>
            <w:gridSpan w:val="2"/>
            <w:noWrap w:val="0"/>
            <w:vAlign w:val="center"/>
          </w:tcPr>
          <w:p w14:paraId="67B6AFEE">
            <w:pPr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60V50A电源设计</w:t>
            </w:r>
          </w:p>
        </w:tc>
        <w:tc>
          <w:tcPr>
            <w:tcW w:w="7628" w:type="dxa"/>
            <w:gridSpan w:val="6"/>
            <w:noWrap w:val="0"/>
            <w:vAlign w:val="center"/>
          </w:tcPr>
          <w:p w14:paraId="0B5CC6A7">
            <w:pPr>
              <w:numPr>
                <w:ilvl w:val="0"/>
                <w:numId w:val="3"/>
              </w:num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与李总、屈文举、吴志伟一起完成电源原理图分析。</w:t>
            </w:r>
          </w:p>
          <w:p w14:paraId="55F96568">
            <w:pPr>
              <w:numPr>
                <w:ilvl w:val="0"/>
                <w:numId w:val="3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物料整理。</w:t>
            </w:r>
          </w:p>
        </w:tc>
      </w:tr>
      <w:tr w14:paraId="15D3C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0" w:hRule="atLeast"/>
          <w:jc w:val="center"/>
        </w:trPr>
        <w:tc>
          <w:tcPr>
            <w:tcW w:w="2160" w:type="dxa"/>
            <w:gridSpan w:val="2"/>
            <w:noWrap w:val="0"/>
            <w:vAlign w:val="center"/>
          </w:tcPr>
          <w:p w14:paraId="2B087EFC"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</w:rPr>
              <w:t>IGBT</w:t>
            </w:r>
            <w:r>
              <w:rPr>
                <w:rFonts w:hint="eastAsia"/>
                <w:lang w:val="en-US" w:eastAsia="zh-CN"/>
              </w:rPr>
              <w:t>模块</w:t>
            </w:r>
            <w:r>
              <w:rPr>
                <w:rFonts w:hint="eastAsia"/>
              </w:rPr>
              <w:t>电机驱动老炼</w:t>
            </w:r>
            <w:r>
              <w:rPr>
                <w:rFonts w:hint="eastAsia"/>
                <w:lang w:val="en-US" w:eastAsia="zh-CN"/>
              </w:rPr>
              <w:t>（老化板任务）</w:t>
            </w:r>
          </w:p>
        </w:tc>
        <w:tc>
          <w:tcPr>
            <w:tcW w:w="7628" w:type="dxa"/>
            <w:gridSpan w:val="6"/>
            <w:noWrap w:val="0"/>
            <w:vAlign w:val="center"/>
          </w:tcPr>
          <w:p w14:paraId="4E6B1DAA">
            <w:pPr>
              <w:numPr>
                <w:ilvl w:val="0"/>
                <w:numId w:val="4"/>
              </w:num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完成三相桥信号驱动板的设计。</w:t>
            </w:r>
          </w:p>
          <w:p w14:paraId="5DB27F55">
            <w:pPr>
              <w:numPr>
                <w:ilvl w:val="0"/>
                <w:numId w:val="4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协助王总调试IGBT模块。</w:t>
            </w:r>
          </w:p>
        </w:tc>
      </w:tr>
      <w:tr w14:paraId="4773F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0" w:hRule="atLeast"/>
          <w:jc w:val="center"/>
        </w:trPr>
        <w:tc>
          <w:tcPr>
            <w:tcW w:w="2160" w:type="dxa"/>
            <w:gridSpan w:val="2"/>
            <w:noWrap w:val="0"/>
            <w:vAlign w:val="center"/>
          </w:tcPr>
          <w:p w14:paraId="5DFB261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硅宇GYC1115、、GYC1118（老化板任务）</w:t>
            </w:r>
          </w:p>
        </w:tc>
        <w:tc>
          <w:tcPr>
            <w:tcW w:w="7628" w:type="dxa"/>
            <w:gridSpan w:val="6"/>
            <w:noWrap w:val="0"/>
            <w:vAlign w:val="center"/>
          </w:tcPr>
          <w:p w14:paraId="3AB949C7">
            <w:pPr>
              <w:numPr>
                <w:ilvl w:val="0"/>
                <w:numId w:val="5"/>
              </w:num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完成GYC1115的时序逻辑设计</w:t>
            </w:r>
          </w:p>
          <w:p w14:paraId="5D37DFB2">
            <w:pPr>
              <w:numPr>
                <w:ilvl w:val="0"/>
                <w:numId w:val="0"/>
              </w:numPr>
              <w:rPr>
                <w:rFonts w:hint="default"/>
                <w:sz w:val="24"/>
                <w:lang w:val="en-US" w:eastAsia="zh-CN"/>
              </w:rPr>
            </w:pPr>
          </w:p>
        </w:tc>
      </w:tr>
      <w:tr w14:paraId="698B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0" w:hRule="atLeast"/>
          <w:jc w:val="center"/>
        </w:trPr>
        <w:tc>
          <w:tcPr>
            <w:tcW w:w="2160" w:type="dxa"/>
            <w:gridSpan w:val="2"/>
            <w:noWrap w:val="0"/>
            <w:vAlign w:val="center"/>
          </w:tcPr>
          <w:p w14:paraId="65900E1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北京华芯微HRFR25V20MC（老化板任务）</w:t>
            </w:r>
          </w:p>
        </w:tc>
        <w:tc>
          <w:tcPr>
            <w:tcW w:w="7628" w:type="dxa"/>
            <w:gridSpan w:val="6"/>
            <w:noWrap w:val="0"/>
            <w:vAlign w:val="center"/>
          </w:tcPr>
          <w:p w14:paraId="0F492893">
            <w:pPr>
              <w:numPr>
                <w:ilvl w:val="0"/>
                <w:numId w:val="6"/>
              </w:num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完成GYC1115的时序逻辑设计</w:t>
            </w:r>
          </w:p>
          <w:p w14:paraId="729056EF">
            <w:pPr>
              <w:numPr>
                <w:ilvl w:val="0"/>
                <w:numId w:val="5"/>
              </w:num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完成HRFR25V20MC的老化板逻辑功能测试</w:t>
            </w:r>
          </w:p>
          <w:p w14:paraId="4A7A89D5">
            <w:pPr>
              <w:numPr>
                <w:ilvl w:val="0"/>
                <w:numId w:val="0"/>
              </w:numPr>
              <w:rPr>
                <w:rFonts w:hint="default"/>
                <w:sz w:val="24"/>
                <w:lang w:val="en-US" w:eastAsia="zh-CN"/>
              </w:rPr>
            </w:pPr>
          </w:p>
        </w:tc>
      </w:tr>
    </w:tbl>
    <w:p w14:paraId="2A6773F6">
      <w:pPr>
        <w:rPr>
          <w:rFonts w:hint="eastAsia"/>
          <w:b/>
          <w:sz w:val="18"/>
          <w:szCs w:val="18"/>
        </w:rPr>
      </w:pPr>
    </w:p>
    <w:p w14:paraId="60B807EE">
      <w:pPr>
        <w:rPr>
          <w:rFonts w:hint="eastAsia"/>
          <w:b/>
          <w:sz w:val="18"/>
          <w:szCs w:val="18"/>
        </w:rPr>
      </w:pPr>
    </w:p>
    <w:p w14:paraId="751E4738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工作目标完成度：项目交付与性能达标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本年度共负责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个主要硬件项目，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其中“</w:t>
      </w:r>
      <w:r>
        <w:rPr>
          <w:rFonts w:hint="eastAsia"/>
          <w:sz w:val="24"/>
          <w:lang w:val="en-US" w:eastAsia="zh-CN"/>
        </w:rPr>
        <w:t>50KV高压冲击项目”和“1us高速采集板预研项目”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均按计划完成阶段性交付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。“</w:t>
      </w:r>
      <w:r>
        <w:rPr>
          <w:rFonts w:hint="eastAsia"/>
          <w:sz w:val="24"/>
          <w:lang w:val="en-US" w:eastAsia="zh-CN"/>
        </w:rPr>
        <w:t>60V50A电源项目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”正处于程序设计阶段。</w:t>
      </w:r>
    </w:p>
    <w:p w14:paraId="3C54A33A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本年度共负责3个老化板任务，其中2个老化板时序编程任务（</w:t>
      </w:r>
      <w:r>
        <w:rPr>
          <w:rFonts w:hint="eastAsia"/>
          <w:lang w:val="en-US" w:eastAsia="zh-CN"/>
        </w:rPr>
        <w:t>硅宇GYC1115、GYC1118、北京华芯微HRFR25V20MC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）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均按计划完成阶段性交付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。</w:t>
      </w:r>
      <w:r>
        <w:rPr>
          <w:rFonts w:hint="eastAsia"/>
        </w:rPr>
        <w:t>IGBT</w:t>
      </w:r>
      <w:r>
        <w:rPr>
          <w:rFonts w:hint="eastAsia"/>
          <w:lang w:val="en-US" w:eastAsia="zh-CN"/>
        </w:rPr>
        <w:t>模块</w:t>
      </w:r>
      <w:r>
        <w:rPr>
          <w:rFonts w:hint="eastAsia"/>
        </w:rPr>
        <w:t>电机驱动</w:t>
      </w:r>
      <w:r>
        <w:rPr>
          <w:rFonts w:hint="eastAsia"/>
          <w:lang w:val="en-US" w:eastAsia="zh-CN"/>
        </w:rPr>
        <w:t>老化板任务正处于方案验证阶段。</w:t>
      </w:r>
    </w:p>
    <w:p w14:paraId="588D8DA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反思：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尽管项目交付整体顺利，但</w:t>
      </w:r>
      <w:r>
        <w:rPr>
          <w:rFonts w:hint="eastAsia"/>
          <w:sz w:val="24"/>
          <w:lang w:val="en-US" w:eastAsia="zh-CN"/>
        </w:rPr>
        <w:t>50KV高压冲击项目中控制板的控。</w:t>
      </w:r>
      <w:bookmarkStart w:id="0" w:name="_GoBack"/>
      <w:bookmarkEnd w:id="0"/>
    </w:p>
    <w:p w14:paraId="6CB76C7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某关键芯片供货延迟导致早期版本调试周期延长两周。未来需进一步加强供应链风险预案，建立替代器件预认证库。</w:t>
      </w:r>
    </w:p>
    <w:p w14:paraId="702AF5FD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4E9C084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69B7A1A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74CA128B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二、问题解决与创新能力：技术攻坚与方案优化</w:t>
      </w:r>
    </w:p>
    <w:p w14:paraId="5CFA55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3585A2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复杂信号完整性问题攻关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ZZ项目高速接口设计中，初期测试出现眼图塌陷（眼高仅35mV）。通过自主设计仿真模型并结合实测，定位为封装寄生参数导致阻抗失配。提出“分段式端接电阻+局部屏蔽层”方案，将眼高提升至82mV，误码率达标，节省外部咨询费用约8万元。</w:t>
      </w:r>
    </w:p>
    <w:p w14:paraId="572549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3769CB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570A7A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热管理创新设计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：针对高功耗模块散热瓶颈，设计仿生风道结构与相变材料复合散热方案，在有限空间内将核心温度峰值降低18℃，并通过加速老化测试（HTOL）验证可靠性。该设计已申请实用新型专利（专利号：XXXXXX）。</w:t>
      </w:r>
    </w:p>
    <w:p w14:paraId="73B679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1A397F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4DA89B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成本优化突破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：主导某接口电路重构，用通用逻辑器件替代专用芯片，在保证时序余量（＞15%）的前提下单板成本降低22元/台，年化节省采购成本约50万元。</w:t>
      </w:r>
    </w:p>
    <w:p w14:paraId="29D9AA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5D0EFF50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反思：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创新方案有时过于追求技术极限，曾因采用新型封装导致焊接良率短期下降。需更平衡性能、成本与可制造性，加强与工艺部门的早期协同。</w:t>
      </w:r>
    </w:p>
    <w:p w14:paraId="5303AB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28B58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三、团队沟通与协作：跨部门联动与知识共享</w:t>
      </w:r>
    </w:p>
    <w:p w14:paraId="1D521D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7D77BE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协同研发案例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：在YY项目天线调试中，与射频软件团队联合搭建测试框架，通过自动化脚本将天线匹配参数调试周期从5天压缩至1天，并输出《高频电路协同调试规范》被部门采纳。</w:t>
      </w:r>
    </w:p>
    <w:p w14:paraId="72114AC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4BFDB1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6BFD71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风险预警与协同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：提前识别某电源芯片停产风险，联合采购、质量部门在3周内完成替代器件选型与验证，避免项目停滞。</w:t>
      </w:r>
    </w:p>
    <w:p w14:paraId="7C4D9B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1A21D1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6A4852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知识传承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：主导编写《高速PCB设计检查清单》《硬件故障树分析案例集》，开展内部培训6场，带教2名新人独立完成子模块设计。</w:t>
      </w:r>
    </w:p>
    <w:p w14:paraId="51E364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3576EE30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反思：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早期与结构工程师沟通不足，曾因散热器尺寸误差导致PCB改版。后续通过建立“机电热联合评审节点机制”，将类似问题减少80%。</w:t>
      </w:r>
    </w:p>
    <w:p w14:paraId="52339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905D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四、未来规划合理性：技术储备与能力拓展</w:t>
      </w:r>
    </w:p>
    <w:p w14:paraId="7E7071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6B40730E">
      <w:pPr>
        <w:pStyle w:val="4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技术前瞻布局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52AA0D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39BB82B5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6903AB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已完成PCIe 5.0仿真平台搭建，实测数据与模型误差＜8%；</w:t>
      </w:r>
    </w:p>
    <w:p w14:paraId="0553D961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0DD437BB">
      <w:pPr>
        <w:keepNext w:val="0"/>
        <w:keepLines w:val="0"/>
        <w:widowControl/>
        <w:numPr>
          <w:ilvl w:val="1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7BFACD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启动硅光模块合作预研，参与封装互连方案讨论。</w:t>
      </w:r>
    </w:p>
    <w:p w14:paraId="03B0A08F">
      <w:pPr>
        <w:keepNext w:val="0"/>
        <w:keepLines w:val="0"/>
        <w:widowControl/>
        <w:numPr>
          <w:ilvl w:val="1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070C45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5327290C">
      <w:pPr>
        <w:pStyle w:val="4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能力提升计划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05E74F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1E0BB71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FD053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报名参加“高速数字系统设计”高级课程，计划2024年Q2完成；</w:t>
      </w:r>
    </w:p>
    <w:p w14:paraId="7586886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00B3B3A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64F8C4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主导建立部门级“信号完整性案例库”，已收集典型案例12个。</w:t>
      </w:r>
    </w:p>
    <w:p w14:paraId="4E3A5BF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788608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241CEF2A">
      <w:pPr>
        <w:pStyle w:val="4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流程优化目标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0E70F2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0BC3082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727C31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推动测试数据自动化归档系统落地，目标将报告生成时间减少50%；</w:t>
      </w:r>
    </w:p>
    <w:p w14:paraId="7F5B3FF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3D8D1FA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20144F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提出“模块化硬件平台”方案，预计可缩短新项目原理设计周期30%。</w:t>
      </w:r>
    </w:p>
    <w:p w14:paraId="0754B60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72" w:beforeAutospacing="0" w:after="0" w:afterAutospacing="1"/>
        <w:ind w:left="0" w:hanging="360"/>
      </w:pPr>
    </w:p>
    <w:p w14:paraId="1AEF940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反思：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现有规划侧重于个人技术纵深，需加强系统级视野（如整机能效管理）。下年度将主动参与系统架构讨论，并学习FPGA协同设计知识。</w:t>
      </w:r>
    </w:p>
    <w:p w14:paraId="072847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6F23B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总结与展望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年度在项目交付、技术创新与团队协作中均取得实质性进展，但需在供应链韧性、跨部门协同深度方面持续改进。下一年度将聚焦“高速互联技术”与“硬件可靠性工程”双主线，推动硬件设计从“功能实现”向“性能最优化与可制造性强化”演进，为产品竞争力提升提供底层支撑。</w:t>
      </w:r>
    </w:p>
    <w:p w14:paraId="60D0A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50DF3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（可选展示）</w:t>
      </w:r>
    </w:p>
    <w:p w14:paraId="139B260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65BAC8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项目交付清单与KPI达成表</w:t>
      </w:r>
    </w:p>
    <w:p w14:paraId="08E1C4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6026F4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0" w:afterAutospacing="1"/>
        <w:ind w:left="0" w:hanging="360"/>
      </w:pPr>
    </w:p>
    <w:p w14:paraId="47D1FA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信号完整性优化前后测试对比图</w:t>
      </w:r>
    </w:p>
    <w:p w14:paraId="20466C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0" w:afterAutospacing="1"/>
        <w:ind w:left="0" w:hanging="360"/>
      </w:pPr>
    </w:p>
    <w:p w14:paraId="54A2FA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0" w:afterAutospacing="1"/>
        <w:ind w:left="0" w:hanging="360"/>
      </w:pPr>
    </w:p>
    <w:p w14:paraId="051DA0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成本优化方案核算表</w:t>
      </w:r>
    </w:p>
    <w:p w14:paraId="283567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0" w:afterAutospacing="1"/>
        <w:ind w:left="0" w:hanging="360"/>
      </w:pPr>
    </w:p>
    <w:p w14:paraId="67A905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0" w:afterAutospacing="1"/>
        <w:ind w:left="0" w:hanging="360"/>
      </w:pPr>
    </w:p>
    <w:p w14:paraId="5282A5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跨部门协作问题闭环统计表</w:t>
      </w:r>
    </w:p>
    <w:p w14:paraId="0C0982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0" w:afterAutospacing="1"/>
        <w:ind w:left="0" w:hanging="360"/>
      </w:pPr>
    </w:p>
    <w:p w14:paraId="2A99AE9B">
      <w:pPr>
        <w:rPr>
          <w:rFonts w:hint="eastAsia"/>
          <w:b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B6A97"/>
    <w:multiLevelType w:val="singleLevel"/>
    <w:tmpl w:val="94CB6A9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10312B4"/>
    <w:multiLevelType w:val="multilevel"/>
    <w:tmpl w:val="C10312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A9078ED"/>
    <w:multiLevelType w:val="singleLevel"/>
    <w:tmpl w:val="DA9078E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BD1BD99"/>
    <w:multiLevelType w:val="singleLevel"/>
    <w:tmpl w:val="EBD1BD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FFEE77D"/>
    <w:multiLevelType w:val="singleLevel"/>
    <w:tmpl w:val="0FFEE7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18CE5A31"/>
    <w:multiLevelType w:val="singleLevel"/>
    <w:tmpl w:val="18CE5A31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19E3ED0E"/>
    <w:multiLevelType w:val="multilevel"/>
    <w:tmpl w:val="19E3ED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1BB8D8A"/>
    <w:multiLevelType w:val="multilevel"/>
    <w:tmpl w:val="31BB8D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24F5E9F"/>
    <w:multiLevelType w:val="singleLevel"/>
    <w:tmpl w:val="424F5E9F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476AD5EE"/>
    <w:multiLevelType w:val="multilevel"/>
    <w:tmpl w:val="476AD5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6C58526"/>
    <w:multiLevelType w:val="singleLevel"/>
    <w:tmpl w:val="56C585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5"/>
  </w:num>
  <w:num w:numId="5">
    <w:abstractNumId w:val="3"/>
  </w:num>
  <w:num w:numId="6">
    <w:abstractNumId w:val="10"/>
  </w:num>
  <w:num w:numId="7">
    <w:abstractNumId w:val="4"/>
  </w:num>
  <w:num w:numId="8">
    <w:abstractNumId w:val="6"/>
  </w:num>
  <w:num w:numId="9">
    <w:abstractNumId w:val="9"/>
  </w:num>
  <w:num w:numId="10">
    <w:abstractNumId w:val="1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F36968"/>
    <w:rsid w:val="00093498"/>
    <w:rsid w:val="00226D78"/>
    <w:rsid w:val="002935AB"/>
    <w:rsid w:val="002C7F8C"/>
    <w:rsid w:val="0038615D"/>
    <w:rsid w:val="00397747"/>
    <w:rsid w:val="005216A6"/>
    <w:rsid w:val="005D1D77"/>
    <w:rsid w:val="007646E4"/>
    <w:rsid w:val="007D7346"/>
    <w:rsid w:val="00930341"/>
    <w:rsid w:val="00A664D5"/>
    <w:rsid w:val="00A73027"/>
    <w:rsid w:val="00B50CB4"/>
    <w:rsid w:val="00DA387B"/>
    <w:rsid w:val="00DE6494"/>
    <w:rsid w:val="00E43FC0"/>
    <w:rsid w:val="00F75DA6"/>
    <w:rsid w:val="0297204E"/>
    <w:rsid w:val="0FE91A0F"/>
    <w:rsid w:val="1D686FE4"/>
    <w:rsid w:val="1ECD57CB"/>
    <w:rsid w:val="2C1E1F57"/>
    <w:rsid w:val="2C554C3D"/>
    <w:rsid w:val="31F36968"/>
    <w:rsid w:val="3E0D6E53"/>
    <w:rsid w:val="708F6BDE"/>
    <w:rsid w:val="7425742A"/>
    <w:rsid w:val="768F5263"/>
    <w:rsid w:val="7BB37C24"/>
    <w:rsid w:val="7DCE39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customStyle="1" w:styleId="9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10">
    <w:name w:val="页眉 Char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4\AppData\Roaming\kingsoft\office6\templates\download\01220907-c6f9-4f78-9162-681543c0b6fc\&#24180;&#24230;&#20010;&#20154;&#24037;&#20316;&#24635;&#32467;&#34920;&#26684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年度个人工作总结表格.doc.docx</Template>
  <Pages>5</Pages>
  <Words>315</Words>
  <Characters>408</Characters>
  <Lines>8</Lines>
  <Paragraphs>2</Paragraphs>
  <TotalTime>8</TotalTime>
  <ScaleCrop>false</ScaleCrop>
  <LinksUpToDate>false</LinksUpToDate>
  <CharactersWithSpaces>408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2026-01-26T02:22:00Z</dcterms:created>
  <dc:creator>非乐</dc:creator>
  <cp:lastModifiedBy>雒国辉</cp:lastModifiedBy>
  <dcterms:modified xsi:type="dcterms:W3CDTF">2026-01-30T02:02:31Z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UUID">
    <vt:lpwstr>v1.0_mb_MRh4IAIeUukhOEHNN/Pdvg==</vt:lpwstr>
  </property>
  <property fmtid="{D5CDD505-2E9C-101B-9397-08002B2CF9AE}" pid="4" name="ICV">
    <vt:lpwstr>A23A124B0D2142C89DB269772DA187EB_13</vt:lpwstr>
  </property>
  <property fmtid="{D5CDD505-2E9C-101B-9397-08002B2CF9AE}" pid="5" name="KSOTemplateDocerSaveRecord">
    <vt:lpwstr>eyJoZGlkIjoiMDdkYjgwYjliYmE4MmJjYzNiNzcxODFkN2IyOWUxYjAiLCJ1c2VySWQiOiI1NTg4NjYyNDEifQ==</vt:lpwstr>
  </property>
</Properties>
</file>