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“data leakage”,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EEECFA6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’.</w:t>
      </w:r>
      <w:r w:rsidR="0038021A">
        <w:rPr>
          <w:sz w:val="24"/>
          <w:szCs w:val="24"/>
        </w:rPr>
        <w:t xml:space="preserve"> Per evitare problemi di multicollinearità, che possono influenzare negativamente modelli lineari come la Regressione Lineare, si è deciso di rimuovere la variabile ‘</w:t>
      </w:r>
      <w:proofErr w:type="spellStart"/>
      <w:r w:rsidR="0038021A">
        <w:rPr>
          <w:sz w:val="24"/>
          <w:szCs w:val="24"/>
        </w:rPr>
        <w:t>temp</w:t>
      </w:r>
      <w:proofErr w:type="spellEnd"/>
      <w:r w:rsidR="0038021A">
        <w:rPr>
          <w:sz w:val="24"/>
          <w:szCs w:val="24"/>
        </w:rPr>
        <w:t>’ mantenendo solamente ‘</w:t>
      </w:r>
      <w:proofErr w:type="spellStart"/>
      <w:r w:rsidR="0038021A">
        <w:rPr>
          <w:sz w:val="24"/>
          <w:szCs w:val="24"/>
        </w:rPr>
        <w:t>atemp</w:t>
      </w:r>
      <w:proofErr w:type="spellEnd"/>
      <w:r w:rsidR="0038021A">
        <w:rPr>
          <w:sz w:val="24"/>
          <w:szCs w:val="24"/>
        </w:rPr>
        <w:t xml:space="preserve">’. </w:t>
      </w:r>
    </w:p>
    <w:p w14:paraId="68AF363A" w14:textId="7BDFF070" w:rsidR="00B00B7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660CD611">
            <wp:simplePos x="0" y="0"/>
            <wp:positionH relativeFrom="margin">
              <wp:posOffset>457200</wp:posOffset>
            </wp:positionH>
            <wp:positionV relativeFrom="paragraph">
              <wp:posOffset>78740</wp:posOffset>
            </wp:positionV>
            <wp:extent cx="4476750" cy="3730872"/>
            <wp:effectExtent l="0" t="0" r="0" b="3175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0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lastRenderedPageBreak/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064DA2E2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43699703" w:rsidR="00536D19" w:rsidRDefault="0038021A" w:rsidP="00917FFB">
      <w:pPr>
        <w:rPr>
          <w:sz w:val="24"/>
          <w:szCs w:val="24"/>
        </w:rPr>
      </w:pPr>
      <w:r w:rsidRPr="0038021A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469FF45" wp14:editId="537068F3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5468113" cy="514422"/>
            <wp:effectExtent l="0" t="0" r="0" b="0"/>
            <wp:wrapNone/>
            <wp:docPr id="156562731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7310" name="Immagine 1" descr="Immagine che contiene testo, Carattere, schermata, line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85A8A" w14:textId="50AAF9B1" w:rsidR="00536D19" w:rsidRDefault="00536D19" w:rsidP="00536D19">
      <w:pPr>
        <w:pStyle w:val="Titolo1"/>
      </w:pPr>
      <w:r>
        <w:lastRenderedPageBreak/>
        <w:t>3 – DEFINIZIONE DEI MODELLI E TRAINING</w:t>
      </w:r>
    </w:p>
    <w:p w14:paraId="52212948" w14:textId="11CB00D9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175C79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687899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</w:t>
      </w:r>
      <w:proofErr w:type="spellStart"/>
      <w:r w:rsidR="00AE7277">
        <w:rPr>
          <w:sz w:val="24"/>
          <w:szCs w:val="24"/>
        </w:rPr>
        <w:t>Forest</w:t>
      </w:r>
      <w:proofErr w:type="spellEnd"/>
      <w:r w:rsidR="00AE7277">
        <w:rPr>
          <w:sz w:val="24"/>
          <w:szCs w:val="24"/>
        </w:rPr>
        <w:t xml:space="preserve">, </w:t>
      </w:r>
      <w:r w:rsidR="00673B7B">
        <w:rPr>
          <w:sz w:val="24"/>
          <w:szCs w:val="24"/>
        </w:rPr>
        <w:t>come si nota nella figura.</w:t>
      </w:r>
    </w:p>
    <w:p w14:paraId="67553B8C" w14:textId="47C1875B" w:rsidR="00673B7B" w:rsidRDefault="006921FB" w:rsidP="00536D19">
      <w:pPr>
        <w:rPr>
          <w:sz w:val="24"/>
          <w:szCs w:val="24"/>
        </w:rPr>
      </w:pPr>
      <w:r w:rsidRPr="006921F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7281AD" wp14:editId="3B26C1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900" cy="2991267"/>
            <wp:effectExtent l="0" t="0" r="9525" b="0"/>
            <wp:wrapNone/>
            <wp:docPr id="14010477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747" name="Immagine 1" descr="Immagine che contiene testo, schermat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3ED0" w14:textId="77777777" w:rsidR="006921FB" w:rsidRDefault="006921FB" w:rsidP="00536D19">
      <w:pPr>
        <w:rPr>
          <w:sz w:val="24"/>
          <w:szCs w:val="24"/>
        </w:rPr>
      </w:pPr>
    </w:p>
    <w:p w14:paraId="1A5E1139" w14:textId="77777777" w:rsidR="006921FB" w:rsidRDefault="006921FB" w:rsidP="00536D19">
      <w:pPr>
        <w:rPr>
          <w:sz w:val="24"/>
          <w:szCs w:val="24"/>
        </w:rPr>
      </w:pPr>
    </w:p>
    <w:p w14:paraId="72898C27" w14:textId="77777777" w:rsidR="006921FB" w:rsidRDefault="006921FB" w:rsidP="00536D19">
      <w:pPr>
        <w:rPr>
          <w:sz w:val="24"/>
          <w:szCs w:val="24"/>
        </w:rPr>
      </w:pPr>
    </w:p>
    <w:p w14:paraId="283F5636" w14:textId="77777777" w:rsidR="006921FB" w:rsidRDefault="006921FB" w:rsidP="00536D19">
      <w:pPr>
        <w:rPr>
          <w:sz w:val="24"/>
          <w:szCs w:val="24"/>
        </w:rPr>
      </w:pPr>
    </w:p>
    <w:p w14:paraId="13E94AFB" w14:textId="77777777" w:rsidR="006921FB" w:rsidRDefault="006921FB" w:rsidP="00536D19">
      <w:pPr>
        <w:rPr>
          <w:sz w:val="24"/>
          <w:szCs w:val="24"/>
        </w:rPr>
      </w:pPr>
    </w:p>
    <w:p w14:paraId="0908E456" w14:textId="77777777" w:rsidR="006921FB" w:rsidRDefault="006921FB" w:rsidP="00536D19">
      <w:pPr>
        <w:rPr>
          <w:sz w:val="24"/>
          <w:szCs w:val="24"/>
        </w:rPr>
      </w:pPr>
    </w:p>
    <w:p w14:paraId="0474219B" w14:textId="77777777" w:rsidR="006921FB" w:rsidRDefault="006921FB" w:rsidP="00536D19">
      <w:pPr>
        <w:rPr>
          <w:sz w:val="24"/>
          <w:szCs w:val="24"/>
        </w:rPr>
      </w:pPr>
    </w:p>
    <w:p w14:paraId="2666F8E7" w14:textId="77777777" w:rsidR="006921FB" w:rsidRDefault="006921FB" w:rsidP="00536D19">
      <w:pPr>
        <w:rPr>
          <w:sz w:val="24"/>
          <w:szCs w:val="24"/>
        </w:rPr>
      </w:pPr>
    </w:p>
    <w:p w14:paraId="361D8F89" w14:textId="77777777" w:rsidR="006921FB" w:rsidRDefault="006921FB" w:rsidP="00536D19">
      <w:pPr>
        <w:rPr>
          <w:sz w:val="24"/>
          <w:szCs w:val="24"/>
        </w:rPr>
      </w:pPr>
    </w:p>
    <w:p w14:paraId="6A7001FB" w14:textId="77777777" w:rsidR="006921FB" w:rsidRDefault="006921FB" w:rsidP="00536D19">
      <w:pPr>
        <w:rPr>
          <w:sz w:val="24"/>
          <w:szCs w:val="24"/>
        </w:rPr>
      </w:pPr>
    </w:p>
    <w:p w14:paraId="5B438E99" w14:textId="66FAFA40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337C522F" w:rsidR="00991DF4" w:rsidRDefault="00991DF4" w:rsidP="00536D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089F8C" w14:textId="4726A458" w:rsidR="00991DF4" w:rsidRDefault="00CE0176" w:rsidP="00CE05D1">
      <w:pPr>
        <w:pStyle w:val="Titolo1"/>
      </w:pPr>
      <w:r>
        <w:lastRenderedPageBreak/>
        <w:t>4 – TESTING E VALUTAZIONE DELLA PERFORMANCE FINALE</w:t>
      </w:r>
    </w:p>
    <w:p w14:paraId="51EAA56F" w14:textId="252FA635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50C1186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37FAEE18" w14:textId="77777777" w:rsidR="0038021A" w:rsidRDefault="0038021A" w:rsidP="00CE0176">
      <w:pPr>
        <w:rPr>
          <w:sz w:val="24"/>
          <w:szCs w:val="24"/>
        </w:rPr>
      </w:pPr>
      <w:r w:rsidRPr="0038021A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F64F28B" wp14:editId="690DB2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688" cy="828791"/>
            <wp:effectExtent l="0" t="0" r="0" b="9525"/>
            <wp:wrapNone/>
            <wp:docPr id="569219923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9923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45A11B87" w14:textId="0266ACAC" w:rsidR="009F5C90" w:rsidRDefault="009F5C90" w:rsidP="00CE01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</w:p>
    <w:p w14:paraId="1E8CF397" w14:textId="5D33BB16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</w:t>
      </w:r>
      <w:proofErr w:type="spellStart"/>
      <w:r w:rsidR="007A6D2E">
        <w:rPr>
          <w:sz w:val="24"/>
          <w:szCs w:val="24"/>
        </w:rPr>
        <w:t>overfitting</w:t>
      </w:r>
      <w:proofErr w:type="spellEnd"/>
      <w:r w:rsidR="007A6D2E">
        <w:rPr>
          <w:sz w:val="24"/>
          <w:szCs w:val="24"/>
        </w:rPr>
        <w:t xml:space="preserve">. </w:t>
      </w:r>
    </w:p>
    <w:p w14:paraId="413A8320" w14:textId="78B49D76" w:rsidR="00806716" w:rsidRDefault="00806716" w:rsidP="00CE0176">
      <w:pPr>
        <w:rPr>
          <w:sz w:val="24"/>
          <w:szCs w:val="24"/>
        </w:rPr>
      </w:pPr>
    </w:p>
    <w:p w14:paraId="352938DA" w14:textId="3EE01149" w:rsidR="00806716" w:rsidRDefault="00806716" w:rsidP="00806716">
      <w:pPr>
        <w:pStyle w:val="Titolo1"/>
      </w:pPr>
      <w:r>
        <w:t>5 – CONCLUSIONI</w:t>
      </w:r>
    </w:p>
    <w:p w14:paraId="67CDAF52" w14:textId="36B13EF7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4DD87138" w14:textId="4F4DF503" w:rsidR="009657F1" w:rsidRDefault="003C16A7" w:rsidP="00806716">
      <w:pPr>
        <w:rPr>
          <w:sz w:val="24"/>
          <w:szCs w:val="24"/>
        </w:rPr>
      </w:pPr>
      <w:r w:rsidRPr="009657F1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B08A5F" wp14:editId="1A77192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03370" cy="3419475"/>
            <wp:effectExtent l="0" t="0" r="0" b="9525"/>
            <wp:wrapNone/>
            <wp:docPr id="1486125243" name="Immagine 1" descr="Immagine che contiene testo, mapp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5243" name="Immagine 1" descr="Immagine che contiene testo, mappa, line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lastRenderedPageBreak/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07044262" w14:textId="6758BD21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41B2" w14:textId="77777777" w:rsidR="00670B37" w:rsidRDefault="00670B37" w:rsidP="00855982">
      <w:pPr>
        <w:spacing w:after="0" w:line="240" w:lineRule="auto"/>
      </w:pPr>
      <w:r>
        <w:separator/>
      </w:r>
    </w:p>
  </w:endnote>
  <w:endnote w:type="continuationSeparator" w:id="0">
    <w:p w14:paraId="57788DB3" w14:textId="77777777" w:rsidR="00670B37" w:rsidRDefault="00670B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EndPr/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EndPr/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A463" w14:textId="77777777" w:rsidR="00670B37" w:rsidRDefault="00670B37" w:rsidP="00855982">
      <w:pPr>
        <w:spacing w:after="0" w:line="240" w:lineRule="auto"/>
      </w:pPr>
      <w:r>
        <w:separator/>
      </w:r>
    </w:p>
  </w:footnote>
  <w:footnote w:type="continuationSeparator" w:id="0">
    <w:p w14:paraId="72A8A31C" w14:textId="77777777" w:rsidR="00670B37" w:rsidRDefault="00670B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318C"/>
    <w:rsid w:val="001A370A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70B37"/>
    <w:rsid w:val="00673B7B"/>
    <w:rsid w:val="006921FB"/>
    <w:rsid w:val="00695D1A"/>
    <w:rsid w:val="006C2196"/>
    <w:rsid w:val="006E31C8"/>
    <w:rsid w:val="006F1105"/>
    <w:rsid w:val="007154DD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67A4F"/>
    <w:rsid w:val="0089075C"/>
    <w:rsid w:val="0089323C"/>
    <w:rsid w:val="00896CC6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63A33"/>
    <w:rsid w:val="00F71425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244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110</cp:revision>
  <dcterms:created xsi:type="dcterms:W3CDTF">2025-08-22T12:55:00Z</dcterms:created>
  <dcterms:modified xsi:type="dcterms:W3CDTF">2025-08-29T08:11:00Z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