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F5496"/>
          <w:sz w:val="30"/>
          <w:szCs w:val="30"/>
        </w:rPr>
        <w:t xml:space="preserve">POSTECH DTAT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595959"/>
          <w:sz w:val="30"/>
          <w:szCs w:val="30"/>
        </w:rPr>
        <w:t xml:space="preserve">Tech Challenge — Fase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F5496"/>
          <w:sz w:val="52"/>
          <w:szCs w:val="52"/>
        </w:rPr>
        <w:t xml:space="preserve">Classificação de Qualidade de Vinhos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F5496"/>
          <w:sz w:val="34"/>
          <w:szCs w:val="34"/>
        </w:rPr>
        <w:t xml:space="preserve">com Machine Learning</w:t>
      </w:r>
    </w:p>
    <w:p>
      <w:pPr>
        <w:spacing w:after="700"/>
        <w:jc w:val="center"/>
      </w:pPr>
      <w:r>
        <w:rPr>
          <w:rFonts w:ascii="Arial" w:cs="Arial" w:eastAsia="Arial" w:hAnsi="Arial"/>
          <w:i/>
          <w:iCs/>
          <w:color w:val="404040"/>
          <w:sz w:val="28"/>
          <w:szCs w:val="28"/>
        </w:rPr>
        <w:t xml:space="preserve">Relatório Técnico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595959"/>
          <w:sz w:val="26"/>
          <w:szCs w:val="26"/>
        </w:rPr>
        <w:t xml:space="preserve">Grupo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Efraim Oliveira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Érica Tarsis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Ricardo Moraes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Rodrigo Bernardino</w:t>
      </w:r>
    </w:p>
    <w:p>
      <w:pPr>
        <w:spacing w:after="700"/>
        <w:jc w:val="center"/>
      </w:pPr>
      <w:r>
        <w:rPr>
          <w:rFonts w:ascii="Arial" w:cs="Arial" w:eastAsia="Arial" w:hAnsi="Arial"/>
          <w:sz w:val="24"/>
          <w:szCs w:val="24"/>
        </w:rPr>
        <w:t xml:space="preserve">Thiago Galvão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São Paulo · 2026</w:t>
      </w:r>
    </w:p>
    <w:p>
      <w:pPr>
        <w:pageBreakBefore/>
        <w:spacing w:after="200" w:before="40"/>
      </w:pPr>
      <w:r>
        <w:rPr>
          <w:rFonts w:ascii="Arial" w:cs="Arial" w:eastAsia="Arial" w:hAnsi="Arial"/>
          <w:b/>
          <w:bCs/>
          <w:color w:val="2F5496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Sumário Executivo</w:t>
      </w:r>
      <w:r>
        <w:rPr>
          <w:sz w:val="21"/>
          <w:szCs w:val="21"/>
        </w:rPr>
        <w:t xml:space="preserve">	5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Artefatos e Links do Projeto</w:t>
      </w:r>
      <w:r>
        <w:rPr>
          <w:sz w:val="21"/>
          <w:szCs w:val="21"/>
        </w:rPr>
        <w:t xml:space="preserve">	5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1. Compreensão do Problema</w:t>
      </w:r>
      <w:r>
        <w:rPr>
          <w:sz w:val="21"/>
          <w:szCs w:val="21"/>
        </w:rPr>
        <w:t xml:space="preserve">	5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1.1 Contexto e motivação</w:t>
      </w:r>
      <w:r>
        <w:rPr>
          <w:sz w:val="21"/>
          <w:szCs w:val="21"/>
        </w:rPr>
        <w:t xml:space="preserve">	5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1.2 Definição da variável-alvo e estratégia de binarização</w:t>
      </w:r>
      <w:r>
        <w:rPr>
          <w:sz w:val="21"/>
          <w:szCs w:val="21"/>
        </w:rPr>
        <w:t xml:space="preserve">	6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1.3 Visão geral da metodologia</w:t>
      </w:r>
      <w:r>
        <w:rPr>
          <w:sz w:val="21"/>
          <w:szCs w:val="21"/>
        </w:rPr>
        <w:t xml:space="preserve">	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2. Análise Exploratória de Dados (EDA)</w:t>
      </w:r>
      <w:r>
        <w:rPr>
          <w:sz w:val="21"/>
          <w:szCs w:val="21"/>
        </w:rPr>
        <w:t xml:space="preserve">	7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2.1 Governança e qualidade dos dados</w:t>
      </w:r>
      <w:r>
        <w:rPr>
          <w:sz w:val="21"/>
          <w:szCs w:val="21"/>
        </w:rPr>
        <w:t xml:space="preserve">	7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2.2 Distribuição das notas de qualidade</w:t>
      </w:r>
      <w:r>
        <w:rPr>
          <w:sz w:val="21"/>
          <w:szCs w:val="21"/>
        </w:rPr>
        <w:t xml:space="preserve">	8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2.3 Balanceamento das classes e a solução adotada</w:t>
      </w:r>
      <w:r>
        <w:rPr>
          <w:sz w:val="21"/>
          <w:szCs w:val="21"/>
        </w:rPr>
        <w:t xml:space="preserve">	8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2.4 Distribuição das variáveis</w:t>
      </w:r>
      <w:r>
        <w:rPr>
          <w:sz w:val="21"/>
          <w:szCs w:val="21"/>
        </w:rPr>
        <w:t xml:space="preserve">	9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2.5 Detecção de outliers (método IQR)</w:t>
      </w:r>
      <w:r>
        <w:rPr>
          <w:sz w:val="21"/>
          <w:szCs w:val="21"/>
        </w:rPr>
        <w:t xml:space="preserve">	10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2.6 Correlações com olhar de negócio</w:t>
      </w:r>
      <w:r>
        <w:rPr>
          <w:sz w:val="21"/>
          <w:szCs w:val="21"/>
        </w:rPr>
        <w:t xml:space="preserve">	11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2.7 Poder discriminante por classe</w:t>
      </w:r>
      <w:r>
        <w:rPr>
          <w:sz w:val="21"/>
          <w:szCs w:val="21"/>
        </w:rPr>
        <w:t xml:space="preserve">	13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2.8 Multicolinearidade (VIF)</w:t>
      </w:r>
      <w:r>
        <w:rPr>
          <w:sz w:val="21"/>
          <w:szCs w:val="21"/>
        </w:rPr>
        <w:t xml:space="preserve">	14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3. Pré-Processamento de Dados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3.1 Tratamentos aplicados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3.2 Engenharia de variáveis (criada, testada e descartada)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3.3 Interações entre variáveis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3.4 Robustez a distribuições assimétricas (teste logarítmico)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4. Desenvolvimento de Modelos</w:t>
      </w:r>
      <w:r>
        <w:rPr>
          <w:sz w:val="21"/>
          <w:szCs w:val="21"/>
        </w:rPr>
        <w:t xml:space="preserve">	16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4.1 Algoritmos testados experimentalmente</w:t>
      </w:r>
      <w:r>
        <w:rPr>
          <w:sz w:val="21"/>
          <w:szCs w:val="21"/>
        </w:rPr>
        <w:t xml:space="preserve">	16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4.2 Tratamento do desbalanceamento (Parte I)</w:t>
      </w:r>
      <w:r>
        <w:rPr>
          <w:sz w:val="21"/>
          <w:szCs w:val="21"/>
        </w:rPr>
        <w:t xml:space="preserve">	16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4.3 Otimização de hiperparâmetros</w:t>
      </w:r>
      <w:r>
        <w:rPr>
          <w:sz w:val="21"/>
          <w:szCs w:val="21"/>
        </w:rPr>
        <w:t xml:space="preserve">	16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5. Avaliação — Parte I (corte ≥ 7, desbalanceado)</w:t>
      </w:r>
      <w:r>
        <w:rPr>
          <w:sz w:val="21"/>
          <w:szCs w:val="21"/>
        </w:rPr>
        <w:t xml:space="preserve">	17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5.1 Resultados sem correção de desbalanceamento</w:t>
      </w:r>
      <w:r>
        <w:rPr>
          <w:sz w:val="21"/>
          <w:szCs w:val="21"/>
        </w:rPr>
        <w:t xml:space="preserve">	17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5.2 Resultados com ajuste de peso das classes</w:t>
      </w:r>
      <w:r>
        <w:rPr>
          <w:sz w:val="21"/>
          <w:szCs w:val="21"/>
        </w:rPr>
        <w:t xml:space="preserve">	18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6. Avaliação — Parte II (corte ≥ 6, equilibrado)</w:t>
      </w:r>
      <w:r>
        <w:rPr>
          <w:sz w:val="21"/>
          <w:szCs w:val="21"/>
        </w:rPr>
        <w:t xml:space="preserve">	19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6.1 Comparação entre os modelos</w:t>
      </w:r>
      <w:r>
        <w:rPr>
          <w:sz w:val="21"/>
          <w:szCs w:val="21"/>
        </w:rPr>
        <w:t xml:space="preserve">	19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6.2 O trade-off entre os dois erros e o impacto no negócio</w:t>
      </w:r>
      <w:r>
        <w:rPr>
          <w:sz w:val="21"/>
          <w:szCs w:val="21"/>
        </w:rPr>
        <w:t xml:space="preserve">	20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6.3 Capacidade de separação (curva ROC)</w:t>
      </w:r>
      <w:r>
        <w:rPr>
          <w:sz w:val="21"/>
          <w:szCs w:val="21"/>
        </w:rPr>
        <w:t xml:space="preserve">	21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6.4 Significância estatística e robustez das diferenças</w:t>
      </w:r>
      <w:r>
        <w:rPr>
          <w:sz w:val="21"/>
          <w:szCs w:val="21"/>
        </w:rPr>
        <w:t xml:space="preserve">	22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7. Interpretação dos Resultados</w:t>
      </w:r>
      <w:r>
        <w:rPr>
          <w:sz w:val="21"/>
          <w:szCs w:val="21"/>
        </w:rPr>
        <w:t xml:space="preserve">	24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7.1 Importância das variáveis pela Random Forest</w:t>
      </w:r>
      <w:r>
        <w:rPr>
          <w:sz w:val="21"/>
          <w:szCs w:val="21"/>
        </w:rPr>
        <w:t xml:space="preserve">	24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7.2 Análise SHAP</w:t>
      </w:r>
      <w:r>
        <w:rPr>
          <w:sz w:val="21"/>
          <w:szCs w:val="21"/>
        </w:rPr>
        <w:t xml:space="preserve">	24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7.3 Importância por permutação</w:t>
      </w:r>
      <w:r>
        <w:rPr>
          <w:sz w:val="21"/>
          <w:szCs w:val="21"/>
        </w:rPr>
        <w:t xml:space="preserve">	26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7.4 Implicações para o processo produtivo</w:t>
      </w:r>
      <w:r>
        <w:rPr>
          <w:sz w:val="21"/>
          <w:szCs w:val="21"/>
        </w:rPr>
        <w:t xml:space="preserve">	26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8. Riscos, Limitações e Governança</w:t>
      </w:r>
      <w:r>
        <w:rPr>
          <w:sz w:val="21"/>
          <w:szCs w:val="21"/>
        </w:rPr>
        <w:t xml:space="preserve">	27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8.1 Limitações metodológicas</w:t>
      </w:r>
      <w:r>
        <w:rPr>
          <w:sz w:val="21"/>
          <w:szCs w:val="21"/>
        </w:rPr>
        <w:t xml:space="preserve">	27</w:t>
      </w:r>
    </w:p>
    <w:p>
      <w:pPr>
        <w:tabs>
          <w:tab w:val="right" w:pos="9360" w:leader="dot"/>
        </w:tabs>
        <w:spacing w:after="36" w:line="252"/>
        <w:ind w:left="360"/>
      </w:pPr>
      <w:r>
        <w:rPr>
          <w:sz w:val="21"/>
          <w:szCs w:val="21"/>
        </w:rPr>
        <w:t xml:space="preserve">8.2 Reprodutibilidade</w:t>
      </w:r>
      <w:r>
        <w:rPr>
          <w:sz w:val="21"/>
          <w:szCs w:val="21"/>
        </w:rPr>
        <w:t xml:space="preserve">	27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9. Conclusões e Recomendações</w:t>
      </w:r>
      <w:r>
        <w:rPr>
          <w:sz w:val="21"/>
          <w:szCs w:val="21"/>
        </w:rPr>
        <w:t xml:space="preserve">	27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10. Recomendação de implantação</w:t>
      </w:r>
      <w:r>
        <w:rPr>
          <w:sz w:val="21"/>
          <w:szCs w:val="21"/>
        </w:rPr>
        <w:t xml:space="preserve">	28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11. Referências</w:t>
      </w:r>
      <w:r>
        <w:rPr>
          <w:sz w:val="21"/>
          <w:szCs w:val="21"/>
        </w:rPr>
        <w:t xml:space="preserve">	28</w:t>
      </w:r>
    </w:p>
    <w:p>
      <w:pPr>
        <w:pageBreakBefore/>
        <w:spacing w:after="200" w:before="40"/>
      </w:pPr>
      <w:r>
        <w:rPr>
          <w:rFonts w:ascii="Arial" w:cs="Arial" w:eastAsia="Arial" w:hAnsi="Arial"/>
          <w:b/>
          <w:bCs/>
          <w:color w:val="2F5496"/>
          <w:sz w:val="32"/>
          <w:szCs w:val="32"/>
        </w:rPr>
        <w:t xml:space="preserve">Índice de Tabelas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1 — Os dois limiares de binarização analisados.</w:t>
      </w:r>
      <w:r>
        <w:rPr>
          <w:sz w:val="21"/>
          <w:szCs w:val="21"/>
        </w:rPr>
        <w:t xml:space="preserve">	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2 — Estatística descritiva das variáveis (base limpa, n = 1.018).</w:t>
      </w:r>
      <w:r>
        <w:rPr>
          <w:sz w:val="21"/>
          <w:szCs w:val="21"/>
        </w:rPr>
        <w:t xml:space="preserve">	10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3 — Contagem de outliers por variável (método IQR), sobre a base limpa.</w:t>
      </w:r>
      <w:r>
        <w:rPr>
          <w:sz w:val="21"/>
          <w:szCs w:val="21"/>
        </w:rPr>
        <w:t xml:space="preserve">	10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4 — Fator de Inflação de Variância por variável (&gt; 5 = atenção).</w:t>
      </w:r>
      <w:r>
        <w:rPr>
          <w:sz w:val="21"/>
          <w:szCs w:val="21"/>
        </w:rPr>
        <w:t xml:space="preserve">	14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5 — Efeito da variável so2_ratio no F1 (validação cruzada, 5 dobras).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6 — Efeito das interações no F1 (validação cruzada, 5 dobras).</w:t>
      </w:r>
      <w:r>
        <w:rPr>
          <w:sz w:val="21"/>
          <w:szCs w:val="21"/>
        </w:rPr>
        <w:t xml:space="preserve">	15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7 — Regressão Logística com e sem transformação logarítmica das variáveis assimétricas.</w:t>
      </w:r>
      <w:r>
        <w:rPr>
          <w:sz w:val="21"/>
          <w:szCs w:val="21"/>
        </w:rPr>
        <w:t xml:space="preserve">	16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8 — Melhores configurações encontradas pela busca em grade (GridSearchCV).</w:t>
      </w:r>
      <w:r>
        <w:rPr>
          <w:sz w:val="21"/>
          <w:szCs w:val="21"/>
        </w:rPr>
        <w:t xml:space="preserve">	16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9 — Ganho da otimização de hiperparâmetros (F1 em validação cruzada).</w:t>
      </w:r>
      <w:r>
        <w:rPr>
          <w:sz w:val="21"/>
          <w:szCs w:val="21"/>
        </w:rPr>
        <w:t xml:space="preserve">	17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10 — Parte I (corte ≥ 7), sem correção de desbalanceamento. Ordenado por F1-Score.</w:t>
      </w:r>
      <w:r>
        <w:rPr>
          <w:sz w:val="21"/>
          <w:szCs w:val="21"/>
        </w:rPr>
        <w:t xml:space="preserve">	17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11 — Parte I (corte ≥ 7), com class_weight = 'balanced'. Ordenado por F1-Score.</w:t>
      </w:r>
      <w:r>
        <w:rPr>
          <w:sz w:val="21"/>
          <w:szCs w:val="21"/>
        </w:rPr>
        <w:t xml:space="preserve">	18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12 — Parte II (corte ≥ 6): desempenho no conjunto de teste. Ordenado por F1-Score.</w:t>
      </w:r>
      <w:r>
        <w:rPr>
          <w:sz w:val="21"/>
          <w:szCs w:val="21"/>
        </w:rPr>
        <w:t xml:space="preserve">	19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13 — Estabilidade dos modelos: F1 médio e desvio em validação cruzada (5 dobras).</w:t>
      </w:r>
      <w:r>
        <w:rPr>
          <w:sz w:val="21"/>
          <w:szCs w:val="21"/>
        </w:rPr>
        <w:t xml:space="preserve">	20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Tabela 14 — F1 de teste e intervalo de confiança de 95% (bootstrap, 3.000 reamostragens).</w:t>
      </w:r>
      <w:r>
        <w:rPr>
          <w:sz w:val="21"/>
          <w:szCs w:val="21"/>
        </w:rPr>
        <w:t xml:space="preserve">	23</w:t>
      </w:r>
    </w:p>
    <w:p>
      <w:pPr>
        <w:pageBreakBefore/>
        <w:spacing w:after="200" w:before="40"/>
      </w:pPr>
      <w:r>
        <w:rPr>
          <w:rFonts w:ascii="Arial" w:cs="Arial" w:eastAsia="Arial" w:hAnsi="Arial"/>
          <w:b/>
          <w:bCs/>
          <w:color w:val="2F5496"/>
          <w:sz w:val="32"/>
          <w:szCs w:val="32"/>
        </w:rPr>
        <w:t xml:space="preserve">Índice de Figuras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 — Fluxograma da metodologia, da base original à recomendação.</w:t>
      </w:r>
      <w:r>
        <w:rPr>
          <w:sz w:val="21"/>
          <w:szCs w:val="21"/>
        </w:rPr>
        <w:t xml:space="preserve">	7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2 — Distribuição das notas de qualidade na base limpa (n = 1.018).</w:t>
      </w:r>
      <w:r>
        <w:rPr>
          <w:sz w:val="21"/>
          <w:szCs w:val="21"/>
        </w:rPr>
        <w:t xml:space="preserve">	8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3 — Balanceamento das classes nos dois limiares.</w:t>
      </w:r>
      <w:r>
        <w:rPr>
          <w:sz w:val="21"/>
          <w:szCs w:val="21"/>
        </w:rPr>
        <w:t xml:space="preserve">	9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4 — Histogramas das onze variáveis físico-químicas.</w:t>
      </w:r>
      <w:r>
        <w:rPr>
          <w:sz w:val="21"/>
          <w:szCs w:val="21"/>
        </w:rPr>
        <w:t xml:space="preserve">	9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5 — Boxplots das três variáveis com maior incidência de outliers (mantidos na base).</w:t>
      </w:r>
      <w:r>
        <w:rPr>
          <w:sz w:val="21"/>
          <w:szCs w:val="21"/>
        </w:rPr>
        <w:t xml:space="preserve">	11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6 — Correlação de Pearson de cada variável com a nota de qualidade.</w:t>
      </w:r>
      <w:r>
        <w:rPr>
          <w:sz w:val="21"/>
          <w:szCs w:val="21"/>
        </w:rPr>
        <w:t xml:space="preserve">	12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7 — Mapa de calor das correlações entre todas as variáveis.</w:t>
      </w:r>
      <w:r>
        <w:rPr>
          <w:sz w:val="21"/>
          <w:szCs w:val="21"/>
        </w:rPr>
        <w:t xml:space="preserve">	13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8 — Distribuição das variáveis-chave por classe (corte ≥ 6).</w:t>
      </w:r>
      <w:r>
        <w:rPr>
          <w:sz w:val="21"/>
          <w:szCs w:val="21"/>
        </w:rPr>
        <w:t xml:space="preserve">	14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9 — F1-Score por modelo na Parte I, sem correção (destaque para o melhor).</w:t>
      </w:r>
      <w:r>
        <w:rPr>
          <w:sz w:val="21"/>
          <w:szCs w:val="21"/>
        </w:rPr>
        <w:t xml:space="preserve">	18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10 — F1-Score por modelo na Parte I, com ajuste de peso das classes.</w:t>
      </w:r>
      <w:r>
        <w:rPr>
          <w:sz w:val="21"/>
          <w:szCs w:val="21"/>
        </w:rPr>
        <w:t xml:space="preserve">	19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11 — F1-Score por modelo na Parte II (conjunto de teste).</w:t>
      </w:r>
      <w:r>
        <w:rPr>
          <w:sz w:val="21"/>
          <w:szCs w:val="21"/>
        </w:rPr>
        <w:t xml:space="preserve">	20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12 — Matrizes de confusão no conjunto de teste (corte ≥ 6): recomendado × melhor F1.</w:t>
      </w:r>
      <w:r>
        <w:rPr>
          <w:sz w:val="21"/>
          <w:szCs w:val="21"/>
        </w:rPr>
        <w:t xml:space="preserve">	21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13 — Curvas ROC dos sete modelos (corte ≥ 6), com as respectivas áreas (AUC).</w:t>
      </w:r>
      <w:r>
        <w:rPr>
          <w:sz w:val="21"/>
          <w:szCs w:val="21"/>
        </w:rPr>
        <w:t xml:space="preserve">	22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14 — Curvas Precision-Recall (corte ≥ 6), com Average Precision (AP).</w:t>
      </w:r>
      <w:r>
        <w:rPr>
          <w:sz w:val="21"/>
          <w:szCs w:val="21"/>
        </w:rPr>
        <w:t xml:space="preserve">	23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15 — Importância das variáveis segundo a Random Forest.</w:t>
      </w:r>
      <w:r>
        <w:rPr>
          <w:sz w:val="21"/>
          <w:szCs w:val="21"/>
        </w:rPr>
        <w:t xml:space="preserve">	24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16 — Resumo SHAP: impacto de cada variável na previsão da classe “Alta qualidade”.</w:t>
      </w:r>
      <w:r>
        <w:rPr>
          <w:sz w:val="21"/>
          <w:szCs w:val="21"/>
        </w:rPr>
        <w:t xml:space="preserve">	25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17 — Dependência SHAP do teor alcoólico e dos sulfatos (corte ≥ 6).</w:t>
      </w:r>
      <w:r>
        <w:rPr>
          <w:sz w:val="21"/>
          <w:szCs w:val="21"/>
        </w:rPr>
        <w:t xml:space="preserve">	26</w:t>
      </w:r>
    </w:p>
    <w:p>
      <w:pPr>
        <w:tabs>
          <w:tab w:val="right" w:pos="9360" w:leader="dot"/>
        </w:tabs>
        <w:spacing w:after="36" w:line="252"/>
      </w:pPr>
      <w:r>
        <w:rPr>
          <w:sz w:val="21"/>
          <w:szCs w:val="21"/>
        </w:rPr>
        <w:t xml:space="preserve">Figura 18 — Importância por permutação (queda média de F1), gráfico revisado.</w:t>
      </w:r>
      <w:r>
        <w:rPr>
          <w:sz w:val="21"/>
          <w:szCs w:val="21"/>
        </w:rPr>
        <w:t xml:space="preserve">	26</w:t>
      </w:r>
    </w:p>
    <w:p>
      <w:pPr>
        <w:pStyle w:val="Heading1"/>
        <w:pageBreakBefore/>
      </w:pPr>
      <w:r>
        <w:t xml:space="preserve">Sumário Executivo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Este relatório apresenta a metodologia, os experimentos e as conclusões de um projeto de classificação binária da qualidade de vinhos tintos, desenvolvido sobre a base pública WineQT (Kaggle). O objetivo é distinguir vinhos de alta qualidade dos de baixa/média qualidade usando exclusivamente variáveis físico-químicas mensuráveis durante a produção — apoiando a avaliação sensorial humana, que é subjetiva, lenta e cara.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Sob um único protocolo — mesma divisão treino/teste (80/20 estratificada), mesma validação cruzada (estratificada, cinco dobras) e mesma semente aleatória, foram efetivamente treinados e comparados sete algoritmos. No cenário principal (corte de qualidade ≥ 6), os melhores modelos alcançaram F1-Score entre </w:t>
      </w:r>
      <w:r>
        <w:rPr>
          <w:b/>
          <w:bCs/>
        </w:rPr>
        <w:t xml:space="preserve">0,76 e 0,79</w:t>
      </w:r>
      <w:r>
        <w:rPr>
          <w:b w:val="false"/>
          <w:bCs w:val="false"/>
        </w:rPr>
        <w:t xml:space="preserve"> no conjunto de teste. Em validação cruzada, a Random Forest obteve o melhor F1 médio (</w:t>
      </w:r>
      <w:r>
        <w:rPr>
          <w:b/>
          <w:bCs/>
        </w:rPr>
        <w:t xml:space="preserve">0,762</w:t>
      </w:r>
      <w:r>
        <w:rPr>
          <w:b w:val="false"/>
          <w:bCs w:val="false"/>
        </w:rPr>
        <w:t xml:space="preserve">) e o menor desvio (</w:t>
      </w:r>
      <w:r>
        <w:rPr>
          <w:b/>
          <w:bCs/>
        </w:rPr>
        <w:t xml:space="preserve">±0,015</w:t>
      </w:r>
      <w:r>
        <w:rPr>
          <w:b w:val="false"/>
          <w:bCs w:val="false"/>
        </w:rPr>
        <w:t xml:space="preserve">), confirmando-se como o modelo </w:t>
      </w:r>
      <w:r>
        <w:rPr>
          <w:b/>
          <w:bCs/>
        </w:rPr>
        <w:t xml:space="preserve">mais robusto e mais estável</w:t>
      </w:r>
      <w:r>
        <w:rPr>
          <w:b w:val="false"/>
          <w:bCs w:val="false"/>
        </w:rPr>
        <w:t xml:space="preserve">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Um achado metodológico relevante: aplicados testes de significância (McNemar, comparação pareada por dobras e intervalos de confiança por bootstrap), as diferenças entre os modelos do topo </w:t>
      </w:r>
      <w:r>
        <w:rPr>
          <w:b/>
          <w:bCs/>
        </w:rPr>
        <w:t xml:space="preserve">não são estatisticamente significativas</w:t>
      </w:r>
      <w:r>
        <w:rPr>
          <w:b w:val="false"/>
          <w:bCs w:val="false"/>
        </w:rPr>
        <w:t xml:space="preserve">. Por isso, a escolha do modelo de produção é feita por critérios operacionais — recomenda-se a </w:t>
      </w:r>
      <w:r>
        <w:rPr>
          <w:b/>
          <w:bCs/>
        </w:rPr>
        <w:t xml:space="preserve">Random Forest otimizada</w:t>
      </w:r>
      <w:r>
        <w:rPr>
          <w:b w:val="false"/>
          <w:bCs w:val="false"/>
        </w:rPr>
        <w:t xml:space="preserve"> (melhor desempenho em validação cruzada, robustez a outliers e interpretabilidade), com a Regressão Logística como modelo-companheiro transparente.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Três variáveis físico-químicas destacaram-se como preditores dominantes, confirmadas por três métodos independentes de interpretabilidade: o </w:t>
      </w:r>
      <w:r>
        <w:rPr>
          <w:b/>
          <w:bCs/>
        </w:rPr>
        <w:t xml:space="preserve">teor alcoólico</w:t>
      </w:r>
      <w:r>
        <w:rPr>
          <w:b w:val="false"/>
          <w:bCs w:val="false"/>
        </w:rPr>
        <w:t xml:space="preserve"> (influência positiva), os </w:t>
      </w:r>
      <w:r>
        <w:rPr>
          <w:b/>
          <w:bCs/>
        </w:rPr>
        <w:t xml:space="preserve">sulfatos</w:t>
      </w:r>
      <w:r>
        <w:rPr>
          <w:b w:val="false"/>
          <w:bCs w:val="false"/>
        </w:rPr>
        <w:t xml:space="preserve"> (positiva) e a </w:t>
      </w:r>
      <w:r>
        <w:rPr>
          <w:b/>
          <w:bCs/>
        </w:rPr>
        <w:t xml:space="preserve">acidez volátil</w:t>
      </w:r>
      <w:r>
        <w:rPr>
          <w:b w:val="false"/>
          <w:bCs w:val="false"/>
        </w:rPr>
        <w:t xml:space="preserve"> (negativa). Cada uma tem interpretação direta no processo produtivo, convertendo o modelo estatístico em recomendações concretas de gestão para a vinícola.</w:t>
      </w:r>
    </w:p>
    <w:p>
      <w:pPr>
        <w:pStyle w:val="Heading1"/>
      </w:pPr>
      <w:r>
        <w:t xml:space="preserve">Artefatos e Links do Projeto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Os artefatos avaliáveis deste projeto estão nos endereços abaixo. Substituir os marcadores pelos links definitivos do grupo antes da entrega e garantir que o repositório esteja público e o vídeo acessível (itens eliminatórios).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Repositório GitHub: https://github.com/&lt;usuario&gt;/wine-quality-classification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Vídeo executivo (YouTube): https://youtu.be/&lt;id-do-video&gt;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Apresentação executiva: disponível na pasta /apresentacao do repositório (PPT/PDF)</w:t>
      </w:r>
    </w:p>
    <w:p>
      <w:pPr>
        <w:pStyle w:val="Heading1"/>
      </w:pPr>
      <w:r>
        <w:t xml:space="preserve">1. Compreensão do Problema</w:t>
      </w:r>
    </w:p>
    <w:p>
      <w:pPr>
        <w:pStyle w:val="Heading2"/>
      </w:pPr>
      <w:r>
        <w:t xml:space="preserve">1.1 Contexto e motivação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qualidade de um vinho é tradicionalmente avaliada por especialistas, em análises sensoriais que consideram aroma, sabor, acidez e equilíbrio. Esse processo é, por natureza, subjetivo, varia de pessoa para pessoa e consome tempo. Como hoje é possível medir com precisão e baixo custo diversas propriedades físico-químicas durante a produção, surge a oportunidade de construir modelos preditivos que antecipem a classificação de qualidade a partir de dados objetivos.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Para o negócio há dois ganhos concretos: (1) reduzir o tempo e o custo do controle de qualidade, que deixa de depender exclusivamente de degustadores; e (2) separar antecipadamente os lotes de alta qualidade, direcionando-os a uma precificação premium e protegendo a margem de lucro.</w:t>
      </w:r>
    </w:p>
    <w:p>
      <w:pPr>
        <w:pStyle w:val="Heading2"/>
      </w:pPr>
      <w:r>
        <w:t xml:space="preserve">1.2 Definição da variável-alvo e estratégia de binarização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base traz uma nota de qualidade de 3 a 8. Para transformar o problema em classificação binária (alta × baixa/média) é preciso escolher um ponto de corte — escolha que determina o equilíbrio entre as classes e, por consequência, a dificuldade do problema. Por isso os dois limiares foram analisados de forma comparativa, e não adotados por convenção.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2400"/>
        <w:gridCol w:w="336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Limiar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Classe “Alta”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 no estudo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≥ 7 (sugerido no enunciado)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~13%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Desbalanceado (≈ 6,4 : 1)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I — demonstra a armadilha da acurácia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≥ 6 (estratégia principal)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~54%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Equilibrado (≈ 54/46)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II — decisão guiada pelos dados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1 — Os dois limiares de binarização analisados.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Trata-se de uma </w:t>
      </w:r>
      <w:r>
        <w:rPr>
          <w:b/>
          <w:bCs/>
        </w:rPr>
        <w:t xml:space="preserve">decisão de pré-processamento</w:t>
      </w:r>
      <w:r>
        <w:rPr>
          <w:b w:val="false"/>
          <w:bCs w:val="false"/>
        </w:rPr>
        <w:t xml:space="preserve"> justificada pelos próprios dados (Seção 2.2): as notas 6 e superiores concentram a maior parte das amostras avaliadas acima da média, e o equilíbrio resultante elimina o viés de classe sem reamostragem externa. </w:t>
      </w:r>
      <w:r>
        <w:rPr>
          <w:b/>
          <w:bCs/>
        </w:rPr>
        <w:t xml:space="preserve">Não é calibragem para inflar acurácia</w:t>
      </w:r>
      <w:r>
        <w:rPr>
          <w:b w:val="false"/>
          <w:bCs w:val="false"/>
        </w:rPr>
        <w:t xml:space="preserve"> — apenas calibrar para atingir uma métrica seria superajuste.</w:t>
      </w:r>
    </w:p>
    <w:p>
      <w:pPr>
        <w:spacing w:after="120" w:line="264"/>
        <w:jc w:val="both"/>
      </w:pPr>
      <w:r>
        <w:rPr>
          <w:b w:val="false"/>
          <w:bCs w:val="false"/>
          <w:i/>
          <w:iCs/>
        </w:rPr>
        <w:t xml:space="preserve">Para leigos: escolher o corte é como definir a “nota de aprovação”. Aprovar apenas quem tirou ≥ 7 deixa pouquíssimos aprovados (turma desbalanceada); a fronteira ≥ 6 separa melhor o “mediano” do “bom”.</w:t>
      </w:r>
    </w:p>
    <w:p>
      <w:pPr>
        <w:pStyle w:val="Heading2"/>
      </w:pPr>
      <w:r>
        <w:t xml:space="preserve">1.3 Visão geral da metodologia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fluxograma a seguir resume o fluxo completo do projeto, das etapas de preparação à recomendação final; cada bloco é detalhado nas seções seguintes.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4105275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 — Fluxograma da metodologia, da base original à recomendação.</w:t>
      </w:r>
    </w:p>
    <w:p>
      <w:pPr>
        <w:pStyle w:val="Heading1"/>
      </w:pPr>
      <w:r>
        <w:t xml:space="preserve">2. Análise Exploratória de Dados (EDA)</w:t>
      </w:r>
    </w:p>
    <w:p>
      <w:pPr>
        <w:pStyle w:val="Heading2"/>
      </w:pPr>
      <w:r>
        <w:t xml:space="preserve">2.1 Governança e qualidade dos dados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Seguindo o princípio de “preparar-se para o pior” (Lei de Murphy), a base foi auditada antes de qualquer análise. A base original tinha </w:t>
      </w:r>
      <w:r>
        <w:rPr>
          <w:b/>
          <w:bCs/>
        </w:rPr>
        <w:t xml:space="preserve">1.143 amostras</w:t>
      </w:r>
      <w:r>
        <w:rPr>
          <w:b w:val="false"/>
          <w:bCs w:val="false"/>
        </w:rPr>
        <w:t xml:space="preserve"> e 13 colunas, sem nenhum valor nulo. Foram identificados </w:t>
      </w:r>
      <w:r>
        <w:rPr>
          <w:b/>
          <w:bCs/>
        </w:rPr>
        <w:t xml:space="preserve">125 registros idênticos</w:t>
      </w:r>
      <w:r>
        <w:rPr>
          <w:b w:val="false"/>
          <w:bCs w:val="false"/>
        </w:rPr>
        <w:t xml:space="preserve"> — mesmas onze medições físico-químicas e a mesma nota — reduzidos a uma única ocorrência cada, restando </w:t>
      </w:r>
      <w:r>
        <w:rPr>
          <w:b/>
          <w:bCs/>
        </w:rPr>
        <w:t xml:space="preserve">1.018 amostras</w:t>
      </w:r>
      <w:r>
        <w:rPr>
          <w:b w:val="false"/>
          <w:bCs w:val="false"/>
        </w:rPr>
        <w:t xml:space="preserve">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Ponto metodológico: a verificação de duplicidade ignorou deliberadamente a coluna de identificação (Id). Esse campo é apenas um contador sequencial; se fosse considerado, nenhuma linha seria vista como duplicada e as repetições reais passariam despercebidas. Todas as estatísticas e modelos a seguir foram calculados exclusivamente sobre a base limpa de 1.018 amostras.</w:t>
      </w:r>
    </w:p>
    <w:p>
      <w:pPr>
        <w:pStyle w:val="Heading2"/>
      </w:pPr>
      <w:r>
        <w:t xml:space="preserve">2.2 Distribuição das notas de qualidade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distribuição revela forte concentração nos valores centrais: as notas 5 e 6 somam </w:t>
      </w:r>
      <w:r>
        <w:rPr>
          <w:b/>
          <w:bCs/>
        </w:rPr>
        <w:t xml:space="preserve">842 amostras (≈ 82,7%)</w:t>
      </w:r>
      <w:r>
        <w:rPr>
          <w:b w:val="false"/>
          <w:bCs w:val="false"/>
        </w:rPr>
        <w:t xml:space="preserve">. Os extremos são raros (nota 3 em 6 amostras; nota 4 em 33; nota 8 em 15). Esse padrão é típico de avaliações humanas, que evitam extremos. Na prática, o desafio real não é separar um vinho péssimo de um excelente, mas o “mediano” do “bom” — fronteira sutil que limita o teto de desempenho.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2 — Distribuição das notas de qualidade na base limpa (n = 1.018).</w:t>
      </w:r>
    </w:p>
    <w:p>
      <w:pPr>
        <w:pStyle w:val="Heading2"/>
      </w:pPr>
      <w:r>
        <w:t xml:space="preserve">2.3 Balanceamento das classes e a solução adotada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Com o corte ≥ 7, a base fica fortemente desequilibrada (137 de alta × 881 de baixa/média). Nesse cenário, um modelo ingênuo que classificasse todo vinho como “baixa/média” acertaria </w:t>
      </w:r>
      <w:r>
        <w:rPr>
          <w:b/>
          <w:bCs/>
        </w:rPr>
        <w:t xml:space="preserve">86,5%</w:t>
      </w:r>
      <w:r>
        <w:rPr>
          <w:b w:val="false"/>
          <w:bCs w:val="false"/>
        </w:rPr>
        <w:t xml:space="preserve"> das vezes — sem nunca identificar um único vinho de alta qualidade. É a </w:t>
      </w:r>
      <w:r>
        <w:rPr>
          <w:b/>
          <w:bCs/>
        </w:rPr>
        <w:t xml:space="preserve">armadilha da acurácia</w:t>
      </w:r>
      <w:r>
        <w:rPr>
          <w:b w:val="false"/>
          <w:bCs w:val="false"/>
        </w:rPr>
        <w:t xml:space="preserve">. A solução tem dois níveis: na definição do problema, o corte ≥ 6 equilibra as classes na origem (≈ 54/46); no algoritmo, para o corte ≥ 7, aplica-se class_weight = 'balanced' (Seção 4.2).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3 — Balanceamento das classes nos dois limiares.</w:t>
      </w:r>
    </w:p>
    <w:p>
      <w:pPr>
        <w:pStyle w:val="Heading2"/>
      </w:pPr>
      <w:r>
        <w:t xml:space="preserve">2.4 Distribuição das variáveis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teor alcoólico é quase simétrico; a acidez volátil, os cloretos e o açúcar residual são assimétricos à direita (caudas longas → indício de outliers); o ácido cítrico sugere leve bimodalidade. Modelos lineares (Regressão Logística) são, em princípio, mais sensíveis a distribuições assimétricas que os de árvore — ponto </w:t>
      </w:r>
      <w:r>
        <w:rPr>
          <w:b/>
          <w:bCs/>
        </w:rPr>
        <w:t xml:space="preserve">testado empiricamente na Seção 3.4</w:t>
      </w:r>
      <w:r>
        <w:rPr>
          <w:b w:val="false"/>
          <w:bCs w:val="false"/>
        </w:rPr>
        <w:t xml:space="preserve">, onde mostramos que a assimetria não é o gargalo neste problema.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4 — Histogramas das onze variáveis físico-químicas.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tabela a seguir consolida as estatísticas descritivas das onze variáveis físico-químicas e da nota de qualidade, sobre a base limpa (n = 1.018), oferecendo a visão quantitativa que complementa os histogramas.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380"/>
        <w:gridCol w:w="1380"/>
        <w:gridCol w:w="1380"/>
        <w:gridCol w:w="1380"/>
        <w:gridCol w:w="1380"/>
      </w:tblGrid>
      <w:tr>
        <w:trPr>
          <w:tblHeader/>
        </w:trP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Média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Mediana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Desvio-padrão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Mínimo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Máximo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Acidez fixa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8,289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1,741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4,6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15,9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Acidez volátil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0,534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0,183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1,58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Ácido cítrico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0,269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0,25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0,196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Açúcar residual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2,524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1,315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15,5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Cloretos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0,087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0,079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0,049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0,012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0,611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Dióxido de enxofre livre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15,649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10,177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Dióxido de enxofre total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46,326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33,124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289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Densidade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0,997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0,997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1,004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3,312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3,31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0,158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2,74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4,01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Sulfatos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0,657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0,168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0,33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Teor alcoólico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10,452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1,095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8,4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14,9</w:t>
            </w:r>
          </w:p>
        </w:tc>
      </w:tr>
      <w:tr>
        <w:tc>
          <w:tcPr>
            <w:tcW w:type="dxa" w:w="2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Qualidade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5,641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0,812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2 — Estatística descritiva das variáveis (base limpa, n = 1.018).</w:t>
      </w:r>
    </w:p>
    <w:p>
      <w:pPr>
        <w:pStyle w:val="Heading2"/>
      </w:pPr>
      <w:r>
        <w:t xml:space="preserve">2.5 Detecção de outliers (método IQR)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Aplicou-se o método do intervalo interquartil (IQR): é outlier o valor fora de [Q1 − 1,5·IQR ; Q3 + 1,5·IQR]. A decisão de governança, documentada, foi manter esses valores: (1) todos os extremos são fisicamente plausíveis para vinhos tintos; (2) os modelos de árvore são robustos a outliers; (3) a padronização reduz seu impacto na Regressão Logística. Remover outliers reais sem justificativa física descartaria informação legítima.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tblHeader/>
        </w:trP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Outliers (n)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% da base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Açúcar residual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95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9,3%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Cloretos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Sulfatos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Acidez fixa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3,6%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Dióxido de enxofre total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3,2%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Densidade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2,9%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2,4%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Dióxido de enxofre livre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1,6%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Acidez volátil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Teor alcoólico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0,6%</w:t>
            </w:r>
          </w:p>
        </w:tc>
      </w:tr>
      <w:tr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Ácido cítrico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0,1%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3 — Contagem de outliers por variável (método IQR), sobre a base limpa.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5 — Boxplots das três variáveis com maior incidência de outliers (mantidos na base).</w:t>
      </w:r>
    </w:p>
    <w:p>
      <w:pPr>
        <w:pStyle w:val="Heading2"/>
      </w:pPr>
      <w:r>
        <w:t xml:space="preserve">2.6 Correlações com olhar de negócio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Ressalva: a correlação de Pearson mede associação linear, não causalidade, e não capta relações não lineares — por isso a complementamos adiante com a floresta e o SHAP (Seção 7). A seguir, justifica-se a associação de cada uma das onze variáveis com a nota de qualidade, da mais positiva à mais negativa: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Teor alcoólico (+0,486)</w:t>
      </w:r>
      <w:r>
        <w:rPr>
          <w:b w:val="false"/>
          <w:bCs w:val="false"/>
        </w:rPr>
        <w:t xml:space="preserve"> — preditor positivo mais forte; teores mais altos acompanham vinhos mais encorpados e maduros, percebidos como de maior qualidade.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Sulfatos (+0,258)</w:t>
      </w:r>
      <w:r>
        <w:rPr>
          <w:b w:val="false"/>
          <w:bCs w:val="false"/>
        </w:rPr>
        <w:t xml:space="preserve"> — atuam como conservante e antioxidante (estabilidade microbiológica); em níveis adequados preservam aroma e cor, favorecendo a nota.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Ácido cítrico (+0,242)</w:t>
      </w:r>
      <w:r>
        <w:rPr>
          <w:b w:val="false"/>
          <w:bCs w:val="false"/>
        </w:rPr>
        <w:t xml:space="preserve"> — em pequena quantidade adiciona frescor e vivacidade, contribuindo para o equilíbrio sensorial.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Acidez fixa (+0,116)</w:t>
      </w:r>
      <w:r>
        <w:rPr>
          <w:b w:val="false"/>
          <w:bCs w:val="false"/>
        </w:rPr>
        <w:t xml:space="preserve"> — correlação positiva fraca; os ácidos não voláteis (sobretudo o tartárico) dão estrutura, mas o efeito isolado sobre a nota é modesto.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Açúcar residual (+0,023)</w:t>
      </w:r>
      <w:r>
        <w:rPr>
          <w:b w:val="false"/>
          <w:bCs w:val="false"/>
        </w:rPr>
        <w:t xml:space="preserve"> — correlação praticamente nula; em tintos secos varia pouco e quase não distingue qualidade de forma linear, embora possa ter efeito não linear captável pelas árvores.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pH (-0,058)</w:t>
      </w:r>
      <w:r>
        <w:rPr>
          <w:b w:val="false"/>
          <w:bCs w:val="false"/>
        </w:rPr>
        <w:t xml:space="preserve"> — correlação muito fraca; o pH é consequência da acidez (já representada por outras variáveis), com efeito direto pequeno sobre a nota.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Dióxido de enxofre livre (-0,071)</w:t>
      </w:r>
      <w:r>
        <w:rPr>
          <w:b w:val="false"/>
          <w:bCs w:val="false"/>
        </w:rPr>
        <w:t xml:space="preserve"> — correlação muito fraca; protege contra a oxidação, mas em excesso gera aroma pungente, de modo que o efeito líquido é quase neutro.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Cloretos (-0,122)</w:t>
      </w:r>
      <w:r>
        <w:rPr>
          <w:b w:val="false"/>
          <w:bCs w:val="false"/>
        </w:rPr>
        <w:t xml:space="preserve"> — refletem o teor de sal; níveis elevados conferem sabor salgado indesejado, prejudicando a percepção de qualidade.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Dióxido de enxofre total (-0,182)</w:t>
      </w:r>
      <w:r>
        <w:rPr>
          <w:b w:val="false"/>
          <w:bCs w:val="false"/>
        </w:rPr>
        <w:t xml:space="preserve"> — o excesso sinaliza maior necessidade de conservação e pode produzir aromas e sabores indesejados, associando-se a notas menores.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Densidade (-0,185)</w:t>
      </w:r>
      <w:r>
        <w:rPr>
          <w:b w:val="false"/>
          <w:bCs w:val="false"/>
        </w:rPr>
        <w:t xml:space="preserve"> — depende do álcool e do açúcar; densidade menor acompanha mais álcool e menos açúcar, combinação ligada a notas mais altas — daí a correlação negativa.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/>
          <w:bCs/>
        </w:rPr>
        <w:t xml:space="preserve">Acidez volátil (-0,409)</w:t>
      </w:r>
      <w:r>
        <w:rPr>
          <w:b w:val="false"/>
          <w:bCs w:val="false"/>
        </w:rPr>
        <w:t xml:space="preserve"> — preditor negativo mais forte; valores altos (ácido acético) sinalizam deterioração e avinagramento, um defeito sensorial claro.</w:t>
      </w:r>
    </w:p>
    <w:p>
      <w:pPr>
        <w:spacing w:after="120" w:line="264"/>
        <w:jc w:val="both"/>
      </w:pPr>
      <w:r>
        <w:rPr>
          <w:b/>
          <w:bCs/>
        </w:rPr>
        <w:t xml:space="preserve">Correlações entre as variáveis (mapa comentado):</w:t>
      </w:r>
      <w:r>
        <w:rPr>
          <w:b w:val="false"/>
          <w:bCs w:val="false"/>
        </w:rPr>
        <w:t xml:space="preserve"> como justificar individualmente cada um dos 55 pares seria pouco informativo, destacam-se os blocos com significado químico, que são os que importam para a modelagem. A acidez fixa forma o “esqueleto ácido” do vinho, correlacionando-se com o ácido cítrico (+0,67) e a densidade (+0,67) e, de forma inversa, com o pH (-0,69) — relação esperada, pois mais ácido implica menor pH. O teor alcoólico e a densidade caminham juntos (-0,50), já que o álcool é menos denso que a água. O dióxido de enxofre livre e o total medem o mesmo conservante em frações diferentes (+0,66). Esses agrupamentos antecipam a multicolinearidade tratada na Seção 2.8 (VIF) e mostram por que a correlação linear não capta as interações não lineares exploradas pela floresta e reveladas pelo SHAP (Seção 7).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6 — Correlação de Pearson de cada variável com a nota de qualidade.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493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7 — Mapa de calor das correlações entre todas as variáveis.</w:t>
      </w:r>
    </w:p>
    <w:p>
      <w:pPr>
        <w:pStyle w:val="Heading2"/>
      </w:pPr>
      <w:r>
        <w:t xml:space="preserve">2.7 Poder discriminante por classe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Atendendo a uma sugestão de revisão, comparamos a distribuição de cada variável-chave entre as duas classes (corte ≥ 6). O contraste visual confirma os preditores: a classe Alta tem álcool e sulfatos mais altos e acidez volátil e SO₂ total mais baixos — a tradução gráfica do que os modelos exploram.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8 — Distribuição das variáveis-chave por classe (corte ≥ 6).</w:t>
      </w:r>
    </w:p>
    <w:p>
      <w:pPr>
        <w:pStyle w:val="Heading2"/>
      </w:pPr>
      <w:r>
        <w:t xml:space="preserve">2.8 Multicolinearidade (VIF)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VIF (Variance Inflation Factor) mede o quanto a variância do coeficiente de uma variável é inflada por sua correlação com as demais (regra: &gt; 5 = atenção; &gt; 10 = severo). Aqui, </w:t>
      </w:r>
      <w:r>
        <w:rPr>
          <w:b/>
          <w:bCs/>
        </w:rPr>
        <w:t xml:space="preserve">acidez fixa (≈ 8,0) e densidade (≈ 6,6)</w:t>
      </w:r>
      <w:r>
        <w:rPr>
          <w:b w:val="false"/>
          <w:bCs w:val="false"/>
        </w:rPr>
        <w:t xml:space="preserve"> ultrapassam 5 — coerente com o mapa de calor. Implicação: os coeficientes dessas variáveis na Regressão Logística pedem cautela; o poder preditivo não é prejudicado. As dominantes (álcool, sulfatos, acidez volátil) têm VIF baixo, logo interpretação estável.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rPr>
          <w:tblHeader/>
        </w:trP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VIF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Acidez fixa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7,97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Densidade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6,62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3,48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Teor alcoólico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3,29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Ácido cítrico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3,24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Dióxido de enxofre total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2,12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Dióxido de enxofre livre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1,89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Acidez volátil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1,77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Açúcar residual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1,71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Cloretos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1,58</w:t>
            </w:r>
          </w:p>
        </w:tc>
      </w:tr>
      <w:tr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Sulfatos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1,47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4 — Fator de Inflação de Variância por variável (&gt; 5 = atenção).</w:t>
      </w:r>
    </w:p>
    <w:p>
      <w:pPr>
        <w:pStyle w:val="Heading1"/>
      </w:pPr>
      <w:r>
        <w:t xml:space="preserve">3. Pré-Processamento de Dados</w:t>
      </w:r>
    </w:p>
    <w:p>
      <w:pPr>
        <w:pStyle w:val="Heading2"/>
      </w:pPr>
      <w:r>
        <w:t xml:space="preserve">3.1 Tratamentos aplicados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pré-processamento foi desenhado para ser modular, auditável e livre de vazamento de informação (data leakage). Faltantes: a base não tem nulos → nenhuma imputação. Deduplicação: 125 idênticos removidos, Id ignorado → 1.018 amostras. Padronização (média 0, desvio 1) aplicada dentro do pipeline de cada modelo, após o split — garantindo que os parâmetros sejam calculados só no treino. Divisão: 80/20 estratificada → 814 treino / 204 teste.</w:t>
      </w:r>
    </w:p>
    <w:p>
      <w:pPr>
        <w:pStyle w:val="Heading2"/>
      </w:pPr>
      <w:r>
        <w:t xml:space="preserve">3.2 Engenharia de variáveis (criada, testada e descartada)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Criamos e testamos a razão SO₂ livre / total (hipótese: fração do conservante ainda ativa). O teste comparou o F1 (validação cruzada) com e sem a variável.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sem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com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Δ (com − sem)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Desvio entre dobras</w:t>
            </w:r>
          </w:p>
        </w:tc>
      </w:tr>
      <w:t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0,7603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0,7589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-0,0014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0,028</w:t>
            </w:r>
          </w:p>
        </w:tc>
      </w:tr>
      <w:t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0,7609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0,7684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0,0076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0,021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5 — Efeito da variável so2_ratio no F1 (validação cruzada, 5 dobras).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variação do F1 é desprezível — menor que o desvio entre dobras (faixa do ruído) — e SO₂ livre e total já estão no modelo individualmente, tornando a razão redundante. Decisão: não incorporar. Resultado academicamente válido: a variável foi criada, testada e descartada com base em evidência.</w:t>
      </w:r>
    </w:p>
    <w:p>
      <w:pPr>
        <w:pStyle w:val="Heading2"/>
      </w:pPr>
      <w:r>
        <w:t xml:space="preserve">3.3 Interações entre variáveis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Para demonstrar exploração além do script básico, testamos três interações sugeridas em revisão — álcool×sulfatos, álcool/densidade e acidez volátil×sulfatos — comparando o F1 (CV).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sem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com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Δ (com − sem)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Desvio entre dobras</w:t>
            </w:r>
          </w:p>
        </w:tc>
      </w:tr>
      <w:t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0,7603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0,7557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-0,0045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0,028</w:t>
            </w:r>
          </w:p>
        </w:tc>
      </w:tr>
      <w:t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0,7609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0,7646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0,0037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0,021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6 — Efeito das interações no F1 (validação cruzada, 5 dobras).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variação está dentro do ruído: as árvores já capturam interações implicitamente, e o modelo linear não se beneficia de forma relevante. Decisão: não incorporar.</w:t>
      </w:r>
    </w:p>
    <w:p>
      <w:pPr>
        <w:pStyle w:val="Heading2"/>
      </w:pPr>
      <w:r>
        <w:t xml:space="preserve">3.4 Robustez a distribuições assimétricas (teste logarítmico)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Fechando o ponto da Seção 2.4, aplicamos log1p às variáveis assimétricas (açúcar residual, cloretos, SO₂ livre/total, sulfatos) e recomparamos o F1 da Regressão Logística. O ganho é desprezível (Δ = 0,0013, menor que o desvio entre dobras). Conclusão: a assimetria das marginais </w:t>
      </w:r>
      <w:r>
        <w:rPr>
          <w:b/>
          <w:bCs/>
        </w:rPr>
        <w:t xml:space="preserve">não é o gargalo</w:t>
      </w:r>
      <w:r>
        <w:rPr>
          <w:b w:val="false"/>
          <w:bCs w:val="false"/>
        </w:rPr>
        <w:t xml:space="preserve">. O motivo é conceitual — assimetria não é o mesmo que não linearidade: a fraqueza de um modelo linear está em relações não monotônicas, não em marginais tortas; após a padronização (e a regularização L2 escolhida pela busca em grade), a relação monotônica das variáveis dominantes é bem capturada.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sem log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com log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Δ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Desvio entre dobras</w:t>
            </w:r>
          </w:p>
        </w:tc>
      </w:tr>
      <w:tr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0,7603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0,7615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0,0013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0,028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7 — Regressão Logística com e sem transformação logarítmica das variáveis assimétricas.</w:t>
      </w:r>
    </w:p>
    <w:p>
      <w:pPr>
        <w:pStyle w:val="Heading1"/>
      </w:pPr>
      <w:r>
        <w:t xml:space="preserve">4. Desenvolvimento de Modelos</w:t>
      </w:r>
    </w:p>
    <w:p>
      <w:pPr>
        <w:pStyle w:val="Heading2"/>
      </w:pPr>
      <w:r>
        <w:t xml:space="preserve">4.1 Algoritmos testados experimentalmente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Sete algoritmos foram efetivamente treinados e avaliados sob o mesmo protocolo, cobrindo famílias distintas: Regressão Logística (linear, máxima interpretabilidade); Random Forest (conjunto de árvores, capta não linearidades, robusta a outliers); SVM (fronteira de maior margem); KNN (vizinhos mais próximos); Gradient Boosting (árvores sequenciais, alta precisão); Árvore de Decisão (interpretável, porém instável); e Naive Bayes (probabilístico, rápido). Todos foram encapsulados em pipelines (padronização + estimador), garantindo ausência de vazamento na validação cruzada.</w:t>
      </w:r>
    </w:p>
    <w:p>
      <w:pPr>
        <w:pStyle w:val="Heading2"/>
      </w:pPr>
      <w:r>
        <w:t xml:space="preserve">4.2 Tratamento do desbalanceamento (Parte I)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No corte ≥ 7, os modelos que admitem o recurso receberam class_weight = 'balanced', que penaliza mais os erros na classe minoritária — valorizar cada acerto raro, sem criar dados artificiais. SMOTE e subamostragem foram avaliados e descartados: a base, com 1.018 linhas, é pequena.</w:t>
      </w:r>
    </w:p>
    <w:p>
      <w:pPr>
        <w:pStyle w:val="Heading2"/>
      </w:pPr>
      <w:r>
        <w:t xml:space="preserve">4.3 Otimização de hiperparâmetros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Aplicou-se a busca em grade (GridSearchCV, 5 dobras, critério F1) aos dois modelos principais, </w:t>
      </w:r>
      <w:r>
        <w:rPr>
          <w:b/>
          <w:bCs/>
        </w:rPr>
        <w:t xml:space="preserve">sobre o conjunto de treino do corte ≥ 6</w:t>
      </w:r>
      <w:r>
        <w:rPr>
          <w:b w:val="false"/>
          <w:bCs w:val="false"/>
        </w:rPr>
        <w:t xml:space="preserve">. Esclarecimento importante: as </w:t>
      </w:r>
      <w:r>
        <w:rPr>
          <w:b/>
          <w:bCs/>
        </w:rPr>
        <w:t xml:space="preserve">Tabelas 10 a 13 reportam os modelos default</w:t>
      </w:r>
      <w:r>
        <w:rPr>
          <w:b w:val="false"/>
          <w:bCs w:val="false"/>
        </w:rPr>
        <w:t xml:space="preserve"> (configuração de fábrica); a busca entrega os modelos otimizados usados na interpretabilidade (Seção 7) e na recomendação final.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espaço de busca varrido foi: para a Random Forest, número de árvores em {200, 400}, profundidade máxima em {nenhuma, 6, 10} e mínimo de amostras por folha em {1, 2, 5}; para a Regressão Logística, regularização C em {0,01; 0,1; 1; 10} com penalidade L2. A melhor combinação de cada modelo, na tabela a seguir, foi selecionada pelo F1 médio nas cinco dobras.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Melhores hiperparâmetros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(validação cruzada)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 = 0,1, penalty = l2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0,7564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 = 400, max_depth = null, min_samples_leaf = 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0,7696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8 — Melhores configurações encontradas pela busca em grade (GridSearchCV).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Random Forest otimizada obtém F1 de validação cruzada 0,7696 e F1 de teste 0,7733 — leve otimismo da estimativa por validação cruzada, esperado em bases de ~mil amostras, sem superajuste relevante.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Para tornar explícito o ganho da otimização, a tabela abaixo compara o F1 de validação cruzada dos dois modelos principais antes e depois da busca em grade. O ganho é modesto — coerente com o diagnóstico de que o teto vem da sobreposição das classes, não da configuração —, porém positivo e consistente; no teste, a Random Forest otimizada sobe de 0,768 para 0,7733.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100"/>
        <w:gridCol w:w="2100"/>
        <w:gridCol w:w="2100"/>
      </w:tblGrid>
      <w:tr>
        <w:trPr>
          <w:tblHeader/>
        </w:trP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CV (padrão)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CV (otimizado)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Ganho</w:t>
            </w:r>
          </w:p>
        </w:tc>
      </w:tr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0,7623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0,7696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+0,0073</w:t>
            </w:r>
          </w:p>
        </w:tc>
      </w:tr>
      <w:tr>
        <w:tc>
          <w:tcPr>
            <w:tcW w:type="dxa" w:w="3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0,7547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0,7564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+0,0017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9 — Ganho da otimização de hiperparâmetros (F1 em validação cruzada).</w:t>
      </w:r>
    </w:p>
    <w:p>
      <w:pPr>
        <w:pStyle w:val="Heading1"/>
      </w:pPr>
      <w:r>
        <w:t xml:space="preserve">5. Avaliação — Parte I (corte ≥ 7, desbalanceado)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Esta etapa é sobretudo demonstrativa: mostrar, com números reais, por que a acurácia engana em bases desbalanceadas e qual o efeito do ajuste de peso das classes.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métrica principal de decisão é o F1-Score, média harmônica entre precisão e recall. A escolha é deliberada: a acurácia engana em bases desbalanceadas, como já discutido; a ROC-AUC mede a capacidade de ordenação independentemente do limiar e entra como métrica complementar; o F1, por equilibrar os custos dos dois erros — falsos positivos (prêmio frustrado) e falsos negativos (receita não capturada) —, é o que melhor reflete o objetivo de negócio no ponto de operação. Por isso, é o critério usado para ordenar e selecionar os modelos a seguir.</w:t>
      </w:r>
    </w:p>
    <w:p>
      <w:pPr>
        <w:pStyle w:val="Heading2"/>
      </w:pPr>
      <w:r>
        <w:t xml:space="preserve">5.1 Resultados sem correção de desbalanceamento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Vários modelos exibem acurácia alta (SVM 0,897; Regressão Logística 0,887) que apenas reflete a classe majoritária — o </w:t>
      </w:r>
      <w:r>
        <w:rPr>
          <w:b/>
          <w:bCs/>
        </w:rPr>
        <w:t xml:space="preserve">recall</w:t>
      </w:r>
      <w:r>
        <w:rPr>
          <w:b w:val="false"/>
          <w:bCs w:val="false"/>
        </w:rPr>
        <w:t xml:space="preserve"> da classe “Alta” é baixíssimo (SVM 0,333: escapam dois em cada três vinhos excelentes). A acurácia de 0,897 mal supera o palpite ingênuo de 0,865. O melhor F1 (Naive Bayes, 0,529) já evidencia a dificuldade. Para a vinícola, subprecificar metade dos melhores lotes é prejuízo mascarado por uma métrica aparentemente boa.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320"/>
        <w:gridCol w:w="1320"/>
        <w:gridCol w:w="1320"/>
        <w:gridCol w:w="1320"/>
        <w:gridCol w:w="1320"/>
      </w:tblGrid>
      <w:tr>
        <w:trPr>
          <w:tblHeader/>
        </w:trP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Acurácia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Precisão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F1-Score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ROC-AUC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Naive Bayes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0,843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0,439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0,667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0,529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0,888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0,600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0,444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0,511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0,899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KNN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0,882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0,579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0,407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0,478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0,823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SVM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0,897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0,333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0,462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0,919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0,858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0,455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0,370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0,408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0,894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0,868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0,500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0,296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0,372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0,899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Árvore de Decisão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0,809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0,313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0,370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0,339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0,623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10 — Parte I (corte ≥ 7), sem correção de desbalanceamento. Ordenado por F1-Score.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9 — F1-Score por modelo na Parte I, sem correção (destaque para o melhor).</w:t>
      </w:r>
    </w:p>
    <w:p>
      <w:pPr>
        <w:pStyle w:val="Heading2"/>
      </w:pPr>
      <w:r>
        <w:t xml:space="preserve">5.2 Resultados com ajuste de peso das classes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Com o ajuste, o quadro muda: SVM (F1 0,568) e Regressão Logística (0,539) passam a recuperar a maioria dos vinhos bons (recall 0,926 e 0,889), ao custo de precisão e acurácia — exatamente o trade-off desejado. Ainda assim, o F1 máximo (≈ 0,57) confirma que o corte ≥ 7 é intrinsecamente difícil, o que motiva a Parte II.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320"/>
        <w:gridCol w:w="1320"/>
        <w:gridCol w:w="1320"/>
        <w:gridCol w:w="1320"/>
        <w:gridCol w:w="1320"/>
      </w:tblGrid>
      <w:tr>
        <w:trPr>
          <w:tblHeader/>
        </w:trP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Acurácia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Precisão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F1-Score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ROC-AUC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SVM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0,814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0,410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0,926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0,568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0,908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0,799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0,387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0,539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0,900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Naive Bayes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0,843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0,439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0,667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0,529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0,888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Árvore de Decisão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0,843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0,432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0,593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0,500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0,737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KNN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0,882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0,579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0,407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0,478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0,823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0,858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0,455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0,370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0,408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0,894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0,882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0,615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0,296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0,400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0,918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11 — Parte I (corte ≥ 7), com class_weight = 'balanced'. Ordenado por F1-Score.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10 — F1-Score por modelo na Parte I, com ajuste de peso das classes.</w:t>
      </w:r>
    </w:p>
    <w:p>
      <w:pPr>
        <w:pStyle w:val="Heading1"/>
      </w:pPr>
      <w:r>
        <w:t xml:space="preserve">6. Avaliação — Parte II (corte ≥ 6, equilibrado)</w:t>
      </w:r>
    </w:p>
    <w:p>
      <w:pPr>
        <w:pStyle w:val="Heading2"/>
      </w:pPr>
      <w:r>
        <w:t xml:space="preserve">6.1 Comparação entre os modelos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No cenário equilibrado os números tornam-se confiáveis. No teste, Gradient Boosting (0,789), SVM (0,784), Random Forest (0,768) e Regressão Logística (0,758) ficam próximos. Em validação cruzada, a </w:t>
      </w:r>
      <w:r>
        <w:rPr>
          <w:b/>
          <w:bCs/>
        </w:rPr>
        <w:t xml:space="preserve">Random Forest tem o melhor F1 médio</w:t>
      </w:r>
      <w:r>
        <w:rPr>
          <w:b w:val="false"/>
          <w:bCs w:val="false"/>
        </w:rPr>
        <w:t xml:space="preserve"> (0,7623) e o menor desvio (± 0,015) — é a mais robusta e a mais estável entre execuções. A proximidade indica que o teto vem da dificuldade do problema, não do algoritmo (confirmado na Seção 6.4).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320"/>
        <w:gridCol w:w="1320"/>
        <w:gridCol w:w="1320"/>
        <w:gridCol w:w="1320"/>
        <w:gridCol w:w="1320"/>
      </w:tblGrid>
      <w:tr>
        <w:trPr>
          <w:tblHeader/>
        </w:trP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Acurácia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Precisão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F1-Score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ROC-AUC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0,765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0,826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0,789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0,825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SVM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0,765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0,770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0,798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0,784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0,817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0,745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0,748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0,789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0,803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0,730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0,729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0,789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0,808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KNN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0,716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0,718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0,771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0,743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0,756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Naive Bayes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0,721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0,736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0,743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0,740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0,779</w:t>
            </w:r>
          </w:p>
        </w:tc>
      </w:tr>
      <w:tr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Árvore de Decisão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0,686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0,703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0,716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0,709</w:t>
            </w:r>
          </w:p>
        </w:tc>
        <w:tc>
          <w:tcPr>
            <w:tcW w:type="dxa" w:w="13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0,684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12 — Parte II (corte ≥ 6): desempenho no conjunto de teste. Ordenado por F1-Score.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11 — F1-Score por modelo na Parte II (conjunto de teste).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800"/>
        <w:gridCol w:w="2000"/>
      </w:tblGrid>
      <w:tr>
        <w:trPr>
          <w:tblHeader/>
        </w:trP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médio (validação cruzada)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Desvio-padrão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0,7623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0,015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0,7555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0,017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0,7547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0,021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Naive Bayes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0,7502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0,020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SVM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0,7488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0,021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KNN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0,7220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0,029</w:t>
            </w:r>
          </w:p>
        </w:tc>
      </w:tr>
      <w:tr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Árvore de Decisão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0,6882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± 0,020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13 — Estabilidade dos modelos: F1 médio e desvio em validação cruzada (5 dobras).</w:t>
      </w:r>
    </w:p>
    <w:p>
      <w:pPr>
        <w:pStyle w:val="Heading2"/>
      </w:pPr>
      <w:r>
        <w:t xml:space="preserve">6.2 O trade-off entre os dois erros e o impacto no negócio</w:t>
      </w:r>
    </w:p>
    <w:p>
      <w:pPr>
        <w:spacing w:after="120" w:line="264"/>
        <w:jc w:val="both"/>
      </w:pPr>
      <w:r>
        <w:rPr>
          <w:b/>
          <w:bCs/>
        </w:rPr>
        <w:t xml:space="preserve">Falso positivo</w:t>
      </w:r>
      <w:r>
        <w:rPr>
          <w:b w:val="false"/>
          <w:bCs w:val="false"/>
        </w:rPr>
        <w:t xml:space="preserve"> — prever “Alta” para um vinho comum → produto premium aquém da expectativa, risco de devolução e dano à marca; pede maior precisão (SVM 0,770; Gradient Boosting 0,756). </w:t>
      </w:r>
      <w:r>
        <w:rPr>
          <w:b/>
          <w:bCs/>
        </w:rPr>
        <w:t xml:space="preserve">Falso negativo</w:t>
      </w:r>
      <w:r>
        <w:rPr>
          <w:b w:val="false"/>
          <w:bCs w:val="false"/>
        </w:rPr>
        <w:t xml:space="preserve"> — prever “Baixa/Média” para um vinho excelente → perda direta de receita; pede maior recall (Gradient Boosting 0,826). A matriz de confusão contrasta o modelo recomendado (Random Forest otimizada) com o líder de F1 no teste (Gradient Boosting).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12 — Matrizes de confusão no conjunto de teste (corte ≥ 6): recomendado × melhor F1.</w:t>
      </w:r>
    </w:p>
    <w:p>
      <w:pPr>
        <w:pStyle w:val="Heading2"/>
      </w:pPr>
      <w:r>
        <w:t xml:space="preserve">6.3 Capacidade de separação (curva ROC)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A maior área sob a curva ROC é do Gradient Boosting (0,825), seguido por SVM (0,817), Regressão Logística (0,808) e Random Forest (0,803). Todos separam bem as classes (AUC ≈ 0,80), mesmo que o limiar-padrão não seja ideal para todos os cenários de negócio.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13 — Curvas ROC dos sete modelos (corte ≥ 6), com as respectivas áreas (AUC).</w:t>
      </w:r>
    </w:p>
    <w:p>
      <w:pPr>
        <w:pStyle w:val="Heading2"/>
      </w:pPr>
      <w:r>
        <w:t xml:space="preserve">6.4 Significância estatística e robustez das diferenças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Para responder “as diferenças entre os melhores modelos são reais?”, aplicamos quatro instrumentos:</w:t>
      </w:r>
    </w:p>
    <w:p>
      <w:pPr>
        <w:pStyle w:val="ListParagraph"/>
        <w:numPr>
          <w:ilvl w:val="0"/>
          <w:numId w:val="3"/>
        </w:numPr>
        <w:spacing w:after="80" w:line="264"/>
        <w:jc w:val="both"/>
      </w:pPr>
      <w:r>
        <w:rPr>
          <w:b/>
          <w:bCs/>
        </w:rPr>
        <w:t xml:space="preserve">McNemar</w:t>
      </w:r>
      <w:r>
        <w:rPr>
          <w:b w:val="false"/>
          <w:bCs w:val="false"/>
        </w:rPr>
        <w:t xml:space="preserve"> (acertos/erros pareados no teste): Gradient Boosting × SVM p = 1,00; Gradient Boosting × Random Forest p ≈ 0,54; Regressão Logística × Random Forest p ≈ 0,73 — nenhuma diferença significativa.</w:t>
      </w:r>
    </w:p>
    <w:p>
      <w:pPr>
        <w:pStyle w:val="ListParagraph"/>
        <w:numPr>
          <w:ilvl w:val="0"/>
          <w:numId w:val="3"/>
        </w:numPr>
        <w:spacing w:after="80" w:line="264"/>
        <w:jc w:val="both"/>
      </w:pPr>
      <w:r>
        <w:rPr>
          <w:b/>
          <w:bCs/>
        </w:rPr>
        <w:t xml:space="preserve">Comparação pareada por dobras</w:t>
      </w:r>
      <w:r>
        <w:rPr>
          <w:b w:val="false"/>
          <w:bCs w:val="false"/>
        </w:rPr>
        <w:t xml:space="preserve"> (Random Forest × Regressão Logística): diferença média 0,0076, p ≈ 0,55.</w:t>
      </w:r>
    </w:p>
    <w:p>
      <w:pPr>
        <w:pStyle w:val="ListParagraph"/>
        <w:numPr>
          <w:ilvl w:val="0"/>
          <w:numId w:val="3"/>
        </w:numPr>
        <w:spacing w:after="80" w:line="264"/>
        <w:jc w:val="both"/>
      </w:pPr>
      <w:r>
        <w:rPr>
          <w:b/>
          <w:bCs/>
        </w:rPr>
        <w:t xml:space="preserve">Bootstrap (IC 95%) do F1 no teste</w:t>
      </w:r>
      <w:r>
        <w:rPr>
          <w:b w:val="false"/>
          <w:bCs w:val="false"/>
        </w:rPr>
        <w:t xml:space="preserve">: os intervalos se sobrepõem amplamente (ver Tabela 14).</w:t>
      </w:r>
    </w:p>
    <w:p>
      <w:pPr>
        <w:pStyle w:val="ListParagraph"/>
        <w:numPr>
          <w:ilvl w:val="0"/>
          <w:numId w:val="3"/>
        </w:numPr>
        <w:spacing w:after="80" w:line="264"/>
        <w:jc w:val="both"/>
      </w:pPr>
      <w:r>
        <w:rPr>
          <w:b/>
          <w:bCs/>
        </w:rPr>
        <w:t xml:space="preserve">Curva Precision-Recall (Figura 14)</w:t>
      </w:r>
      <w:r>
        <w:rPr>
          <w:b w:val="false"/>
          <w:bCs w:val="false"/>
        </w:rPr>
        <w:t xml:space="preserve">: a Regressão Logística tem a maior Average Precision (0,833), com Gradient Boosting (0,831) e SVM (0,824) logo atrás.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400"/>
        <w:gridCol w:w="3600"/>
      </w:tblGrid>
      <w:tr>
        <w:trPr>
          <w:tblHeader/>
        </w:trPr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 (teste)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F5496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IC 95% (bootstrap)</w:t>
            </w:r>
          </w:p>
        </w:tc>
      </w:tr>
      <w:tr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Regressão Logística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0,758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[0,691 ; 0,816]</w:t>
            </w:r>
          </w:p>
        </w:tc>
      </w:tr>
      <w:tr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0,768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[0,704 ; 0,828]</w:t>
            </w:r>
          </w:p>
        </w:tc>
      </w:tr>
      <w:tr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0,789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[0,726 ; 0,845]</w:t>
            </w:r>
          </w:p>
        </w:tc>
      </w:tr>
      <w:tr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SVM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0,784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F0F7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 w:line="248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[0,718 ; 0,841]</w:t>
            </w:r>
          </w:p>
        </w:tc>
      </w:tr>
    </w:tbl>
    <w:p>
      <w:pPr>
        <w:spacing w:after="180" w:before="60"/>
        <w:jc w:val="center"/>
      </w:pPr>
      <w:r>
        <w:rPr>
          <w:i/>
          <w:iCs/>
          <w:color w:val="595959"/>
          <w:sz w:val="18"/>
          <w:szCs w:val="18"/>
        </w:rPr>
        <w:t xml:space="preserve">Tabela 14 — F1 de teste e intervalo de confiança de 95% (bootstrap, 3.000 reamostragens).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4695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14 — Curvas Precision-Recall (corte ≥ 6), com Average Precision (AP).</w:t>
      </w:r>
    </w:p>
    <w:p>
      <w:pPr>
        <w:spacing w:after="120" w:line="264"/>
        <w:jc w:val="both"/>
      </w:pPr>
      <w:r>
        <w:rPr>
          <w:b/>
          <w:bCs/>
        </w:rPr>
        <w:t xml:space="preserve">Conclusão:</w:t>
      </w:r>
      <w:r>
        <w:rPr>
          <w:b w:val="false"/>
          <w:bCs w:val="false"/>
        </w:rPr>
        <w:t xml:space="preserve"> no topo, os modelos são estatisticamente indistinguíveis. A escolha do modelo de produção deve ser feita por critérios operacionais (estabilidade, robustez, interpretabilidade), não pelo F1 de uma única partição. Isso responde diretamente à pergunta “se um modelo teve o melhor F1, por que não é o principal?”: a vantagem não é estatisticamente real.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Uma pergunta natural: se o Gradient Boosting obteve o melhor F1 no conjunto de teste (0,789), por que recomendar a Random Forest (0,768)? Porque o F1 de uma única partição de teste, com apenas 204 amostras, é uma estimativa ruidosa. Os testes de McNemar e pareado mostram que as diferenças no topo do ranking não são estatisticamente significativas; e na validação cruzada — mais robusta, por reaproveitar cinco partições — a Random Forest tem o melhor F1 médio (0,7623) e a menor variância (± 0,015), enquanto o Gradient Boosting recua para 0,7555 e o SVM, segundo melhor no teste (0,784), cai para 0,7488. A recomendação prioriza, portanto, o desempenho estável e reprodutível sobre o pico de uma única amostra.</w:t>
      </w:r>
    </w:p>
    <w:p>
      <w:pPr>
        <w:pStyle w:val="Heading1"/>
      </w:pPr>
      <w:r>
        <w:t xml:space="preserve">7. Interpretação dos Resultados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Entender por que o modelo decide é tão importante quanto saber o quanto ele acerta — é o que transforma um classificador em ferramenta de gestão. Três métodos independentes foram empregados; sua convergência reforça a confiança. A análise usa a Random Forest com os melhores hiperparâmetros, sem padronização (árvores são invariantes à escala).</w:t>
      </w:r>
    </w:p>
    <w:p>
      <w:pPr>
        <w:pStyle w:val="Heading2"/>
      </w:pPr>
      <w:r>
        <w:t xml:space="preserve">7.1 Importância das variáveis pela Random Forest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primeiro método mede a contribuição média de cada variável. A ordem: teor alcoólico (0,204), sulfatos (0,135), acidez volátil (0,117), dióxido de enxofre total (0,098), entre as principais. As de menor contribuição (açúcar residual, SO₂ livre) merecem nota: o açúcar residual é também o de mais outliers (9,3%), o que pode diluir seu poder; já o SO₂ livre tem poucos outliers (1,6%), então sua baixa importância não se explica por outliers.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15 — Importância das variáveis segundo a Random Forest.</w:t>
      </w:r>
    </w:p>
    <w:p>
      <w:pPr>
        <w:pStyle w:val="Heading2"/>
      </w:pPr>
      <w:r>
        <w:t xml:space="preserve">7.2 Análise SHAP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SHAP (teoria dos jogos cooperativos) decompõe cada previsão nas contribuições de cada variável, revelando importância, direção e intensidade. A leitura confirma a correlação: teor alcoólico alto empurra fortemente para “alta qualidade”; acidez volátil alta empurra para “baixa qualidade”; sulfatos elevados têm efeito positivo. O SHAP também revela não linearidades — por exemplo, teores alcoólicos muito baixos têm efeito fortemente negativo, sugerindo uma faixa ótima.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16 — Resumo SHAP: impacto de cada variável na previsão da classe “Alta qualidade”.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Mais do que confirmar a correlação, o SHAP revela não linearidades que uma leitura linear não captaria. No teor alcoólico, o impacto é fortemente negativo abaixo de ~10%, cresce de forma acentuada entre 10% e 12% e atinge o ponto de maior contribuição em torno de 12–12,5%, com leve acomodação nos teores mais altos — o que sustenta a faixa favorável de 11% a 13%. Nos sulfatos, o achado é mais instrutivo: o efeito positivo cresce até cerca de 0,7–0,85 g/L e então satura; acima desse patamar, dosagens maiores não aumentam a contribuição para a classe de alta qualidade (e chegam a recuar levemente). Isso contradiz a leitura ingênua da correlação positiva (+0,258), que sugeriria 'quanto mais, melhor': há um ponto de retorno decrescente, com implicação direta de processo — ajustar os sulfatos a uma faixa intermediária, sem excesso.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17 — Dependência SHAP do teor alcoólico e dos sulfatos (corte ≥ 6).</w:t>
      </w:r>
    </w:p>
    <w:p>
      <w:pPr>
        <w:pStyle w:val="Heading2"/>
      </w:pPr>
      <w:r>
        <w:t xml:space="preserve">7.3 Importância por permutação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terceiro método mede a queda no F1 ao embaralhar cada variável, destruindo sua relação com o alvo; independe do tipo de modelo. O ponto-chave é a convergência: os três métodos — importância da floresta, SHAP e permutação — apontam o mesmo trio (teor alcoólico, sulfatos e acidez volátil), tornando o resultado robusto. O gráfico foi revisado para exibir rótulos com sinal, sem colisão.</w:t>
      </w:r>
    </w:p>
    <w:p>
      <w:pPr>
        <w:keepNext/>
        <w:spacing w:after="40" w:before="100"/>
        <w:jc w:val="center"/>
      </w:pPr>
      <w:r>
        <w:drawing>
          <wp:inline distT="0" distB="0" distL="0" distR="0">
            <wp:extent cx="55245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95959"/>
          <w:sz w:val="18"/>
          <w:szCs w:val="18"/>
        </w:rPr>
        <w:t xml:space="preserve">Figura 18 — Importância por permutação (queda média de F1), gráfico revisado.</w:t>
      </w:r>
    </w:p>
    <w:p>
      <w:pPr>
        <w:pStyle w:val="Heading2"/>
      </w:pPr>
      <w:r>
        <w:t xml:space="preserve">7.4 Implicações para o processo produtivo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Monitorar o teor alcoólico como indicador de maturação: vinhos com teor abaixo de ~10% tendem a baixa/média qualidade; a faixa mais favorável situa-se entre 11% e 13%.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Controlar rigorosamente a acidez volátil, mantendo-a baixa, com higienização de equipamentos e monitoramento microbiológico da fermentação.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Ajustar os sulfatos a uma faixa intermediária, em que o efeito positivo é maximizado, evitando falta e excesso.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Atentar à qualidade da água de processo: cloretos elevados prejudicam de forma consistente a classificação.</w:t>
      </w:r>
    </w:p>
    <w:p>
      <w:pPr>
        <w:pStyle w:val="Heading1"/>
      </w:pPr>
      <w:r>
        <w:t xml:space="preserve">8. Riscos, Limitações e Governança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Em coerência com o princípio de antecipar o que pode dar errado, os principais riscos foram mapeados com suas mitigações.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Superajuste da Random Forest — mitigado por GridSearchCV com validação cruzada, controlando profundidade e tamanho mínimo das folhas.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Viés da avaliação sensorial — o alvo deriva de julgamentos humanos; mitigação plena exigiria medir a concordância entre degustadores.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Degradação com novos lotes — base estática, sem marcação temporal; recomenda-se monitoramento periódico.</w:t>
      </w:r>
    </w:p>
    <w:p>
      <w:pPr>
        <w:pStyle w:val="Heading2"/>
      </w:pPr>
      <w:r>
        <w:t xml:space="preserve">8.1 Limitações metodológicas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Tamanho da base (~1.018): estimativas menos precisas (note os intervalos de confiança largos na Tabela 14) — revalidar com dados novos antes de implantar.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Correlação não é causalidade: as interpretações de mecanismo são hipóteses, a confirmar com enólogos.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Ausência de marcação temporal: impede avaliar a degradação ao longo do tempo.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Escopo restrito a vinhos tintos: não aplicar a brancos/espumantes sem novo treinamento.</w:t>
      </w:r>
    </w:p>
    <w:p>
      <w:pPr>
        <w:pStyle w:val="Heading2"/>
      </w:pPr>
      <w:r>
        <w:t xml:space="preserve">8.2 Reprodutibilidade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Todo o trabalho é reproduzível. A mesma semente aleatória (</w:t>
      </w:r>
      <w:r>
        <w:rPr>
          <w:b/>
          <w:bCs/>
        </w:rPr>
        <w:t xml:space="preserve">SEED = 43</w:t>
      </w:r>
      <w:r>
        <w:rPr>
          <w:b w:val="false"/>
          <w:bCs w:val="false"/>
        </w:rPr>
        <w:t xml:space="preserve">, número primo adotado por decisão de grupo) é usada na divisão dos dados, na inicialização dos modelos e na validação cruzada. As dependências estão registradas e o notebook que acompanha o projeto foi executado de ponta a ponta, sem erros, antes da entrega.</w:t>
      </w:r>
    </w:p>
    <w:p>
      <w:pPr>
        <w:pStyle w:val="Heading1"/>
      </w:pPr>
      <w:r>
        <w:t xml:space="preserve">9. Conclusões e Recomendações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O projeto demonstrou ser viável classificar a qualidade de vinhos tintos, com F1-Score de 0,76 a 0,79 no teste (0,75 a 0,77 em validação cruzada), utilizando apenas variáveis físico-químicas mensuráveis na linha de produção. Os principais aprendizados: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 escolha do ponto de corte é uma decisão de pré-processamento determinante: o corte ≥ 7 gera desbalanceamento severo que limita o desempenho mesmo com correção de peso, enquanto o corte ≥ 6 reduz substancialmente o desbalanceamento na origem e é a estratégia recomendada.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No cenário equilibrado os sete algoritmos convergem para um patamar semelhante; os testes estatísticos (Seção 6.4) mostram que as diferenças no topo não são significativas. A Random Forest destaca-se por ser a mais robusta e estável em validação cruzada.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Três variáveis dominam — teor alcoólico (+), sulfatos (+) e acidez volátil (−) — confirmadas por três métodos independentes, com mecanismos produtivos claros e monitoráveis.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As variáveis engenheiradas (razão SO₂ livre/total e interações) foram criadas, testadas e descartadas por não agregarem valor preditivo — resultado legítimo e documentado.</w:t>
      </w:r>
    </w:p>
    <w:p>
      <w:pPr>
        <w:pStyle w:val="ListParagraph"/>
        <w:numPr>
          <w:ilvl w:val="0"/>
          <w:numId w:val="2"/>
        </w:numPr>
        <w:spacing w:after="80" w:line="264"/>
        <w:jc w:val="both"/>
      </w:pPr>
      <w:r>
        <w:rPr>
          <w:b w:val="false"/>
          <w:bCs w:val="false"/>
        </w:rPr>
        <w:t xml:space="preserve">A otimização de hiperparâmetros trouxe ganho modesto, sinalizando que o gargalo está na sobreposição natural entre as classes, não na configuração dos modelos.</w:t>
      </w:r>
    </w:p>
    <w:p>
      <w:pPr>
        <w:pStyle w:val="Heading1"/>
      </w:pPr>
      <w:r>
        <w:t xml:space="preserve">10. Recomendação de implantação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Como os melhores modelos são estatisticamente equivalentes, a escolha é feita por critérios operacionais. Recomenda-se adotar a </w:t>
      </w:r>
      <w:r>
        <w:rPr>
          <w:b/>
          <w:bCs/>
        </w:rPr>
        <w:t xml:space="preserve">Random Forest otimizada</w:t>
      </w:r>
      <w:r>
        <w:rPr>
          <w:b w:val="false"/>
          <w:bCs w:val="false"/>
        </w:rPr>
        <w:t xml:space="preserve"> (n_estimators = 400, max_depth = null, min_samples_leaf = 2) como modelo de produção — melhor e mais estável desempenho em validação cruzada, robusta aos outliers mantidos e interpretável (Seção 7). Manter a Regressão Logística como modelo-companheiro transparente (coeficientes auditáveis, maior average precision), útil quando a decisão precisa ser explicada de forma linear. O Gradient Boosting lidera o F1 numa única partição, mas a vantagem não é estatisticamente significativa. Recomenda-se monitorar o F1 periodicamente sobre novos lotes.</w:t>
      </w:r>
    </w:p>
    <w:p>
      <w:pPr>
        <w:spacing w:after="120" w:line="264"/>
        <w:jc w:val="both"/>
      </w:pPr>
      <w:r>
        <w:rPr>
          <w:b w:val="false"/>
          <w:bCs w:val="false"/>
        </w:rPr>
        <w:t xml:space="preserve">Traduzindo em valor de negócio: ao operar como uma triagem automatizada e padronizada, o modelo recomendado reduz a dependência da degustação manual — mais lenta e custosa — e acelera a separação dos lotes. O equilíbrio entre os dois erros tem efeito financeiro direto: cada falso negativo é um lote de alta qualidade subprecificado (receita não capturada) e cada falso positivo é um prêmio frustrado (risco de devolução e de imagem). A escolha da Random Forest apoia-se em sua estabilidade e no equilíbrio entre os dois erros, oferecendo desempenho previsível em produção; e o limiar de decisão pode ser calibrado conforme a prioridade da vinícola — favorecer o recall, para não perder lotes bons, ou a precisão, para proteger o prêmio —, protegendo a margem apontada na Seção 1.1. Recomenda-se acompanhar, além do F1, indicadores de negócio — acerto na faixa premium e receita incremental dos lotes reclassificados — para confirmar, em produção, o retorno esperado.</w:t>
      </w:r>
    </w:p>
    <w:p>
      <w:pPr>
        <w:pStyle w:val="Heading1"/>
      </w:pPr>
      <w:r>
        <w:t xml:space="preserve">11. Referências</w:t>
      </w:r>
    </w:p>
    <w:p>
      <w:pPr>
        <w:spacing w:after="120" w:line="264"/>
        <w:jc w:val="both"/>
      </w:pPr>
      <w:r>
        <w:t xml:space="preserve">CORTEZ, P.; CERDEIRA, A.; ALMEIDA, F.; MATOS, T.; REIS, J. Modeling wine preferences by data mining from physicochemical properties. </w:t>
      </w:r>
      <w:r>
        <w:rPr>
          <w:i/>
          <w:iCs/>
        </w:rPr>
        <w:t xml:space="preserve">Decision Support Systems</w:t>
      </w:r>
      <w:r>
        <w:t xml:space="preserve">, v. 47, n. 4, p. 547-553, 2009. DOI: 10.1016/j.dss.2009.05.016.</w:t>
      </w:r>
    </w:p>
    <w:p>
      <w:pPr>
        <w:spacing w:after="120" w:line="264"/>
        <w:jc w:val="both"/>
      </w:pPr>
      <w:r>
        <w:t xml:space="preserve">KAGGLE. Wine Quality Dataset (WineQT). Disponível em: https://www.kaggle.com/datasets/yasserh/wine-quality-dataset. Acesso em: 19 jun. 2026.</w:t>
      </w:r>
    </w:p>
    <w:p>
      <w:pPr>
        <w:spacing w:after="120" w:line="264"/>
        <w:jc w:val="both"/>
      </w:pPr>
      <w:r>
        <w:t xml:space="preserve">PEDREGOSA, F. et al. Scikit-learn: Machine Learning in Python. </w:t>
      </w:r>
      <w:r>
        <w:rPr>
          <w:i/>
          <w:iCs/>
        </w:rPr>
        <w:t xml:space="preserve">Journal of Machine Learning Research</w:t>
      </w:r>
      <w:r>
        <w:t xml:space="preserve">, v. 12, p. 2825-2830, 2011.</w:t>
      </w:r>
    </w:p>
    <w:p>
      <w:pPr>
        <w:spacing w:after="120" w:line="264"/>
        <w:jc w:val="both"/>
      </w:pPr>
      <w:r>
        <w:t xml:space="preserve">LUNDBERG, S. M.; LEE, S.-I. A Unified Approach to Interpreting Model Predictions. In: </w:t>
      </w:r>
      <w:r>
        <w:rPr>
          <w:i/>
          <w:iCs/>
        </w:rPr>
        <w:t xml:space="preserve">Advances in Neural Information Processing Systems (NeurIPS 30)</w:t>
      </w:r>
      <w:r>
        <w:t xml:space="preserve">, 2017. Disponível em: https://arxiv.org/abs/1705.07874.</w:t>
      </w:r>
    </w:p>
    <w:p>
      <w:pPr>
        <w:spacing w:after="120" w:line="264"/>
        <w:jc w:val="both"/>
      </w:pPr>
      <w:r>
        <w:t xml:space="preserve">BREIMAN, L. Random Forests. </w:t>
      </w:r>
      <w:r>
        <w:rPr>
          <w:i/>
          <w:iCs/>
        </w:rPr>
        <w:t xml:space="preserve">Machine Learning</w:t>
      </w:r>
      <w:r>
        <w:t xml:space="preserve">, v. 45, n. 1, p. 5-32, 2001. DOI: 10.1023/A:1010933404324.</w:t>
      </w:r>
    </w:p>
    <w:p>
      <w:pPr>
        <w:spacing w:after="120" w:line="264"/>
        <w:jc w:val="both"/>
      </w:pPr>
      <w:r>
        <w:t xml:space="preserve">McKINNEY, W. Data Structures for Statistical Computing in Python. In: </w:t>
      </w:r>
      <w:r>
        <w:rPr>
          <w:i/>
          <w:iCs/>
        </w:rPr>
        <w:t xml:space="preserve">Proceedings of the 9th Python in Science Conference (SciPy 2010)</w:t>
      </w:r>
      <w:r>
        <w:t xml:space="preserve">, p. 56-61, 2010. DOI: 10.25080/Majora-92bf1922-00a.</w:t>
      </w:r>
    </w:p>
    <w:p>
      <w:pPr>
        <w:spacing w:after="120" w:line="264"/>
        <w:jc w:val="both"/>
      </w:pPr>
      <w:r>
        <w:t xml:space="preserve">HARRIS, C. R. et al. Array programming with NumPy. </w:t>
      </w:r>
      <w:r>
        <w:rPr>
          <w:i/>
          <w:iCs/>
        </w:rPr>
        <w:t xml:space="preserve">Nature</w:t>
      </w:r>
      <w:r>
        <w:t xml:space="preserve">, v. 585, p. 357-362, 2020. DOI: 10.1038/s41586-020-2649-2.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68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F5496" w:sz="6" w:space="4"/>
      </w:pBdr>
      <w:spacing w:after="0"/>
      <w:jc w:val="center"/>
    </w:pPr>
    <w:r>
      <w:rPr>
        <w:color w:val="808080"/>
        <w:sz w:val="15"/>
        <w:szCs w:val="15"/>
      </w:rPr>
      <w:t xml:space="preserve">POSTECH DTAT  |  Tech Challenge — Fase 2  |  Classificação de Qualidade de Vinhos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Arial" w:cs="Arial" w:eastAsia="Arial" w:hAnsi="Arial"/>
      <w:b/>
      <w:bCs/>
      <w:color w:val="2F5496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00"/>
      <w:outlineLvl w:val="1"/>
    </w:pPr>
    <w:rPr>
      <w:rFonts w:ascii="Arial" w:cs="Arial" w:eastAsia="Arial" w:hAnsi="Arial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6dac6a985c64b62acf5d918518848ca1f56693b3.png"/><Relationship Id="rId12" Type="http://schemas.openxmlformats.org/officeDocument/2006/relationships/image" Target="media/82d01f8623b052243892471e9d0c5de4c60925cf.png"/><Relationship Id="rId13" Type="http://schemas.openxmlformats.org/officeDocument/2006/relationships/image" Target="media/c49a223bc8472880ea602b24d4ab9e1b4725eb54.png"/><Relationship Id="rId14" Type="http://schemas.openxmlformats.org/officeDocument/2006/relationships/image" Target="media/f25cdcbbc3998b3113bb62772760f11c8e13d397.png"/><Relationship Id="rId15" Type="http://schemas.openxmlformats.org/officeDocument/2006/relationships/image" Target="media/2cf72bcc341baa1c83b206fb5d6c56d8605a403d.png"/><Relationship Id="rId16" Type="http://schemas.openxmlformats.org/officeDocument/2006/relationships/image" Target="media/1e359b4282df0d55aad57e8fd9d7eb2ce71e8803.png"/><Relationship Id="rId17" Type="http://schemas.openxmlformats.org/officeDocument/2006/relationships/image" Target="media/6851949e5b1d6cd0047f6a65310d21a5dc0d3d80.png"/><Relationship Id="rId18" Type="http://schemas.openxmlformats.org/officeDocument/2006/relationships/image" Target="media/e6fcf71a8a57fe4c24edf5e663abf07f91b21bc6.png"/><Relationship Id="rId19" Type="http://schemas.openxmlformats.org/officeDocument/2006/relationships/image" Target="media/b0482e9f4e46ebcb1c48a4cae6b391261e73bd18.png"/><Relationship Id="rId20" Type="http://schemas.openxmlformats.org/officeDocument/2006/relationships/image" Target="media/677ff29fcece9f03be9d6cf9a5ba2c35649b8d02.png"/><Relationship Id="rId21" Type="http://schemas.openxmlformats.org/officeDocument/2006/relationships/image" Target="media/c173690e510858e5aca3a47f4727d73cbb8349c9.png"/><Relationship Id="rId22" Type="http://schemas.openxmlformats.org/officeDocument/2006/relationships/image" Target="media/7a1800dce8ca18914d75b2e76ba7b29165b8e6c5.png"/><Relationship Id="rId23" Type="http://schemas.openxmlformats.org/officeDocument/2006/relationships/image" Target="media/97685a2b477b81a98df7a1e8d458148d1bef1e3f.png"/><Relationship Id="rId24" Type="http://schemas.openxmlformats.org/officeDocument/2006/relationships/image" Target="media/4b6f6fc5a77b03ca7d762cb0092b1ff6b678b686.png"/><Relationship Id="rId25" Type="http://schemas.openxmlformats.org/officeDocument/2006/relationships/image" Target="media/2162e1255e5275d334ac69f8f08f9ac0d97b3f5e.png"/><Relationship Id="rId26" Type="http://schemas.openxmlformats.org/officeDocument/2006/relationships/image" Target="media/3edd518fdb2f3e525449ef2abf490447f441e5f8.png"/><Relationship Id="rId27" Type="http://schemas.openxmlformats.org/officeDocument/2006/relationships/image" Target="media/67fc0210b5db6ee65ed440f99d71418c012d9420.png"/><Relationship Id="rId28" Type="http://schemas.openxmlformats.org/officeDocument/2006/relationships/image" Target="media/936f3b2655d274091559ca46967e9e51f3c21413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2026-06-19T11:30:51.172Z</dcterms:created>
  <dcterms:modified xsi:type="dcterms:W3CDTF">2026-06-19T11:30:51.173Z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