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B" w:rsidRPr="008436EB" w:rsidRDefault="008436EB" w:rsidP="008436EB">
      <w:pPr>
        <w:jc w:val="center"/>
        <w:rPr>
          <w:color w:val="000000" w:themeColor="text1"/>
          <w:u w:val="single"/>
        </w:rPr>
      </w:pPr>
      <w:r w:rsidRPr="008436EB">
        <w:rPr>
          <w:color w:val="000000" w:themeColor="text1"/>
          <w:u w:val="single"/>
        </w:rPr>
        <w:t xml:space="preserve">Convocatoria de capacitación interna en el marco de las </w:t>
      </w:r>
      <w:proofErr w:type="spellStart"/>
      <w:r w:rsidRPr="008436EB">
        <w:rPr>
          <w:color w:val="000000" w:themeColor="text1"/>
          <w:u w:val="single"/>
        </w:rPr>
        <w:t>CdP</w:t>
      </w:r>
      <w:proofErr w:type="spellEnd"/>
    </w:p>
    <w:p w:rsidR="008436EB" w:rsidRPr="008436EB" w:rsidRDefault="008436EB" w:rsidP="008436EB">
      <w:pPr>
        <w:rPr>
          <w:color w:val="000000" w:themeColor="text1"/>
          <w:u w:val="single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La comunidad de práctica </w:t>
      </w:r>
      <w:r w:rsidR="00C42F78">
        <w:rPr>
          <w:b/>
          <w:i/>
          <w:color w:val="000000" w:themeColor="text1"/>
        </w:rPr>
        <w:t>SQA</w:t>
      </w:r>
      <w:r>
        <w:rPr>
          <w:color w:val="000000" w:themeColor="text1"/>
        </w:rPr>
        <w:t xml:space="preserve"> invita </w:t>
      </w:r>
      <w:r w:rsidRPr="00C42F78">
        <w:rPr>
          <w:color w:val="000000" w:themeColor="text1"/>
        </w:rPr>
        <w:t>al curso</w:t>
      </w:r>
      <w:r w:rsidR="00C42F78">
        <w:rPr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Designing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Testable</w:t>
      </w:r>
      <w:proofErr w:type="spellEnd"/>
      <w:r w:rsidR="003F30A1">
        <w:rPr>
          <w:b/>
          <w:color w:val="000000" w:themeColor="text1"/>
        </w:rPr>
        <w:t xml:space="preserve"> </w:t>
      </w:r>
      <w:proofErr w:type="spellStart"/>
      <w:r w:rsidR="003F30A1">
        <w:rPr>
          <w:b/>
          <w:color w:val="000000" w:themeColor="text1"/>
        </w:rPr>
        <w:t>Applications</w:t>
      </w:r>
      <w:proofErr w:type="spellEnd"/>
      <w:r w:rsidR="00C42F78">
        <w:rPr>
          <w:b/>
          <w:bCs/>
          <w:i/>
          <w:iCs/>
          <w:color w:val="000000" w:themeColor="text1"/>
        </w:rPr>
        <w:t xml:space="preserve"> </w:t>
      </w:r>
      <w:r w:rsidRPr="008436EB">
        <w:rPr>
          <w:color w:val="000000" w:themeColor="text1"/>
        </w:rPr>
        <w:t>que dictara</w:t>
      </w:r>
      <w:r w:rsidR="003F30A1">
        <w:rPr>
          <w:color w:val="000000" w:themeColor="text1"/>
        </w:rPr>
        <w:t>n</w:t>
      </w:r>
      <w:r w:rsidRPr="008436EB">
        <w:rPr>
          <w:color w:val="000000" w:themeColor="text1"/>
        </w:rPr>
        <w:t xml:space="preserve"> </w:t>
      </w:r>
      <w:r w:rsidR="003F30A1">
        <w:rPr>
          <w:b/>
          <w:bCs/>
          <w:i/>
          <w:iCs/>
          <w:color w:val="000000" w:themeColor="text1"/>
        </w:rPr>
        <w:t xml:space="preserve">Christian Smirnoff </w:t>
      </w:r>
      <w:r w:rsidR="003F30A1" w:rsidRPr="003F30A1">
        <w:rPr>
          <w:bCs/>
          <w:i/>
          <w:iCs/>
          <w:color w:val="000000" w:themeColor="text1"/>
        </w:rPr>
        <w:t>y</w:t>
      </w:r>
      <w:r w:rsidR="003F30A1">
        <w:rPr>
          <w:b/>
          <w:bCs/>
          <w:i/>
          <w:iCs/>
          <w:color w:val="000000" w:themeColor="text1"/>
        </w:rPr>
        <w:t xml:space="preserve"> Leandro Goldin</w:t>
      </w:r>
      <w:r w:rsidR="00C42F78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Esta actividad tiene como objetivo</w:t>
      </w:r>
      <w:r w:rsidR="005E1D4A">
        <w:rPr>
          <w:color w:val="000000" w:themeColor="text1"/>
        </w:rPr>
        <w:t>s</w:t>
      </w:r>
      <w:r w:rsidRPr="008436EB">
        <w:rPr>
          <w:color w:val="000000" w:themeColor="text1"/>
        </w:rPr>
        <w:t>:</w:t>
      </w:r>
    </w:p>
    <w:p w:rsidR="008436EB" w:rsidRPr="008436EB" w:rsidRDefault="008436EB" w:rsidP="008436EB">
      <w:pPr>
        <w:rPr>
          <w:color w:val="000000" w:themeColor="text1"/>
        </w:rPr>
      </w:pPr>
    </w:p>
    <w:p w:rsidR="005E1D4A" w:rsidRDefault="007B472D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Difundir el uso de </w:t>
      </w:r>
      <w:r w:rsidR="001027BE">
        <w:rPr>
          <w:color w:val="000000" w:themeColor="text1"/>
        </w:rPr>
        <w:t xml:space="preserve">buenas </w:t>
      </w:r>
      <w:r>
        <w:rPr>
          <w:color w:val="000000" w:themeColor="text1"/>
        </w:rPr>
        <w:t>prácticas como pruebas de unidad e integración y la integración continua</w:t>
      </w:r>
    </w:p>
    <w:p w:rsidR="005E1D4A" w:rsidRDefault="001027BE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Proporcionar herramientas necesarias para el diseño y desarrollo de aplicaciones usando dichas prácticas</w:t>
      </w:r>
    </w:p>
    <w:p w:rsidR="00AC6188" w:rsidRDefault="00AC6188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Entender las ventajas del uso de las prácticas</w:t>
      </w:r>
    </w:p>
    <w:p w:rsidR="008436EB" w:rsidRDefault="008436EB" w:rsidP="008436EB">
      <w:pPr>
        <w:rPr>
          <w:color w:val="000000" w:themeColor="text1"/>
        </w:rPr>
      </w:pPr>
    </w:p>
    <w:p w:rsidR="005E1D4A" w:rsidRDefault="005E1D4A" w:rsidP="008436EB">
      <w:pPr>
        <w:rPr>
          <w:color w:val="000000" w:themeColor="text1"/>
        </w:rPr>
      </w:pPr>
      <w:r>
        <w:rPr>
          <w:color w:val="000000" w:themeColor="text1"/>
        </w:rPr>
        <w:t>Se cubrirán los siguientes temas:</w:t>
      </w:r>
    </w:p>
    <w:p w:rsidR="005E1D4A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Pruebas unitarias: </w:t>
      </w:r>
      <w:proofErr w:type="spellStart"/>
      <w:r>
        <w:rPr>
          <w:color w:val="000000" w:themeColor="text1"/>
        </w:rPr>
        <w:t>tips</w:t>
      </w:r>
      <w:proofErr w:type="spellEnd"/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Pruebas unitarias: ejemplos</w:t>
      </w:r>
    </w:p>
    <w:p w:rsidR="00792F29" w:rsidRDefault="00792F29" w:rsidP="005E1D4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Subir el proyecto a integración continua</w:t>
      </w:r>
    </w:p>
    <w:p w:rsidR="005E1D4A" w:rsidRDefault="005E1D4A" w:rsidP="008436EB">
      <w:pPr>
        <w:rPr>
          <w:color w:val="000000" w:themeColor="text1"/>
        </w:rPr>
      </w:pPr>
    </w:p>
    <w:p w:rsid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 xml:space="preserve">¿Quién? ¿Dónde? ¿Cuándo? </w:t>
      </w:r>
      <w:r w:rsidRPr="008436EB">
        <w:rPr>
          <w:color w:val="000000" w:themeColor="text1"/>
        </w:rPr>
        <w:br/>
      </w:r>
    </w:p>
    <w:p w:rsidR="008436EB" w:rsidRPr="008436EB" w:rsidRDefault="008436EB" w:rsidP="008436EB">
      <w:pPr>
        <w:rPr>
          <w:color w:val="000000" w:themeColor="text1"/>
        </w:rPr>
      </w:pPr>
      <w:r w:rsidRPr="008436EB">
        <w:rPr>
          <w:color w:val="000000" w:themeColor="text1"/>
        </w:rPr>
        <w:t>La actividad está dirigida a</w:t>
      </w:r>
      <w:r w:rsidR="00AA6C4A">
        <w:rPr>
          <w:color w:val="000000" w:themeColor="text1"/>
        </w:rPr>
        <w:t xml:space="preserve"> </w:t>
      </w:r>
      <w:r w:rsidR="00AA6C4A" w:rsidRPr="00AA6C4A">
        <w:rPr>
          <w:b/>
          <w:color w:val="000000" w:themeColor="text1"/>
        </w:rPr>
        <w:t xml:space="preserve">todos </w:t>
      </w:r>
      <w:r w:rsidR="00AA6C4A">
        <w:rPr>
          <w:b/>
          <w:color w:val="000000" w:themeColor="text1"/>
        </w:rPr>
        <w:t xml:space="preserve">aquellos </w:t>
      </w:r>
      <w:proofErr w:type="spellStart"/>
      <w:r w:rsidR="00AA6C4A">
        <w:rPr>
          <w:b/>
          <w:color w:val="000000" w:themeColor="text1"/>
        </w:rPr>
        <w:t>Baufesianos</w:t>
      </w:r>
      <w:proofErr w:type="spellEnd"/>
      <w:r w:rsidR="00AA6C4A">
        <w:rPr>
          <w:b/>
          <w:color w:val="000000" w:themeColor="text1"/>
        </w:rPr>
        <w:t xml:space="preserve"> que se desempeñen como Desarrolladores, que quieran aprender a </w:t>
      </w:r>
      <w:r w:rsidR="0093137C">
        <w:rPr>
          <w:b/>
          <w:color w:val="000000" w:themeColor="text1"/>
        </w:rPr>
        <w:t xml:space="preserve">diseñar aplicaciones </w:t>
      </w:r>
      <w:proofErr w:type="spellStart"/>
      <w:r w:rsidR="0093137C">
        <w:rPr>
          <w:b/>
          <w:color w:val="000000" w:themeColor="text1"/>
        </w:rPr>
        <w:t>testeables</w:t>
      </w:r>
      <w:proofErr w:type="spellEnd"/>
      <w:r w:rsidRPr="00AA6C4A">
        <w:rPr>
          <w:b/>
          <w:color w:val="000000" w:themeColor="text1"/>
        </w:rPr>
        <w:t xml:space="preserve"> </w:t>
      </w:r>
      <w:r w:rsidRPr="008436EB">
        <w:rPr>
          <w:color w:val="000000" w:themeColor="text1"/>
        </w:rPr>
        <w:t>y se realizará en las siguientes coordenadas:</w:t>
      </w:r>
    </w:p>
    <w:p w:rsidR="008436EB" w:rsidRPr="008436EB" w:rsidRDefault="008436EB" w:rsidP="008436EB">
      <w:pPr>
        <w:ind w:left="708"/>
        <w:rPr>
          <w:color w:val="000000" w:themeColor="text1"/>
        </w:rPr>
      </w:pPr>
    </w:p>
    <w:p w:rsidR="008436EB" w:rsidRDefault="00C42F78" w:rsidP="008436EB">
      <w:pPr>
        <w:rPr>
          <w:color w:val="000000" w:themeColor="text1"/>
        </w:rPr>
      </w:pPr>
      <w:bookmarkStart w:id="0" w:name="_GoBack"/>
      <w:bookmarkEnd w:id="0"/>
      <w:r>
        <w:rPr>
          <w:b/>
          <w:bCs/>
          <w:i/>
          <w:iCs/>
          <w:color w:val="000000" w:themeColor="text1"/>
        </w:rPr>
        <w:t xml:space="preserve">Lunes 1 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diciembre</w:t>
      </w:r>
      <w:r w:rsidR="008436EB" w:rsidRPr="008436EB">
        <w:rPr>
          <w:color w:val="000000" w:themeColor="text1"/>
        </w:rPr>
        <w:t xml:space="preserve"> de </w:t>
      </w:r>
      <w:r>
        <w:rPr>
          <w:b/>
          <w:bCs/>
          <w:i/>
          <w:iCs/>
          <w:color w:val="000000" w:themeColor="text1"/>
        </w:rPr>
        <w:t>2014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>en el</w:t>
      </w:r>
      <w:r w:rsidR="008436EB" w:rsidRPr="008436EB">
        <w:rPr>
          <w:bCs/>
          <w:i/>
          <w:iCs/>
          <w:color w:val="000000" w:themeColor="text1"/>
        </w:rPr>
        <w:t xml:space="preserve"> </w:t>
      </w:r>
      <w:r w:rsidR="008436EB" w:rsidRPr="008436EB">
        <w:rPr>
          <w:color w:val="000000" w:themeColor="text1"/>
        </w:rPr>
        <w:t xml:space="preserve">horario de </w:t>
      </w:r>
      <w:r>
        <w:rPr>
          <w:b/>
          <w:bCs/>
          <w:i/>
          <w:iCs/>
          <w:color w:val="000000" w:themeColor="text1"/>
        </w:rPr>
        <w:t>12</w:t>
      </w:r>
      <w:r w:rsidR="008436EB" w:rsidRPr="008436EB">
        <w:rPr>
          <w:b/>
          <w:bCs/>
          <w:i/>
          <w:iCs/>
          <w:color w:val="000000" w:themeColor="text1"/>
        </w:rPr>
        <w:t>:</w:t>
      </w:r>
      <w:r w:rsidR="00AA6C4A">
        <w:rPr>
          <w:b/>
          <w:bCs/>
          <w:i/>
          <w:iCs/>
          <w:color w:val="000000" w:themeColor="text1"/>
        </w:rPr>
        <w:t>0</w:t>
      </w:r>
      <w:r>
        <w:rPr>
          <w:b/>
          <w:bCs/>
          <w:i/>
          <w:iCs/>
          <w:color w:val="000000" w:themeColor="text1"/>
        </w:rPr>
        <w:t>0</w:t>
      </w:r>
      <w:r w:rsidR="008436EB" w:rsidRPr="008436EB">
        <w:rPr>
          <w:bCs/>
          <w:i/>
          <w:iCs/>
          <w:color w:val="000000" w:themeColor="text1"/>
        </w:rPr>
        <w:t xml:space="preserve"> a </w:t>
      </w:r>
      <w:r>
        <w:rPr>
          <w:b/>
          <w:bCs/>
          <w:i/>
          <w:iCs/>
          <w:color w:val="000000" w:themeColor="text1"/>
        </w:rPr>
        <w:t>15</w:t>
      </w:r>
      <w:r w:rsidR="008436EB" w:rsidRPr="008436EB">
        <w:rPr>
          <w:b/>
          <w:bCs/>
          <w:i/>
          <w:iCs/>
          <w:color w:val="000000" w:themeColor="text1"/>
        </w:rPr>
        <w:t>:</w:t>
      </w:r>
      <w:r>
        <w:rPr>
          <w:b/>
          <w:bCs/>
          <w:i/>
          <w:iCs/>
          <w:color w:val="000000" w:themeColor="text1"/>
        </w:rPr>
        <w:t>30 Hs.</w:t>
      </w:r>
      <w:r w:rsidR="008436EB" w:rsidRPr="008436EB">
        <w:rPr>
          <w:color w:val="000000" w:themeColor="text1"/>
        </w:rPr>
        <w:t xml:space="preserve"> en </w:t>
      </w:r>
      <w:r>
        <w:rPr>
          <w:b/>
          <w:bCs/>
          <w:i/>
          <w:iCs/>
          <w:color w:val="000000" w:themeColor="text1"/>
        </w:rPr>
        <w:t>Sala Comunidades RV5</w:t>
      </w:r>
      <w:r w:rsidR="008436EB" w:rsidRPr="008436EB">
        <w:rPr>
          <w:b/>
          <w:bCs/>
          <w:i/>
          <w:iCs/>
          <w:color w:val="000000" w:themeColor="text1"/>
        </w:rPr>
        <w:t>.</w:t>
      </w:r>
    </w:p>
    <w:p w:rsidR="008436EB" w:rsidRDefault="008436EB" w:rsidP="008436EB">
      <w:pPr>
        <w:rPr>
          <w:color w:val="000000" w:themeColor="text1"/>
        </w:rPr>
      </w:pPr>
    </w:p>
    <w:p w:rsidR="008436EB" w:rsidRPr="008436EB" w:rsidRDefault="008436EB" w:rsidP="008436E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¿Se puede asistir remotamente a la capacitación? </w:t>
      </w:r>
      <w:r w:rsidR="00AA6C4A">
        <w:rPr>
          <w:b/>
          <w:color w:val="000000" w:themeColor="text1"/>
        </w:rPr>
        <w:t>Si</w:t>
      </w:r>
    </w:p>
    <w:p w:rsidR="008436EB" w:rsidRPr="008436EB" w:rsidRDefault="008436EB" w:rsidP="00F2522B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</w:rPr>
      </w:pPr>
      <w:r w:rsidRPr="008436EB">
        <w:rPr>
          <w:color w:val="000000" w:themeColor="text1"/>
        </w:rPr>
        <w:t xml:space="preserve">En caso de haber respondido afirmativamente a la pregunta anterior: </w:t>
      </w:r>
      <w:hyperlink r:id="rId5" w:history="1">
        <w:r w:rsidR="00F2522B" w:rsidRPr="00F2522B">
          <w:rPr>
            <w:rStyle w:val="Hyperlink"/>
            <w:b/>
          </w:rPr>
          <w:t>https://meet.baufest.com/abensussan/L9L2KCDH</w:t>
        </w:r>
      </w:hyperlink>
    </w:p>
    <w:p w:rsidR="00F5565F" w:rsidRPr="008436EB" w:rsidRDefault="0093137C">
      <w:pPr>
        <w:rPr>
          <w:color w:val="000000" w:themeColor="text1"/>
        </w:rPr>
      </w:pPr>
    </w:p>
    <w:sectPr w:rsidR="00F5565F" w:rsidRPr="0084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7A72"/>
    <w:multiLevelType w:val="hybridMultilevel"/>
    <w:tmpl w:val="96CEEDC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722"/>
    <w:multiLevelType w:val="hybridMultilevel"/>
    <w:tmpl w:val="C52CDE2C"/>
    <w:lvl w:ilvl="0" w:tplc="54362D4E">
      <w:start w:val="1"/>
      <w:numFmt w:val="bullet"/>
      <w:lvlText w:val=""/>
      <w:lvlJc w:val="center"/>
      <w:pPr>
        <w:ind w:left="1428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19756E"/>
    <w:multiLevelType w:val="hybridMultilevel"/>
    <w:tmpl w:val="8AE6347E"/>
    <w:lvl w:ilvl="0" w:tplc="54362D4E">
      <w:start w:val="1"/>
      <w:numFmt w:val="bullet"/>
      <w:lvlText w:val=""/>
      <w:lvlJc w:val="center"/>
      <w:pPr>
        <w:ind w:left="720" w:hanging="360"/>
      </w:pPr>
      <w:rPr>
        <w:rFonts w:ascii="Wingdings" w:hAnsi="Wingdings" w:hint="default"/>
        <w:color w:val="4F81BD"/>
        <w:sz w:val="18"/>
        <w:u w:color="C000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D4B4F"/>
    <w:multiLevelType w:val="hybridMultilevel"/>
    <w:tmpl w:val="CC9062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EB"/>
    <w:rsid w:val="000B1100"/>
    <w:rsid w:val="001027BE"/>
    <w:rsid w:val="002E06CE"/>
    <w:rsid w:val="003F30A1"/>
    <w:rsid w:val="005E1D4A"/>
    <w:rsid w:val="00662115"/>
    <w:rsid w:val="00792F29"/>
    <w:rsid w:val="007B472D"/>
    <w:rsid w:val="008436EB"/>
    <w:rsid w:val="0093137C"/>
    <w:rsid w:val="00A81068"/>
    <w:rsid w:val="00AA6C4A"/>
    <w:rsid w:val="00AC6188"/>
    <w:rsid w:val="00BB4ED4"/>
    <w:rsid w:val="00C42F78"/>
    <w:rsid w:val="00CE5AA0"/>
    <w:rsid w:val="00E02B68"/>
    <w:rsid w:val="00F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05B21E-3DF7-4946-8E4F-160BFF73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EB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baufest.com/abensussan/L9L2KC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Bárbara David</dc:creator>
  <cp:lastModifiedBy>Leandro Miguel Goldin</cp:lastModifiedBy>
  <cp:revision>8</cp:revision>
  <dcterms:created xsi:type="dcterms:W3CDTF">2015-03-19T20:12:00Z</dcterms:created>
  <dcterms:modified xsi:type="dcterms:W3CDTF">2015-03-19T20:28:00Z</dcterms:modified>
</cp:coreProperties>
</file>