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9"/>
          <w:szCs w:val="29"/>
          <w:shd w:val="clear" w:color="auto" w:fill="ffffff"/>
        </w:rPr>
      </w:pPr>
      <w:r>
        <w:rPr>
          <w:rFonts w:ascii="Times Roman" w:hAnsi="Times Roman"/>
          <w:sz w:val="29"/>
          <w:szCs w:val="29"/>
          <w:shd w:val="clear" w:color="auto" w:fill="ffffff"/>
          <w:rtl w:val="0"/>
          <w:lang w:val="en-US"/>
        </w:rPr>
        <w:t>Planning Timeline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9"/>
          <w:szCs w:val="29"/>
          <w:shd w:val="clear" w:color="auto" w:fill="ffffff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fdfdfd" w:sz="2" w:space="0" w:shadow="0" w:frame="0"/>
          <w:insideV w:val="single" w:color="fdfdfd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8507" w:hRule="atLeast"/>
        </w:trPr>
        <w:tc>
          <w:tcPr>
            <w:tcW w:type="dxa" w:w="9638"/>
            <w:tcBorders>
              <w:top w:val="single" w:color="fdfdfd" w:sz="2" w:space="0" w:shadow="0" w:frame="0"/>
              <w:left w:val="single" w:color="fdfdfd" w:sz="2" w:space="0" w:shadow="0" w:frame="0"/>
              <w:bottom w:val="single" w:color="fdfdfd" w:sz="2" w:space="0" w:shadow="0" w:frame="0"/>
              <w:right w:val="single" w:color="fdfdfd" w:sz="2" w:space="0" w:shadow="0" w:frame="0"/>
            </w:tcBorders>
            <w:shd w:val="clear" w:color="auto" w:fill="ffff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6 October 2025: ToC Tool open for 2025 ToC updates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17 October 2025: ToC Tool close for 2025 ToC updates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20 October 2025: ToC Tool open for 2026 ToC updates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 xml:space="preserve">25 October 2025: 2026/27 Program/ Accelerator envelopes endorsed by GST 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31 October 2025: 2026/27 Program/ Accelerator envelopes endorsed by GLT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 xml:space="preserve">01 November 2025: Launch of the Planning Module 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14 November 2025: Proposed 2026/27 PORBs submitted for internal reviews &amp; quality assurance based on (i) GLT-endorsed Prog./ Accelerator envelopes;</w:t>
            </w:r>
            <w:r>
              <w:rPr>
                <w:rFonts w:ascii="Helvetica" w:hAnsi="Helvetica" w:hint="default"/>
                <w:sz w:val="29"/>
                <w:szCs w:val="29"/>
                <w:rtl w:val="0"/>
              </w:rPr>
              <w:t xml:space="preserve">  </w:t>
            </w:r>
            <w:r>
              <w:rPr>
                <w:rFonts w:ascii="Helvetica" w:hAnsi="Helvetica"/>
                <w:sz w:val="29"/>
                <w:szCs w:val="29"/>
                <w:rtl w:val="0"/>
              </w:rPr>
              <w:t>and</w:t>
            </w:r>
            <w:r>
              <w:rPr>
                <w:rFonts w:ascii="Helvetica" w:hAnsi="Helvetica" w:hint="default"/>
                <w:sz w:val="29"/>
                <w:szCs w:val="29"/>
                <w:rtl w:val="0"/>
              </w:rPr>
              <w:t xml:space="preserve">  </w:t>
            </w:r>
            <w:r>
              <w:rPr>
                <w:rFonts w:ascii="Helvetica" w:hAnsi="Helvetica"/>
                <w:sz w:val="29"/>
                <w:szCs w:val="29"/>
                <w:rtl w:val="0"/>
              </w:rPr>
              <w:t>(ii) Program/ Accelerator-level prioritization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14 November 2025: ToC Tool close for 2026 ToC updates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21 November 2025: Proposed 2026</w:t>
            </w:r>
            <w:r>
              <w:rPr>
                <w:rFonts w:ascii="Helvetica" w:hAnsi="Helvetica" w:hint="default"/>
                <w:sz w:val="29"/>
                <w:szCs w:val="29"/>
                <w:rtl w:val="0"/>
              </w:rPr>
              <w:t>—</w:t>
            </w:r>
            <w:r>
              <w:rPr>
                <w:rFonts w:ascii="Helvetica" w:hAnsi="Helvetica"/>
                <w:sz w:val="29"/>
                <w:szCs w:val="29"/>
                <w:rtl w:val="0"/>
              </w:rPr>
              <w:t xml:space="preserve">27 PORBs submitted for GST review and endorsement 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28 November 2025: 2026</w:t>
            </w:r>
            <w:r>
              <w:rPr>
                <w:rFonts w:ascii="Helvetica" w:hAnsi="Helvetica" w:hint="default"/>
                <w:sz w:val="29"/>
                <w:szCs w:val="29"/>
                <w:rtl w:val="0"/>
              </w:rPr>
              <w:t>—</w:t>
            </w:r>
            <w:r>
              <w:rPr>
                <w:rFonts w:ascii="Helvetica" w:hAnsi="Helvetica"/>
                <w:sz w:val="29"/>
                <w:szCs w:val="29"/>
                <w:rtl w:val="0"/>
              </w:rPr>
              <w:t>27 PORBs endorsed by the GST subject to SC approval of W1/2 Budget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5 December 2025: 2026</w:t>
            </w:r>
            <w:r>
              <w:rPr>
                <w:rFonts w:ascii="Helvetica" w:hAnsi="Helvetica" w:hint="default"/>
                <w:sz w:val="29"/>
                <w:szCs w:val="29"/>
                <w:rtl w:val="0"/>
              </w:rPr>
              <w:t>—</w:t>
            </w:r>
            <w:r>
              <w:rPr>
                <w:rFonts w:ascii="Helvetica" w:hAnsi="Helvetica"/>
                <w:sz w:val="29"/>
                <w:szCs w:val="29"/>
                <w:rtl w:val="0"/>
              </w:rPr>
              <w:t xml:space="preserve">27 PORBs endorsed by the GLT subject to SC approval of W1/2 Budget </w:t>
            </w: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</w:p>
          <w:p>
            <w:pPr>
              <w:pStyle w:val="Table Style 2"/>
              <w:shd w:val="clear" w:color="auto" w:fill="fefffe"/>
              <w:suppressAutoHyphens w:val="1"/>
              <w:jc w:val="left"/>
            </w:pPr>
            <w:r>
              <w:rPr>
                <w:rFonts w:ascii="Helvetica" w:hAnsi="Helvetica"/>
                <w:sz w:val="29"/>
                <w:szCs w:val="29"/>
                <w:rtl w:val="0"/>
              </w:rPr>
              <w:t>12 December 2025: 2026</w:t>
            </w:r>
            <w:r>
              <w:rPr>
                <w:rFonts w:ascii="Helvetica" w:hAnsi="Helvetica" w:hint="default"/>
                <w:sz w:val="29"/>
                <w:szCs w:val="29"/>
                <w:rtl w:val="0"/>
              </w:rPr>
              <w:t>—</w:t>
            </w:r>
            <w:r>
              <w:rPr>
                <w:rFonts w:ascii="Helvetica" w:hAnsi="Helvetica"/>
                <w:sz w:val="29"/>
                <w:szCs w:val="29"/>
                <w:rtl w:val="0"/>
              </w:rPr>
              <w:t>27 Prog./ Accelerator Plans of Results and Budgets (PORB) approved by EMD following SC approval of W1/2 Budget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</w:pPr>
      <w:r>
        <w:rPr>
          <w:rFonts w:ascii="Helvetica" w:cs="Helvetica" w:hAnsi="Helvetica" w:eastAsia="Helvetica"/>
          <w:sz w:val="29"/>
          <w:szCs w:val="29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