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Default"/>
        <w:suppressAutoHyphens w:val="1"/>
        <w:spacing w:before="0" w:line="240" w:lineRule="auto"/>
        <w:rPr>
          <w:rFonts w:ascii="Times Roman" w:cs="Times Roman" w:hAnsi="Times Roman" w:eastAsia="Times Roman"/>
          <w:outline w:val="0"/>
          <w:color w:val="242424"/>
          <w:sz w:val="29"/>
          <w:szCs w:val="29"/>
          <w:shd w:val="clear" w:color="auto" w:fill="ffffff"/>
          <w14:textFill>
            <w14:solidFill>
              <w14:srgbClr w14:val="242424"/>
            </w14:solidFill>
          </w14:textFill>
        </w:rPr>
      </w:pPr>
      <w:r>
        <w:rPr>
          <w:rFonts w:ascii="Times Roman" w:hAnsi="Times Roman"/>
          <w:outline w:val="0"/>
          <w:color w:val="242424"/>
          <w:sz w:val="29"/>
          <w:szCs w:val="29"/>
          <w:shd w:val="clear" w:color="auto" w:fill="ffffff"/>
          <w:rtl w:val="0"/>
          <w:lang w:val="en-US"/>
          <w14:textFill>
            <w14:solidFill>
              <w14:srgbClr w14:val="242424"/>
            </w14:solidFill>
          </w14:textFill>
        </w:rPr>
        <w:t>Planning Definition</w:t>
      </w:r>
    </w:p>
    <w:p>
      <w:pPr>
        <w:pStyle w:val="Default"/>
        <w:suppressAutoHyphens w:val="1"/>
        <w:spacing w:before="0" w:line="240" w:lineRule="auto"/>
        <w:rPr>
          <w:rFonts w:ascii="Times Roman" w:cs="Times Roman" w:hAnsi="Times Roman" w:eastAsia="Times Roman"/>
          <w:outline w:val="0"/>
          <w:color w:val="242424"/>
          <w:sz w:val="29"/>
          <w:szCs w:val="29"/>
          <w:shd w:val="clear" w:color="auto" w:fill="ffffff"/>
          <w14:textFill>
            <w14:solidFill>
              <w14:srgbClr w14:val="242424"/>
            </w14:solidFill>
          </w14:textFill>
        </w:rPr>
      </w:pPr>
    </w:p>
    <w:p>
      <w:pPr>
        <w:pStyle w:val="Default"/>
        <w:suppressAutoHyphens w:val="1"/>
        <w:spacing w:before="0" w:line="240" w:lineRule="auto"/>
        <w:jc w:val="left"/>
        <w:rPr>
          <w:rFonts w:ascii="Times Roman" w:cs="Times Roman" w:hAnsi="Times Roman" w:eastAsia="Times Roman"/>
          <w:outline w:val="0"/>
          <w:color w:val="242424"/>
          <w:sz w:val="29"/>
          <w:szCs w:val="29"/>
          <w:shd w:val="clear" w:color="auto" w:fill="ffffff"/>
          <w14:textFill>
            <w14:solidFill>
              <w14:srgbClr w14:val="242424"/>
            </w14:solidFill>
          </w14:textFill>
        </w:rPr>
      </w:pPr>
      <w:r>
        <w:rPr>
          <w:rFonts w:ascii="Times Roman" w:hAnsi="Times Roman"/>
          <w:outline w:val="0"/>
          <w:color w:val="242424"/>
          <w:sz w:val="29"/>
          <w:szCs w:val="29"/>
          <w:shd w:val="clear" w:color="auto" w:fill="ffffff"/>
          <w:rtl w:val="0"/>
          <w:lang w:val="en-US"/>
          <w14:textFill>
            <w14:solidFill>
              <w14:srgbClr w14:val="242424"/>
            </w14:solidFill>
          </w14:textFill>
        </w:rPr>
        <w:t>Planning is the stage within the Adaptive Management Cycle during which Programs and Accelerators will, in quarter four (Q4) of 2025, forecast the planned 2026 results based on the confirmed 2026 budget envelopes.</w:t>
      </w:r>
    </w:p>
    <w:p>
      <w:pPr>
        <w:pStyle w:val="Default"/>
        <w:suppressAutoHyphens w:val="1"/>
        <w:spacing w:before="0" w:line="240" w:lineRule="auto"/>
        <w:jc w:val="left"/>
        <w:rPr>
          <w:rFonts w:ascii="Times Roman" w:cs="Times Roman" w:hAnsi="Times Roman" w:eastAsia="Times Roman"/>
          <w:outline w:val="0"/>
          <w:color w:val="242424"/>
          <w:sz w:val="29"/>
          <w:szCs w:val="29"/>
          <w:shd w:val="clear" w:color="auto" w:fill="ffffff"/>
          <w14:textFill>
            <w14:solidFill>
              <w14:srgbClr w14:val="242424"/>
            </w14:solidFill>
          </w14:textFill>
        </w:rPr>
      </w:pPr>
    </w:p>
    <w:p>
      <w:pPr>
        <w:pStyle w:val="Default"/>
        <w:suppressAutoHyphens w:val="1"/>
        <w:spacing w:before="0" w:line="240" w:lineRule="auto"/>
        <w:jc w:val="left"/>
        <w:rPr>
          <w:rFonts w:ascii="Times Roman" w:cs="Times Roman" w:hAnsi="Times Roman" w:eastAsia="Times Roman"/>
          <w:outline w:val="0"/>
          <w:color w:val="242424"/>
          <w:sz w:val="29"/>
          <w:szCs w:val="29"/>
          <w:shd w:val="clear" w:color="auto" w:fill="ffffff"/>
          <w14:textFill>
            <w14:solidFill>
              <w14:srgbClr w14:val="242424"/>
            </w14:solidFill>
          </w14:textFill>
        </w:rPr>
      </w:pPr>
      <w:r>
        <w:rPr>
          <w:rFonts w:ascii="Times Roman" w:hAnsi="Times Roman"/>
          <w:outline w:val="0"/>
          <w:color w:val="242424"/>
          <w:sz w:val="29"/>
          <w:szCs w:val="29"/>
          <w:shd w:val="clear" w:color="auto" w:fill="ffffff"/>
          <w:rtl w:val="0"/>
          <w:lang w:val="en-US"/>
          <w14:textFill>
            <w14:solidFill>
              <w14:srgbClr w14:val="242424"/>
            </w14:solidFill>
          </w14:textFill>
        </w:rPr>
        <w:t>This stage includes updating of the Theories of Change (ToC), Updating of the Risk Management Plan, Development of the Plan of Results and Budget (PORBs), Updating of the MELIA plans and operationalization of the W3/Bilateral Projects Mapped to the Programs/Accelerators.</w:t>
      </w:r>
    </w:p>
    <w:p>
      <w:pPr>
        <w:pStyle w:val="Default"/>
        <w:suppressAutoHyphens w:val="1"/>
        <w:spacing w:before="0" w:line="240" w:lineRule="auto"/>
        <w:jc w:val="left"/>
        <w:rPr>
          <w:rFonts w:ascii="Times Roman" w:cs="Times Roman" w:hAnsi="Times Roman" w:eastAsia="Times Roman"/>
          <w:outline w:val="0"/>
          <w:color w:val="242424"/>
          <w:sz w:val="29"/>
          <w:szCs w:val="29"/>
          <w:shd w:val="clear" w:color="auto" w:fill="ffffff"/>
          <w14:textFill>
            <w14:solidFill>
              <w14:srgbClr w14:val="242424"/>
            </w14:solidFill>
          </w14:textFill>
        </w:rPr>
      </w:pPr>
    </w:p>
    <w:p>
      <w:pPr>
        <w:pStyle w:val="Default"/>
        <w:suppressAutoHyphens w:val="1"/>
        <w:spacing w:before="0" w:line="240" w:lineRule="auto"/>
        <w:jc w:val="left"/>
      </w:pPr>
      <w:r>
        <w:rPr>
          <w:rFonts w:ascii="Times Roman" w:hAnsi="Times Roman"/>
          <w:outline w:val="0"/>
          <w:color w:val="242424"/>
          <w:sz w:val="29"/>
          <w:szCs w:val="29"/>
          <w:shd w:val="clear" w:color="auto" w:fill="ffffff"/>
          <w:rtl w:val="0"/>
          <w:lang w:val="en-US"/>
          <w14:textFill>
            <w14:solidFill>
              <w14:srgbClr w14:val="242424"/>
            </w14:solidFill>
          </w14:textFill>
        </w:rPr>
        <w:t xml:space="preserve">The PORBs to be developed during this period includes provision of the annual 2026 aggregated costing information for High-Level Outputs by Area of Work, along with Cross-Cutting and Management components. It also captures intervention geographies, key partners, cross Programs and Accelerators collaborations and mapped W3/Bilateral projects. </w:t>
      </w:r>
    </w:p>
    <w:sectPr>
      <w:headerReference w:type="default" r:id="rId4"/>
      <w:footerReference w:type="default" r:id="rId5"/>
      <w:pgSz w:w="11906" w:h="16838"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Times Roman">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