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color w:val="065f4a"/>
          <w:sz w:val="46"/>
          <w:szCs w:val="46"/>
          <w:highlight w:val="white"/>
        </w:rPr>
      </w:pPr>
      <w:r w:rsidDel="00000000" w:rsidR="00000000" w:rsidRPr="00000000">
        <w:rPr>
          <w:rFonts w:ascii="Calibri" w:cs="Calibri" w:eastAsia="Calibri" w:hAnsi="Calibri"/>
          <w:b w:val="1"/>
          <w:sz w:val="36"/>
          <w:szCs w:val="36"/>
        </w:rPr>
        <w:drawing>
          <wp:inline distB="114300" distT="114300" distL="114300" distR="114300">
            <wp:extent cx="776288" cy="776288"/>
            <wp:effectExtent b="0" l="0" r="0" t="0"/>
            <wp:docPr id="188833110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color w:val="065f4a"/>
          <w:sz w:val="46"/>
          <w:szCs w:val="46"/>
          <w:highlight w:val="white"/>
        </w:rPr>
      </w:pPr>
      <w:r w:rsidDel="00000000" w:rsidR="00000000" w:rsidRPr="00000000">
        <w:rPr>
          <w:rFonts w:ascii="Calibri" w:cs="Calibri" w:eastAsia="Calibri" w:hAnsi="Calibri"/>
          <w:b w:val="1"/>
          <w:color w:val="065f4a"/>
          <w:sz w:val="46"/>
          <w:szCs w:val="46"/>
          <w:highlight w:val="white"/>
          <w:rtl w:val="0"/>
        </w:rPr>
        <w:t xml:space="preserve">Guidance on integration of W3/Bilateral results into 2025 Technical Reporting</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2"/>
          <w:szCs w:val="22"/>
          <w:highlight w:val="white"/>
        </w:rPr>
      </w:pPr>
      <w:r w:rsidDel="00000000" w:rsidR="00000000" w:rsidRPr="00000000">
        <w:rPr>
          <w:rtl w:val="0"/>
        </w:rPr>
      </w:r>
    </w:p>
    <w:sdt>
      <w:sdtPr>
        <w:id w:val="-45677470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dtefkw7g0i4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ijw6j5fs0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Principles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z2tjtnc4p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Criteria for integration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kewfs4bev4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Roles and responsibilities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h3ur17v3abx">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Process for 2025 Technical Reporting</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ihsiveah0s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Quality assurance expectations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9uptngu3xt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FAQ on reporting W3/bilateral results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xmjeetv2ji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Annex 1: Minimum Data Standard (MDS) for outputs and outcomes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uawf6sxquo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Annex 2: Example text for inclusion in Technical Reports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rFonts w:ascii="Calibri" w:cs="Calibri" w:eastAsia="Calibri" w:hAnsi="Calibri"/>
          <w:b w:val="1"/>
          <w:color w:val="065f4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numPr>
          <w:ilvl w:val="0"/>
          <w:numId w:val="9"/>
        </w:numPr>
        <w:ind w:left="720" w:hanging="360"/>
        <w:rPr>
          <w:rFonts w:ascii="Calibri" w:cs="Calibri" w:eastAsia="Calibri" w:hAnsi="Calibri"/>
          <w:b w:val="1"/>
          <w:color w:val="065f4a"/>
        </w:rPr>
      </w:pPr>
      <w:bookmarkStart w:colFirst="0" w:colLast="0" w:name="_heading=h.dtefkw7g0i49" w:id="0"/>
      <w:bookmarkEnd w:id="0"/>
      <w:r w:rsidDel="00000000" w:rsidR="00000000" w:rsidRPr="00000000">
        <w:rPr>
          <w:rFonts w:ascii="Calibri" w:cs="Calibri" w:eastAsia="Calibri" w:hAnsi="Calibri"/>
          <w:b w:val="1"/>
          <w:color w:val="065f4a"/>
          <w:rtl w:val="0"/>
        </w:rPr>
        <w:t xml:space="preserve">Introduction</w:t>
      </w:r>
    </w:p>
    <w:p w:rsidR="00000000" w:rsidDel="00000000" w:rsidP="00000000" w:rsidRDefault="00000000" w:rsidRPr="00000000" w14:paraId="00000011">
      <w:pPr>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This document sets out the principles, criteria, roles, processes, and pragmatic quality assurance (QA) expectations for reporting Window 3 (W3) and bilateral results in 2025 Technical Reporting. It applies to W3/bilateral projects </w:t>
      </w:r>
      <w:hyperlink r:id="rId9">
        <w:r w:rsidDel="00000000" w:rsidR="00000000" w:rsidRPr="00000000">
          <w:rPr>
            <w:rFonts w:ascii="Calibri" w:cs="Calibri" w:eastAsia="Calibri" w:hAnsi="Calibri"/>
            <w:color w:val="00c093"/>
            <w:sz w:val="22"/>
            <w:szCs w:val="22"/>
            <w:u w:val="single"/>
            <w:rtl w:val="0"/>
          </w:rPr>
          <w:t xml:space="preserve">mapped to and agreed by the Programs and Accelerators (P/As)</w:t>
        </w:r>
      </w:hyperlink>
      <w:r w:rsidDel="00000000" w:rsidR="00000000" w:rsidRPr="00000000">
        <w:rPr>
          <w:rFonts w:ascii="Calibri" w:cs="Calibri" w:eastAsia="Calibri" w:hAnsi="Calibri"/>
          <w:sz w:val="22"/>
          <w:szCs w:val="22"/>
          <w:vertAlign w:val="superscript"/>
        </w:rPr>
        <w:footnoteReference w:customMarkFollows="0" w:id="0"/>
      </w:r>
      <w:r w:rsidDel="00000000" w:rsidR="00000000" w:rsidRPr="00000000">
        <w:rPr>
          <w:rFonts w:ascii="Calibri" w:cs="Calibri" w:eastAsia="Calibri" w:hAnsi="Calibri"/>
          <w:sz w:val="22"/>
          <w:szCs w:val="22"/>
          <w:rtl w:val="0"/>
        </w:rPr>
        <w:t xml:space="preserve"> for 2025.</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integration approach of W3/bilateral results into Technical Reporting is anchored in three key reference documents:</w:t>
      </w:r>
    </w:p>
    <w:p w:rsidR="00000000" w:rsidDel="00000000" w:rsidP="00000000" w:rsidRDefault="00000000" w:rsidRPr="00000000" w14:paraId="00000014">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w:t>
      </w:r>
      <w:hyperlink r:id="rId10">
        <w:r w:rsidDel="00000000" w:rsidR="00000000" w:rsidRPr="00000000">
          <w:rPr>
            <w:rFonts w:ascii="Calibri" w:cs="Calibri" w:eastAsia="Calibri" w:hAnsi="Calibri"/>
            <w:b w:val="0"/>
            <w:i w:val="0"/>
            <w:smallCaps w:val="0"/>
            <w:strike w:val="0"/>
            <w:color w:val="00c093"/>
            <w:sz w:val="22"/>
            <w:szCs w:val="22"/>
            <w:highlight w:val="white"/>
            <w:u w:val="single"/>
            <w:vertAlign w:val="baseline"/>
            <w:rtl w:val="0"/>
          </w:rPr>
          <w:t xml:space="preserve">2025–2030 Technical Reporting Arrangement (TRA – Section 5 and Annex 3)</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w:t>
      </w:r>
      <w:hyperlink r:id="rId11">
        <w:r w:rsidDel="00000000" w:rsidR="00000000" w:rsidRPr="00000000">
          <w:rPr>
            <w:rFonts w:ascii="Calibri" w:cs="Calibri" w:eastAsia="Calibri" w:hAnsi="Calibri"/>
            <w:b w:val="0"/>
            <w:i w:val="0"/>
            <w:smallCaps w:val="0"/>
            <w:strike w:val="0"/>
            <w:color w:val="00c093"/>
            <w:sz w:val="22"/>
            <w:szCs w:val="22"/>
            <w:highlight w:val="white"/>
            <w:u w:val="single"/>
            <w:vertAlign w:val="baseline"/>
            <w:rtl w:val="0"/>
          </w:rPr>
          <w:t xml:space="preserve">Proposed management arrangement for CGIAR 2025-30 Portfolio (‘the Book’)</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initial </w:t>
      </w:r>
      <w:hyperlink r:id="rId12">
        <w:r w:rsidDel="00000000" w:rsidR="00000000" w:rsidRPr="00000000">
          <w:rPr>
            <w:rFonts w:ascii="Calibri" w:cs="Calibri" w:eastAsia="Calibri" w:hAnsi="Calibri"/>
            <w:b w:val="0"/>
            <w:i w:val="0"/>
            <w:smallCaps w:val="0"/>
            <w:strike w:val="0"/>
            <w:color w:val="00c093"/>
            <w:sz w:val="22"/>
            <w:szCs w:val="22"/>
            <w:highlight w:val="white"/>
            <w:u w:val="single"/>
            <w:vertAlign w:val="baseline"/>
            <w:rtl w:val="0"/>
          </w:rPr>
          <w:t xml:space="preserve">engagement with Centers’ MELIA focal points</w:t>
        </w:r>
      </w:hyperlink>
      <w:r w:rsidDel="00000000" w:rsidR="00000000" w:rsidRPr="00000000">
        <w:rPr>
          <w:rFonts w:ascii="Calibri" w:cs="Calibri" w:eastAsia="Calibri" w:hAnsi="Calibri"/>
          <w:b w:val="0"/>
          <w:i w:val="0"/>
          <w:smallCaps w:val="0"/>
          <w:strike w:val="0"/>
          <w:color w:val="00c093"/>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which captured practical needs, limitations, risks, and feasibility considerations for integrating W3/bilateral results into Technical Reporting.</w:t>
      </w:r>
    </w:p>
    <w:p w:rsidR="00000000" w:rsidDel="00000000" w:rsidP="00000000" w:rsidRDefault="00000000" w:rsidRPr="00000000" w14:paraId="00000018">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The content presented here has been developed by CGIAR’s Portfolio Performance Unit (PPU) in consultation with Centers. It has been shared with representatives from Programs and Accelerators and will continue to evolve, with 2025 serving as a learning year to enable stronger integration in 2026 and beyond.</w:t>
      </w:r>
      <w:r w:rsidDel="00000000" w:rsidR="00000000" w:rsidRPr="00000000">
        <w:rPr>
          <w:rtl w:val="0"/>
        </w:rPr>
      </w:r>
    </w:p>
    <w:p w:rsidR="00000000" w:rsidDel="00000000" w:rsidP="00000000" w:rsidRDefault="00000000" w:rsidRPr="00000000" w14:paraId="0000001A">
      <w:pPr>
        <w:pStyle w:val="Heading2"/>
        <w:numPr>
          <w:ilvl w:val="0"/>
          <w:numId w:val="9"/>
        </w:numPr>
        <w:ind w:left="720" w:hanging="360"/>
        <w:rPr>
          <w:rFonts w:ascii="Calibri" w:cs="Calibri" w:eastAsia="Calibri" w:hAnsi="Calibri"/>
          <w:b w:val="1"/>
          <w:color w:val="065f4a"/>
        </w:rPr>
      </w:pPr>
      <w:bookmarkStart w:colFirst="0" w:colLast="0" w:name="_heading=h.5ijw6j5fs0e" w:id="1"/>
      <w:bookmarkEnd w:id="1"/>
      <w:r w:rsidDel="00000000" w:rsidR="00000000" w:rsidRPr="00000000">
        <w:rPr>
          <w:rFonts w:ascii="Calibri" w:cs="Calibri" w:eastAsia="Calibri" w:hAnsi="Calibri"/>
          <w:b w:val="1"/>
          <w:color w:val="065f4a"/>
          <w:rtl w:val="0"/>
        </w:rPr>
        <w:t xml:space="preserve">Principles</w:t>
      </w:r>
    </w:p>
    <w:p w:rsidR="00000000" w:rsidDel="00000000" w:rsidP="00000000" w:rsidRDefault="00000000" w:rsidRPr="00000000" w14:paraId="000000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principles set the foundation for how W3/bilateral results are integrated into CGIAR’s 2025 Technical Reporting. </w:t>
      </w:r>
    </w:p>
    <w:p w:rsidR="00000000" w:rsidDel="00000000" w:rsidP="00000000" w:rsidRDefault="00000000" w:rsidRPr="00000000" w14:paraId="0000001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numPr>
          <w:ilvl w:val="0"/>
          <w:numId w:val="11"/>
        </w:numPr>
        <w:ind w:left="108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Whole-of-Portfolio integration and line of sight:</w:t>
      </w:r>
    </w:p>
    <w:p w:rsidR="00000000" w:rsidDel="00000000" w:rsidP="00000000" w:rsidRDefault="00000000" w:rsidRPr="00000000" w14:paraId="0000001E">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W3 and bilateral results are part of CGIAR’s unified offer and must be reported in a way that shows how all funding streams (W1/W2/W3/bilateral) contribute to impacts.</w:t>
      </w:r>
    </w:p>
    <w:p w:rsidR="00000000" w:rsidDel="00000000" w:rsidP="00000000" w:rsidRDefault="00000000" w:rsidRPr="00000000" w14:paraId="0000001F">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Results should strengthen the narrative from funding stream → results → outcomes → impact, providing funders with a clear view of their contribution.</w:t>
      </w:r>
    </w:p>
    <w:p w:rsidR="00000000" w:rsidDel="00000000" w:rsidP="00000000" w:rsidRDefault="00000000" w:rsidRPr="00000000" w14:paraId="00000020">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Centers are encouraged to share results relevant to the Portfolio, aligned with the Minimum Data Standards (MDS) (see Annex 1; also presented in </w:t>
      </w:r>
      <w:hyperlink r:id="rId13">
        <w:r w:rsidDel="00000000" w:rsidR="00000000" w:rsidRPr="00000000">
          <w:rPr>
            <w:rFonts w:ascii="Calibri" w:cs="Calibri" w:eastAsia="Calibri" w:hAnsi="Calibri"/>
            <w:color w:val="00c093"/>
            <w:sz w:val="22"/>
            <w:szCs w:val="22"/>
            <w:u w:val="single"/>
            <w:rtl w:val="0"/>
          </w:rPr>
          <w:t xml:space="preserve">Annex 3 of the TRA</w:t>
        </w:r>
      </w:hyperlink>
      <w:r w:rsidDel="00000000" w:rsidR="00000000" w:rsidRPr="00000000">
        <w:rPr>
          <w:rFonts w:ascii="Calibri" w:cs="Calibri" w:eastAsia="Calibri" w:hAnsi="Calibri"/>
          <w:sz w:val="22"/>
          <w:szCs w:val="22"/>
          <w:rtl w:val="0"/>
        </w:rPr>
        <w:t xml:space="preserve">) and within the scope of the W3/bilateral projects (80% by Center $ value) mapped to and agreed by the Science Programs and Accelerators, as reflected in the </w:t>
      </w:r>
      <w:hyperlink r:id="rId14">
        <w:r w:rsidDel="00000000" w:rsidR="00000000" w:rsidRPr="00000000">
          <w:rPr>
            <w:rFonts w:ascii="Calibri" w:cs="Calibri" w:eastAsia="Calibri" w:hAnsi="Calibri"/>
            <w:color w:val="00c093"/>
            <w:sz w:val="22"/>
            <w:szCs w:val="22"/>
            <w:u w:val="single"/>
            <w:rtl w:val="0"/>
          </w:rPr>
          <w:t xml:space="preserve">mapping dashboard</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1">
      <w:pPr>
        <w:ind w:left="180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numPr>
          <w:ilvl w:val="0"/>
          <w:numId w:val="11"/>
        </w:numPr>
        <w:ind w:left="108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MDS &amp; streamlined reporting:</w:t>
      </w:r>
    </w:p>
    <w:p w:rsidR="00000000" w:rsidDel="00000000" w:rsidP="00000000" w:rsidRDefault="00000000" w:rsidRPr="00000000" w14:paraId="00000023">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will only collect essential data.</w:t>
      </w:r>
    </w:p>
    <w:p w:rsidR="00000000" w:rsidDel="00000000" w:rsidP="00000000" w:rsidRDefault="00000000" w:rsidRPr="00000000" w14:paraId="00000024">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will use automation where possible (application programming interface [API] integration, artificial intelligence [AI]-assisted harvesting) but ensure human validation and ownership.</w:t>
      </w:r>
    </w:p>
    <w:p w:rsidR="00000000" w:rsidDel="00000000" w:rsidP="00000000" w:rsidRDefault="00000000" w:rsidRPr="00000000" w14:paraId="00000025">
      <w:pPr>
        <w:ind w:left="180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numPr>
          <w:ilvl w:val="0"/>
          <w:numId w:val="11"/>
        </w:numPr>
        <w:ind w:left="108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Iterative and learning-oriented:</w:t>
      </w:r>
    </w:p>
    <w:p w:rsidR="00000000" w:rsidDel="00000000" w:rsidP="00000000" w:rsidRDefault="00000000" w:rsidRPr="00000000" w14:paraId="00000027">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2025 is a transition year: we will test tools, improve workflows, and refine criteria based on experience.</w:t>
      </w:r>
    </w:p>
    <w:p w:rsidR="00000000" w:rsidDel="00000000" w:rsidP="00000000" w:rsidRDefault="00000000" w:rsidRPr="00000000" w14:paraId="00000028">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annual Learning &amp; Optimization process will be used to improve and scale the process over 2026-2027.</w:t>
      </w:r>
    </w:p>
    <w:p w:rsidR="00000000" w:rsidDel="00000000" w:rsidP="00000000" w:rsidRDefault="00000000" w:rsidRPr="00000000" w14:paraId="00000029">
      <w:pPr>
        <w:ind w:left="180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numPr>
          <w:ilvl w:val="0"/>
          <w:numId w:val="11"/>
        </w:numPr>
        <w:ind w:left="108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Shared responsibility for quality:</w:t>
      </w:r>
    </w:p>
    <w:p w:rsidR="00000000" w:rsidDel="00000000" w:rsidP="00000000" w:rsidRDefault="00000000" w:rsidRPr="00000000" w14:paraId="0000002B">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Centers ensure their data meets the minimum data standards and the quality assurance expectations; Programs validate alignment and prevent duplication. </w:t>
      </w:r>
    </w:p>
    <w:p w:rsidR="00000000" w:rsidDel="00000000" w:rsidP="00000000" w:rsidRDefault="00000000" w:rsidRPr="00000000" w14:paraId="0000002C">
      <w:pPr>
        <w:ind w:left="180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numPr>
          <w:ilvl w:val="0"/>
          <w:numId w:val="11"/>
        </w:numPr>
        <w:ind w:left="108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Transparency and recognition: </w:t>
      </w:r>
    </w:p>
    <w:p w:rsidR="00000000" w:rsidDel="00000000" w:rsidP="00000000" w:rsidRDefault="00000000" w:rsidRPr="00000000" w14:paraId="0000002E">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Capture data once, use many times (the Performance and Results Management System [PRMS], dashboards, Technical Reports, call-down analytics).</w:t>
      </w:r>
    </w:p>
    <w:p w:rsidR="00000000" w:rsidDel="00000000" w:rsidP="00000000" w:rsidRDefault="00000000" w:rsidRPr="00000000" w14:paraId="0000002F">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Centers should see how their results were used and why any were excluded.</w:t>
      </w:r>
    </w:p>
    <w:p w:rsidR="00000000" w:rsidDel="00000000" w:rsidP="00000000" w:rsidRDefault="00000000" w:rsidRPr="00000000" w14:paraId="00000030">
      <w:pPr>
        <w:numPr>
          <w:ilvl w:val="1"/>
          <w:numId w:val="11"/>
        </w:numPr>
        <w:ind w:left="180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Promote visibility of bilateral projects to support funder engagement and resource mobilization.</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Heading2"/>
        <w:numPr>
          <w:ilvl w:val="0"/>
          <w:numId w:val="9"/>
        </w:numPr>
        <w:ind w:left="720" w:hanging="360"/>
        <w:rPr>
          <w:rFonts w:ascii="Calibri" w:cs="Calibri" w:eastAsia="Calibri" w:hAnsi="Calibri"/>
          <w:b w:val="1"/>
          <w:color w:val="065f4a"/>
        </w:rPr>
      </w:pPr>
      <w:bookmarkStart w:colFirst="0" w:colLast="0" w:name="_heading=h.qz2tjtnc4pu" w:id="2"/>
      <w:bookmarkEnd w:id="2"/>
      <w:r w:rsidDel="00000000" w:rsidR="00000000" w:rsidRPr="00000000">
        <w:rPr>
          <w:rFonts w:ascii="Calibri" w:cs="Calibri" w:eastAsia="Calibri" w:hAnsi="Calibri"/>
          <w:b w:val="1"/>
          <w:color w:val="065f4a"/>
          <w:rtl w:val="0"/>
        </w:rPr>
        <w:t xml:space="preserve">Criteria for integration</w:t>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criteria facilitate decision-making on which W3/bilateral results should be included in 2025 Technical Reporting. They focus on keeping what is most </w:t>
      </w:r>
      <w:r w:rsidDel="00000000" w:rsidR="00000000" w:rsidRPr="00000000">
        <w:rPr>
          <w:rFonts w:ascii="Calibri" w:cs="Calibri" w:eastAsia="Calibri" w:hAnsi="Calibri"/>
          <w:b w:val="1"/>
          <w:sz w:val="22"/>
          <w:szCs w:val="22"/>
          <w:rtl w:val="0"/>
        </w:rPr>
        <w:t xml:space="preserve">relevant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feasible</w:t>
      </w:r>
      <w:r w:rsidDel="00000000" w:rsidR="00000000" w:rsidRPr="00000000">
        <w:rPr>
          <w:rFonts w:ascii="Calibri" w:cs="Calibri" w:eastAsia="Calibri" w:hAnsi="Calibri"/>
          <w:sz w:val="22"/>
          <w:szCs w:val="22"/>
          <w:rtl w:val="0"/>
        </w:rPr>
        <w:t xml:space="preserve">, and useful for </w:t>
      </w:r>
      <w:r w:rsidDel="00000000" w:rsidR="00000000" w:rsidRPr="00000000">
        <w:rPr>
          <w:rFonts w:ascii="Calibri" w:cs="Calibri" w:eastAsia="Calibri" w:hAnsi="Calibri"/>
          <w:b w:val="1"/>
          <w:sz w:val="22"/>
          <w:szCs w:val="22"/>
          <w:rtl w:val="0"/>
        </w:rPr>
        <w:t xml:space="preserve">showing the value</w:t>
      </w:r>
      <w:r w:rsidDel="00000000" w:rsidR="00000000" w:rsidRPr="00000000">
        <w:rPr>
          <w:rFonts w:ascii="Calibri" w:cs="Calibri" w:eastAsia="Calibri" w:hAnsi="Calibri"/>
          <w:sz w:val="22"/>
          <w:szCs w:val="22"/>
          <w:rtl w:val="0"/>
        </w:rPr>
        <w:t xml:space="preserve"> of CGIAR’s work. Results should link to the objectives, themes, geographies and partners of P/As, and/or</w:t>
      </w:r>
      <w:r w:rsidDel="00000000" w:rsidR="00000000" w:rsidRPr="00000000">
        <w:rPr>
          <w:rFonts w:ascii="Montserrat" w:cs="Montserrat" w:eastAsia="Montserrat" w:hAnsi="Montserrat"/>
          <w:color w:val="000000"/>
          <w:sz w:val="32"/>
          <w:szCs w:val="32"/>
          <w:rtl w:val="0"/>
        </w:rPr>
        <w:t xml:space="preserve"> </w:t>
      </w:r>
      <w:r w:rsidDel="00000000" w:rsidR="00000000" w:rsidRPr="00000000">
        <w:rPr>
          <w:rFonts w:ascii="Calibri" w:cs="Calibri" w:eastAsia="Calibri" w:hAnsi="Calibri"/>
          <w:sz w:val="22"/>
          <w:szCs w:val="22"/>
          <w:rtl w:val="0"/>
        </w:rPr>
        <w:t xml:space="preserve">provide a clear strategic benefit. The goal is to include as many </w:t>
      </w:r>
      <w:r w:rsidDel="00000000" w:rsidR="00000000" w:rsidRPr="00000000">
        <w:rPr>
          <w:rFonts w:ascii="Calibri" w:cs="Calibri" w:eastAsia="Calibri" w:hAnsi="Calibri"/>
          <w:b w:val="1"/>
          <w:sz w:val="22"/>
          <w:szCs w:val="22"/>
          <w:rtl w:val="0"/>
        </w:rPr>
        <w:t xml:space="preserve">meaningful</w:t>
      </w:r>
      <w:r w:rsidDel="00000000" w:rsidR="00000000" w:rsidRPr="00000000">
        <w:rPr>
          <w:rFonts w:ascii="Calibri" w:cs="Calibri" w:eastAsia="Calibri" w:hAnsi="Calibri"/>
          <w:sz w:val="22"/>
          <w:szCs w:val="22"/>
          <w:rtl w:val="0"/>
        </w:rPr>
        <w:t xml:space="preserve"> results as possible, while keeping the reporting process simple and not adding extra work for Centers.</w:t>
      </w:r>
    </w:p>
    <w:p w:rsidR="00000000" w:rsidDel="00000000" w:rsidP="00000000" w:rsidRDefault="00000000" w:rsidRPr="00000000" w14:paraId="00000034">
      <w:pPr>
        <w:spacing w:line="276" w:lineRule="auto"/>
        <w:jc w:val="both"/>
        <w:rPr>
          <w:rFonts w:ascii="Calibri" w:cs="Calibri" w:eastAsia="Calibri" w:hAnsi="Calibri"/>
          <w:sz w:val="22"/>
          <w:szCs w:val="22"/>
        </w:rPr>
      </w:pPr>
      <w:r w:rsidDel="00000000" w:rsidR="00000000" w:rsidRPr="00000000">
        <w:rPr>
          <w:rtl w:val="0"/>
        </w:rPr>
      </w:r>
    </w:p>
    <w:tbl>
      <w:tblPr>
        <w:tblStyle w:val="Table1"/>
        <w:tblW w:w="8850.0" w:type="dxa"/>
        <w:jc w:val="left"/>
        <w:tblBorders>
          <w:top w:color="47d45a" w:space="0" w:sz="4" w:val="single"/>
          <w:left w:color="47d45a" w:space="0" w:sz="4" w:val="single"/>
          <w:bottom w:color="47d45a" w:space="0" w:sz="4" w:val="single"/>
          <w:right w:color="47d45a" w:space="0" w:sz="4" w:val="single"/>
          <w:insideH w:color="47d45a" w:space="0" w:sz="4" w:val="single"/>
          <w:insideV w:color="47d45a" w:space="0" w:sz="4" w:val="single"/>
        </w:tblBorders>
        <w:tblLayout w:type="fixed"/>
        <w:tblLook w:val="04A0"/>
      </w:tblPr>
      <w:tblGrid>
        <w:gridCol w:w="1950"/>
        <w:gridCol w:w="2475"/>
        <w:gridCol w:w="2535"/>
        <w:gridCol w:w="1890"/>
        <w:tblGridChange w:id="0">
          <w:tblGrid>
            <w:gridCol w:w="1950"/>
            <w:gridCol w:w="2475"/>
            <w:gridCol w:w="2535"/>
            <w:gridCol w:w="1890"/>
          </w:tblGrid>
        </w:tblGridChange>
      </w:tblGrid>
      <w:tr>
        <w:trPr>
          <w:cantSplit w:val="0"/>
          <w:trHeight w:val="419" w:hRule="atLeast"/>
          <w:tblHeader w:val="0"/>
        </w:trPr>
        <w:tc>
          <w:tcPr>
            <w:tcBorders>
              <w:bottom w:color="56fbd4" w:space="0" w:sz="4" w:val="single"/>
            </w:tcBorders>
            <w:shd w:fill="065f4a" w:val="clear"/>
          </w:tcPr>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Dimension</w:t>
            </w:r>
          </w:p>
        </w:tc>
        <w:tc>
          <w:tcPr>
            <w:tcBorders>
              <w:bottom w:color="56fbd4" w:space="0" w:sz="4" w:val="single"/>
            </w:tcBorders>
            <w:shd w:fill="065f4a" w:val="clear"/>
          </w:tcPr>
          <w:p w:rsidR="00000000" w:rsidDel="00000000" w:rsidP="00000000" w:rsidRDefault="00000000" w:rsidRPr="00000000" w14:paraId="000000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(include)</w:t>
            </w:r>
          </w:p>
        </w:tc>
        <w:tc>
          <w:tcPr>
            <w:tcBorders>
              <w:bottom w:color="56fbd4" w:space="0" w:sz="4" w:val="single"/>
            </w:tcBorders>
            <w:shd w:fill="065f4a" w:val="clear"/>
          </w:tcPr>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 (discuss &amp; decide)</w:t>
            </w:r>
          </w:p>
        </w:tc>
        <w:tc>
          <w:tcPr>
            <w:tcBorders>
              <w:bottom w:color="56fbd4" w:space="0" w:sz="4" w:val="single"/>
            </w:tcBorders>
            <w:shd w:fill="065f4a" w:val="clear"/>
          </w:tcPr>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 (generally exclude)</w:t>
            </w:r>
          </w:p>
        </w:tc>
      </w:tr>
      <w:tr>
        <w:trPr>
          <w:cantSplit w:val="0"/>
          <w:trHeight w:val="797" w:hRule="atLeast"/>
          <w:tblHeader w:val="0"/>
        </w:trPr>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Complementarity with Program/Accelerator (P/A) ToC</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clearly contributes to the objectives and impact pathway in the P/A ToC.</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partially contributes to objectives or only to selected outputs/outcomes.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contribution to P/A objectives or ToC.</w:t>
            </w:r>
          </w:p>
        </w:tc>
      </w:tr>
      <w:tr>
        <w:trPr>
          <w:cantSplit w:val="0"/>
          <w:trHeight w:val="567" w:hRule="atLeast"/>
          <w:tblHeader w:val="0"/>
        </w:trPr>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Thematic alignment</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Strong thematic match with P/A scope and research agenda.</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Partial relevance (e.g., side component of a larger project).</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Outside of P/A thematic scope.</w:t>
            </w:r>
          </w:p>
        </w:tc>
      </w:tr>
      <w:tr>
        <w:trPr>
          <w:cantSplit w:val="0"/>
          <w:trHeight w:val="977" w:hRule="atLeast"/>
          <w:tblHeader w:val="0"/>
        </w:trPr>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Geographic focus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overlap with P/A geographies </w:t>
            </w:r>
            <w:r w:rsidDel="00000000" w:rsidR="00000000" w:rsidRPr="00000000">
              <w:rPr>
                <w:rFonts w:ascii="Calibri" w:cs="Calibri" w:eastAsia="Calibri" w:hAnsi="Calibri"/>
                <w:b w:val="1"/>
                <w:sz w:val="20"/>
                <w:szCs w:val="20"/>
                <w:rtl w:val="0"/>
              </w:rPr>
              <w:t xml:space="preserve">or</w:t>
            </w:r>
            <w:r w:rsidDel="00000000" w:rsidR="00000000" w:rsidRPr="00000000">
              <w:rPr>
                <w:rFonts w:ascii="Calibri" w:cs="Calibri" w:eastAsia="Calibri" w:hAnsi="Calibri"/>
                <w:sz w:val="20"/>
                <w:szCs w:val="20"/>
                <w:rtl w:val="0"/>
              </w:rPr>
              <w:t xml:space="preserve"> strategically expands P/A footprint into priority new regions.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Partial geographic overlap, or expansion with limited strategic benefit.</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geographic overlap or relevance.</w:t>
            </w:r>
          </w:p>
        </w:tc>
      </w:tr>
      <w:tr>
        <w:trPr>
          <w:cantSplit w:val="0"/>
          <w:trHeight w:val="1087" w:hRule="atLeast"/>
          <w:tblHeader w:val="0"/>
        </w:trPr>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Partnerships</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degree of overlap with P/A partnerships, or strategically expands CGIAR’s partnerships in a way that advances objectives.</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overlap, limited strategic value.</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overlap or relevance to P/A partnership strategies.</w:t>
            </w:r>
          </w:p>
        </w:tc>
      </w:tr>
      <w:tr>
        <w:trPr>
          <w:cantSplit w:val="0"/>
          <w:trHeight w:val="1464" w:hRule="atLeast"/>
          <w:tblHeader w:val="0"/>
        </w:trPr>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Evidence &amp; data readiness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Well-documented result (Center-centralized system,  donor report, dataset, publication) meeting MDS.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with partial evidence/limited MDS available in Center centralized system, donor report, dataset, publication. Limited MDS match.</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No/highly limited MDS match.</w:t>
            </w:r>
          </w:p>
          <w:p w:rsidR="00000000" w:rsidDel="00000000" w:rsidP="00000000" w:rsidRDefault="00000000" w:rsidRPr="00000000" w14:paraId="0000004D">
            <w:pPr>
              <w:rPr>
                <w:rFonts w:ascii="Calibri" w:cs="Calibri" w:eastAsia="Calibri" w:hAnsi="Calibri"/>
                <w:sz w:val="20"/>
                <w:szCs w:val="20"/>
              </w:rPr>
            </w:pPr>
            <w:r w:rsidDel="00000000" w:rsidR="00000000" w:rsidRPr="00000000">
              <w:rPr>
                <w:rtl w:val="0"/>
              </w:rPr>
            </w:r>
          </w:p>
        </w:tc>
      </w:tr>
      <w:tr>
        <w:trPr>
          <w:cantSplit w:val="0"/>
          <w:trHeight w:val="891" w:hRule="atLeast"/>
          <w:tblHeader w:val="0"/>
        </w:trPr>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Reporting feasibility</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Easily retrievable via API, AI-assisted harvesting, or direct MEL entry.</w:t>
            </w:r>
          </w:p>
          <w:p w:rsidR="00000000" w:rsidDel="00000000" w:rsidP="00000000" w:rsidRDefault="00000000" w:rsidRPr="00000000" w14:paraId="00000050">
            <w:pPr>
              <w:rPr>
                <w:rFonts w:ascii="Calibri" w:cs="Calibri" w:eastAsia="Calibri" w:hAnsi="Calibri"/>
                <w:sz w:val="20"/>
                <w:szCs w:val="20"/>
              </w:rPr>
            </w:pPr>
            <w:r w:rsidDel="00000000" w:rsidR="00000000" w:rsidRPr="00000000">
              <w:rPr>
                <w:rtl w:val="0"/>
              </w:rPr>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Requires additional manual follow-up but feasible in 2025 timeframe.</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Reporting would require major effort not justified by value of result. </w:t>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4">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br w:type="page"/>
      </w:r>
      <w:r w:rsidDel="00000000" w:rsidR="00000000" w:rsidRPr="00000000">
        <w:rPr>
          <w:rFonts w:ascii="Calibri" w:cs="Calibri" w:eastAsia="Calibri" w:hAnsi="Calibri"/>
          <w:sz w:val="22"/>
          <w:szCs w:val="22"/>
          <w:rtl w:val="0"/>
        </w:rPr>
        <w:t xml:space="preserve">Confidentiality requirements will be respected - where a Center does not want certain information/results to be integrated into Portfolio level reporting, these will be excluded.</w:t>
      </w:r>
    </w:p>
    <w:p w:rsidR="00000000" w:rsidDel="00000000" w:rsidP="00000000" w:rsidRDefault="00000000" w:rsidRPr="00000000" w14:paraId="000000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w3/bilateral information is shared for integration, Centers will have a role in reviewing and validating how their information is represented in aggregate Program/Accelerator and Portfolio reporting.</w:t>
      </w:r>
    </w:p>
    <w:p w:rsidR="00000000" w:rsidDel="00000000" w:rsidP="00000000" w:rsidRDefault="00000000" w:rsidRPr="00000000" w14:paraId="00000058">
      <w:pPr>
        <w:rPr>
          <w:rFonts w:ascii="Calibri" w:cs="Calibri" w:eastAsia="Calibri" w:hAnsi="Calibri"/>
          <w:b w:val="1"/>
          <w:color w:val="065f4a"/>
          <w:sz w:val="32"/>
          <w:szCs w:val="32"/>
        </w:rPr>
      </w:pPr>
      <w:r w:rsidDel="00000000" w:rsidR="00000000" w:rsidRPr="00000000">
        <w:rPr>
          <w:rtl w:val="0"/>
        </w:rPr>
      </w:r>
    </w:p>
    <w:p w:rsidR="00000000" w:rsidDel="00000000" w:rsidP="00000000" w:rsidRDefault="00000000" w:rsidRPr="00000000" w14:paraId="00000059">
      <w:pPr>
        <w:pStyle w:val="Heading2"/>
        <w:numPr>
          <w:ilvl w:val="0"/>
          <w:numId w:val="9"/>
        </w:numPr>
        <w:ind w:left="720" w:hanging="360"/>
        <w:rPr>
          <w:rFonts w:ascii="Calibri" w:cs="Calibri" w:eastAsia="Calibri" w:hAnsi="Calibri"/>
          <w:b w:val="1"/>
          <w:color w:val="065f4a"/>
        </w:rPr>
      </w:pPr>
      <w:bookmarkStart w:colFirst="0" w:colLast="0" w:name="_heading=h.bkewfs4bev4n" w:id="3"/>
      <w:bookmarkEnd w:id="3"/>
      <w:r w:rsidDel="00000000" w:rsidR="00000000" w:rsidRPr="00000000">
        <w:rPr>
          <w:rFonts w:ascii="Calibri" w:cs="Calibri" w:eastAsia="Calibri" w:hAnsi="Calibri"/>
          <w:b w:val="1"/>
          <w:color w:val="065f4a"/>
          <w:rtl w:val="0"/>
        </w:rPr>
        <w:t xml:space="preserve">Roles and responsibilities</w:t>
      </w:r>
    </w:p>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Center MEL Focal Points (FPs)</w:t>
      </w:r>
      <w:r w:rsidDel="00000000" w:rsidR="00000000" w:rsidRPr="00000000">
        <w:rPr>
          <w:rFonts w:ascii="Calibri" w:cs="Calibri" w:eastAsia="Calibri" w:hAnsi="Calibri"/>
          <w:sz w:val="22"/>
          <w:szCs w:val="22"/>
          <w:rtl w:val="0"/>
        </w:rPr>
        <w:t xml:space="preserve">: For the mapped and agreed w3/bilateral projects, identify reportable results, harvest data, validate completeness, coordinate with Principal Investigators (PIs) and project teams at the Center level, ensure evidence is available. Clarify any inconsistencies and flag results reported under multiple P/A to the relevant </w:t>
      </w:r>
      <w:hyperlink r:id="rId15">
        <w:r w:rsidDel="00000000" w:rsidR="00000000" w:rsidRPr="00000000">
          <w:rPr>
            <w:rFonts w:ascii="Calibri" w:cs="Calibri" w:eastAsia="Calibri" w:hAnsi="Calibri"/>
            <w:color w:val="00c093"/>
            <w:sz w:val="22"/>
            <w:szCs w:val="22"/>
            <w:u w:val="single"/>
            <w:rtl w:val="0"/>
          </w:rPr>
          <w:t xml:space="preserve">P/A staff</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sz w:val="22"/>
          <w:szCs w:val="22"/>
          <w:u w:val="single"/>
        </w:rPr>
      </w:pPr>
      <w:r w:rsidDel="00000000" w:rsidR="00000000" w:rsidRPr="00000000">
        <w:rPr>
          <w:rFonts w:ascii="Calibri" w:cs="Calibri" w:eastAsia="Calibri" w:hAnsi="Calibri"/>
          <w:b w:val="1"/>
          <w:i w:val="1"/>
          <w:sz w:val="22"/>
          <w:szCs w:val="22"/>
          <w:rtl w:val="0"/>
        </w:rPr>
        <w:t xml:space="preserve">P/A MELIA and/or Program Coordinators</w:t>
      </w:r>
      <w:r w:rsidDel="00000000" w:rsidR="00000000" w:rsidRPr="00000000">
        <w:rPr>
          <w:rFonts w:ascii="Calibri" w:cs="Calibri" w:eastAsia="Calibri" w:hAnsi="Calibri"/>
          <w:sz w:val="22"/>
          <w:szCs w:val="22"/>
          <w:rtl w:val="0"/>
        </w:rPr>
        <w:t xml:space="preserve">: Validate ToC alignment, geographic fit, and identify and remove duplication. Approve results for final submission in PRMS. </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PRMS Tech Team</w:t>
      </w:r>
      <w:r w:rsidDel="00000000" w:rsidR="00000000" w:rsidRPr="00000000">
        <w:rPr>
          <w:rFonts w:ascii="Calibri" w:cs="Calibri" w:eastAsia="Calibri" w:hAnsi="Calibri"/>
          <w:sz w:val="22"/>
          <w:szCs w:val="22"/>
          <w:rtl w:val="0"/>
        </w:rPr>
        <w:t xml:space="preserve">: Support data pipeline (API/AI/manual), assist with uploads, solve technical issues (</w:t>
      </w:r>
      <w:hyperlink r:id="rId16">
        <w:r w:rsidDel="00000000" w:rsidR="00000000" w:rsidRPr="00000000">
          <w:rPr>
            <w:rFonts w:ascii="Calibri" w:cs="Calibri" w:eastAsia="Calibri" w:hAnsi="Calibri"/>
            <w:color w:val="00c093"/>
            <w:sz w:val="22"/>
            <w:szCs w:val="22"/>
            <w:u w:val="single"/>
            <w:rtl w:val="0"/>
          </w:rPr>
          <w:t xml:space="preserve">prmstechsupport@cgiar.org</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PPU</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Provide process and operational support where needed (e.g., data submission, system testing), share relevant information with P/As and Centers (</w:t>
      </w:r>
      <w:hyperlink r:id="rId17">
        <w:r w:rsidDel="00000000" w:rsidR="00000000" w:rsidRPr="00000000">
          <w:rPr>
            <w:rFonts w:ascii="Calibri" w:cs="Calibri" w:eastAsia="Calibri" w:hAnsi="Calibri"/>
            <w:color w:val="00c093"/>
            <w:sz w:val="22"/>
            <w:szCs w:val="22"/>
            <w:u w:val="single"/>
            <w:rtl w:val="0"/>
          </w:rPr>
          <w:t xml:space="preserve">performanceandresults@cgiar.org</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1">
      <w:pPr>
        <w:spacing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pStyle w:val="Heading2"/>
        <w:numPr>
          <w:ilvl w:val="0"/>
          <w:numId w:val="9"/>
        </w:numPr>
        <w:ind w:left="720" w:hanging="360"/>
        <w:rPr>
          <w:rFonts w:ascii="Calibri" w:cs="Calibri" w:eastAsia="Calibri" w:hAnsi="Calibri"/>
          <w:b w:val="1"/>
          <w:color w:val="065f4a"/>
        </w:rPr>
      </w:pPr>
      <w:bookmarkStart w:colFirst="0" w:colLast="0" w:name="_heading=h.xh3ur17v3abx" w:id="4"/>
      <w:bookmarkEnd w:id="4"/>
      <w:r w:rsidDel="00000000" w:rsidR="00000000" w:rsidRPr="00000000">
        <w:rPr>
          <w:rFonts w:ascii="Calibri" w:cs="Calibri" w:eastAsia="Calibri" w:hAnsi="Calibri"/>
          <w:b w:val="1"/>
          <w:color w:val="065f4a"/>
          <w:rtl w:val="0"/>
        </w:rPr>
        <w:t xml:space="preserve">Process for 2025 Technical Reporting</w:t>
      </w:r>
    </w:p>
    <w:p w:rsidR="00000000" w:rsidDel="00000000" w:rsidP="00000000" w:rsidRDefault="00000000" w:rsidRPr="00000000" w14:paraId="000000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is designed to be collaborative and consultative, ensuring that both Centers and P/As are involved in shaping what is reported and how. Centers provide w3/bilateral data and evidence, P/As validate alignment, and both jointly agree on what goes forward integrated in Technical Reporting products (dashboard, Annual Type 1 report, Annual Portfolio Narrative, triennial impact report where relevant). Insights gathered through this first cycle will help refine the process for future years, moving to lighter, more automated workflow. </w:t>
      </w:r>
    </w:p>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Center data collection and validation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PPU provides each Center MEL FP with the final list of W3/bilateral projects mapped and agreed with the P/A, details on their integration into the P/A ToC (Areas of Work, high level outputs, indicators etc.).</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Center MEL FPs, supported by project staff, gather results from project teams/PIs.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the agreed criteria and the MDS, they identify eligible results.</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Potential duplication or shared attribution across P/As is flagged and consulted with the relevant P/A MELIA FP or Program Coordinator.</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Center MEL FPs transfer results to the PRMS either through API integration where available or by using AI-assisted extraction to populate key data fields. Manual entry remains available for Centers or projects with lower reporting volumes. Results remain in editing status in the PRMS at this stage.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Program/Accelerator validation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 MELIA staff, supported by PPU, review results in the PRMS to check alignment with their ToCs, geographic focus, and to avoid duplication.</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Feedback is shared with Centers, and final approval decisions are made collaboratively.</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Centers are informed of which results will be included and the rationale for any non-submission.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Finalization and submission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Approved results are finalized in the PRMS by P/A MELIA staff (i.e., results in editing mode in the PRMS are submitted) and incorporated into the CGIAR Results Dashboard and Technical Reports.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and optimization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Joint feedback sessions with Centers and P/As will capture lessons learned. Insights from this review will feed into refining the process, criteria, and tools for the next reporting cycle.</w:t>
      </w:r>
    </w:p>
    <w:p w:rsidR="00000000" w:rsidDel="00000000" w:rsidP="00000000" w:rsidRDefault="00000000" w:rsidRPr="00000000" w14:paraId="00000076">
      <w:pPr>
        <w:rPr>
          <w:rFonts w:ascii="Calibri" w:cs="Calibri" w:eastAsia="Calibri" w:hAnsi="Calibri"/>
          <w:b w:val="1"/>
          <w:color w:val="065f4a"/>
          <w:sz w:val="22"/>
          <w:szCs w:val="22"/>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color w:val="065f4a"/>
          <w:sz w:val="22"/>
          <w:szCs w:val="22"/>
        </w:rPr>
      </w:pPr>
      <w:r w:rsidDel="00000000" w:rsidR="00000000" w:rsidRPr="00000000">
        <w:rPr>
          <w:rFonts w:ascii="Calibri" w:cs="Calibri" w:eastAsia="Calibri" w:hAnsi="Calibri"/>
          <w:b w:val="1"/>
          <w:color w:val="065f4a"/>
          <w:sz w:val="22"/>
          <w:szCs w:val="22"/>
          <w:rtl w:val="0"/>
        </w:rPr>
        <w:t xml:space="preserve">Overview of the process for 2025 Technical Reporting</w:t>
      </w:r>
    </w:p>
    <w:p w:rsidR="00000000" w:rsidDel="00000000" w:rsidP="00000000" w:rsidRDefault="00000000" w:rsidRPr="00000000" w14:paraId="00000078">
      <w:pPr>
        <w:rPr>
          <w:rFonts w:ascii="Calibri" w:cs="Calibri" w:eastAsia="Calibri" w:hAnsi="Calibri"/>
          <w:b w:val="1"/>
          <w:color w:val="065f4a"/>
          <w:sz w:val="22"/>
          <w:szCs w:val="22"/>
        </w:rPr>
      </w:pPr>
      <w:r w:rsidDel="00000000" w:rsidR="00000000" w:rsidRPr="00000000">
        <w:rPr>
          <w:rtl w:val="0"/>
        </w:rPr>
      </w:r>
    </w:p>
    <w:p w:rsidR="00000000" w:rsidDel="00000000" w:rsidP="00000000" w:rsidRDefault="00000000" w:rsidRPr="00000000" w14:paraId="00000079">
      <w:pPr>
        <w:spacing w:line="276"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885825</wp:posOffset>
                </wp:positionH>
                <wp:positionV relativeFrom="paragraph">
                  <wp:posOffset>46186</wp:posOffset>
                </wp:positionV>
                <wp:extent cx="3686175" cy="1171575"/>
                <wp:effectExtent b="0" l="0" r="0" t="0"/>
                <wp:wrapNone/>
                <wp:docPr id="1888331100" name=""/>
                <a:graphic>
                  <a:graphicData uri="http://schemas.microsoft.com/office/word/2010/wordprocessingShape">
                    <wps:wsp>
                      <wps:cNvSpPr/>
                      <wps:cNvPr id="6" name="Shape 6"/>
                      <wps:spPr>
                        <a:xfrm>
                          <a:off x="3510225" y="3033650"/>
                          <a:ext cx="3671400" cy="1156200"/>
                        </a:xfrm>
                        <a:prstGeom prst="rect">
                          <a:avLst/>
                        </a:prstGeom>
                        <a:solidFill>
                          <a:schemeClr val="lt1"/>
                        </a:solidFill>
                        <a:ln cap="flat" cmpd="sng" w="12700">
                          <a:solidFill>
                            <a:srgbClr val="56FBD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Each Center MEL FP receives from PPU:</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 final list of the Centers’ mapped W3/Bilateral projects to the P/A, along with details on how they are integrated into the P/A ToC (including AoWs, HLOs, indicators, etc.).</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 criteria for selection of results.</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 details of the integration process and timeline.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885825</wp:posOffset>
                </wp:positionH>
                <wp:positionV relativeFrom="paragraph">
                  <wp:posOffset>46186</wp:posOffset>
                </wp:positionV>
                <wp:extent cx="3686175" cy="1171575"/>
                <wp:effectExtent b="0" l="0" r="0" t="0"/>
                <wp:wrapNone/>
                <wp:docPr id="1888331100"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3686175" cy="1171575"/>
                        </a:xfrm>
                        <a:prstGeom prst="rect"/>
                        <a:ln/>
                      </pic:spPr>
                    </pic:pic>
                  </a:graphicData>
                </a:graphic>
              </wp:anchor>
            </w:drawing>
          </mc:Fallback>
        </mc:AlternateConten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Calibri" w:cs="Calibri" w:eastAsia="Calibri" w:hAnsi="Calibri"/>
          <w:color w:val="0f4761"/>
          <w:sz w:val="32"/>
          <w:szCs w:val="3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891843</wp:posOffset>
                </wp:positionH>
                <wp:positionV relativeFrom="paragraph">
                  <wp:posOffset>1367708</wp:posOffset>
                </wp:positionV>
                <wp:extent cx="3688080" cy="1634922"/>
                <wp:effectExtent b="0" l="0" r="0" t="0"/>
                <wp:wrapNone/>
                <wp:docPr id="1888331101" name=""/>
                <a:graphic>
                  <a:graphicData uri="http://schemas.microsoft.com/office/word/2010/wordprocessingShape">
                    <wps:wsp>
                      <wps:cNvSpPr/>
                      <wps:cNvPr id="7" name="Shape 7"/>
                      <wps:spPr>
                        <a:xfrm>
                          <a:off x="3508300" y="3012425"/>
                          <a:ext cx="3675300" cy="1623000"/>
                        </a:xfrm>
                        <a:prstGeom prst="rect">
                          <a:avLst/>
                        </a:prstGeom>
                        <a:solidFill>
                          <a:schemeClr val="lt1"/>
                        </a:solidFill>
                        <a:ln cap="flat" cmpd="sng" w="12700">
                          <a:solidFill>
                            <a:srgbClr val="56FBD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Center MEL FPs (supported by Center project staff and PRMS tech team):</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Gather the results that meet the reporting criteria; supported by the PRMS Tech Team in retrieving information from documents (i.e. donor reports, briefs, evidence, etc.).</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Consult with the P/A MELIA FP or Program Coordinator in cases of doubt or when potential duplication across P/As is detected.</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Ensures proper upload of results into the PRMS in collaboration with the PRMS Tech Team; results remain in editing mode.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891843</wp:posOffset>
                </wp:positionH>
                <wp:positionV relativeFrom="paragraph">
                  <wp:posOffset>1367708</wp:posOffset>
                </wp:positionV>
                <wp:extent cx="3688080" cy="1634922"/>
                <wp:effectExtent b="0" l="0" r="0" t="0"/>
                <wp:wrapNone/>
                <wp:docPr id="1888331101"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3688080" cy="163492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809625</wp:posOffset>
                </wp:positionH>
                <wp:positionV relativeFrom="paragraph">
                  <wp:posOffset>3629025</wp:posOffset>
                </wp:positionV>
                <wp:extent cx="3725960" cy="1302185"/>
                <wp:effectExtent b="0" l="0" r="0" t="0"/>
                <wp:wrapNone/>
                <wp:docPr id="1888331096" name=""/>
                <a:graphic>
                  <a:graphicData uri="http://schemas.microsoft.com/office/word/2010/wordprocessingShape">
                    <wps:wsp>
                      <wps:cNvSpPr/>
                      <wps:cNvPr id="2" name="Shape 2"/>
                      <wps:spPr>
                        <a:xfrm>
                          <a:off x="3489375" y="3097275"/>
                          <a:ext cx="3713400" cy="1283400"/>
                        </a:xfrm>
                        <a:prstGeom prst="rect">
                          <a:avLst/>
                        </a:prstGeom>
                        <a:solidFill>
                          <a:schemeClr val="lt1"/>
                        </a:solidFill>
                        <a:ln cap="flat" cmpd="sng" w="12700">
                          <a:solidFill>
                            <a:srgbClr val="56FBD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P/A MELIA staff  (supported by PPU):</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Validate the w3/bilateral results in the PRMS.</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Inform the Center MEL FP of results that are not submitted, including the rationale for any non-submissions.</w:t>
                            </w:r>
                          </w:p>
                          <w:p w:rsidR="00000000" w:rsidDel="00000000" w:rsidP="00000000" w:rsidRDefault="00000000" w:rsidRPr="00000000">
                            <w:pPr>
                              <w:spacing w:after="16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Submit the results (i.e., results in editing mode in the PRMS are submitted).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809625</wp:posOffset>
                </wp:positionH>
                <wp:positionV relativeFrom="paragraph">
                  <wp:posOffset>3629025</wp:posOffset>
                </wp:positionV>
                <wp:extent cx="3725960" cy="1302185"/>
                <wp:effectExtent b="0" l="0" r="0" t="0"/>
                <wp:wrapNone/>
                <wp:docPr id="1888331096"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3725960" cy="1302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5210175</wp:posOffset>
                </wp:positionV>
                <wp:extent cx="5494020" cy="443230"/>
                <wp:effectExtent b="0" l="0" r="0" t="0"/>
                <wp:wrapNone/>
                <wp:docPr id="1888331097" name=""/>
                <a:graphic>
                  <a:graphicData uri="http://schemas.microsoft.com/office/word/2010/wordprocessingShape">
                    <wps:wsp>
                      <wps:cNvSpPr/>
                      <wps:cNvPr id="3" name="Shape 3"/>
                      <wps:spPr>
                        <a:xfrm>
                          <a:off x="2605340" y="3564735"/>
                          <a:ext cx="5481320" cy="430530"/>
                        </a:xfrm>
                        <a:prstGeom prst="rect">
                          <a:avLst/>
                        </a:prstGeom>
                        <a:solidFill>
                          <a:schemeClr val="lt1"/>
                        </a:solidFill>
                        <a:ln cap="flat" cmpd="sng" w="12700">
                          <a:solidFill>
                            <a:srgbClr val="56FBD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W3/bilateral results submitted in the PRMS will be incorporated into the P/A annual Technical Reports as well as the CGIAR Results Dashboard.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5210175</wp:posOffset>
                </wp:positionV>
                <wp:extent cx="5494020" cy="443230"/>
                <wp:effectExtent b="0" l="0" r="0" t="0"/>
                <wp:wrapNone/>
                <wp:docPr id="1888331097"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5494020" cy="4432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2657475</wp:posOffset>
                </wp:positionH>
                <wp:positionV relativeFrom="paragraph">
                  <wp:posOffset>881121</wp:posOffset>
                </wp:positionV>
                <wp:extent cx="7952" cy="461175"/>
                <wp:effectExtent b="0" l="0" r="0" t="0"/>
                <wp:wrapNone/>
                <wp:docPr id="1888331099" name=""/>
                <a:graphic>
                  <a:graphicData uri="http://schemas.microsoft.com/office/word/2010/wordprocessingShape">
                    <wps:wsp>
                      <wps:cNvCnPr/>
                      <wps:spPr>
                        <a:xfrm flipH="1">
                          <a:off x="5342024" y="3549413"/>
                          <a:ext cx="7952" cy="46117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2657475</wp:posOffset>
                </wp:positionH>
                <wp:positionV relativeFrom="paragraph">
                  <wp:posOffset>881121</wp:posOffset>
                </wp:positionV>
                <wp:extent cx="7952" cy="461175"/>
                <wp:effectExtent b="0" l="0" r="0" t="0"/>
                <wp:wrapNone/>
                <wp:docPr id="1888331099"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7952" cy="4611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2628900</wp:posOffset>
                </wp:positionH>
                <wp:positionV relativeFrom="paragraph">
                  <wp:posOffset>3076575</wp:posOffset>
                </wp:positionV>
                <wp:extent cx="0" cy="453224"/>
                <wp:effectExtent b="0" l="0" r="0" t="0"/>
                <wp:wrapNone/>
                <wp:docPr id="1888331098" name=""/>
                <a:graphic>
                  <a:graphicData uri="http://schemas.microsoft.com/office/word/2010/wordprocessingShape">
                    <wps:wsp>
                      <wps:cNvCnPr/>
                      <wps:spPr>
                        <a:xfrm>
                          <a:off x="5346000" y="3553388"/>
                          <a:ext cx="0" cy="453224"/>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3076575</wp:posOffset>
                </wp:positionV>
                <wp:extent cx="0" cy="453224"/>
                <wp:effectExtent b="0" l="0" r="0" t="0"/>
                <wp:wrapNone/>
                <wp:docPr id="1888331098"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0" cy="453224"/>
                        </a:xfrm>
                        <a:prstGeom prst="rect"/>
                        <a:ln/>
                      </pic:spPr>
                    </pic:pic>
                  </a:graphicData>
                </a:graphic>
              </wp:anchor>
            </w:drawing>
          </mc:Fallback>
        </mc:AlternateContent>
      </w:r>
    </w:p>
    <w:p w:rsidR="00000000" w:rsidDel="00000000" w:rsidP="00000000" w:rsidRDefault="00000000" w:rsidRPr="00000000" w14:paraId="0000007C">
      <w:pPr>
        <w:pStyle w:val="Heading2"/>
        <w:numPr>
          <w:ilvl w:val="0"/>
          <w:numId w:val="9"/>
        </w:numPr>
        <w:ind w:left="720" w:hanging="360"/>
        <w:rPr>
          <w:rFonts w:ascii="Calibri" w:cs="Calibri" w:eastAsia="Calibri" w:hAnsi="Calibri"/>
          <w:b w:val="1"/>
          <w:color w:val="065f4a"/>
        </w:rPr>
      </w:pPr>
      <w:bookmarkStart w:colFirst="0" w:colLast="0" w:name="_heading=h.iihsiveah0s8" w:id="5"/>
      <w:bookmarkEnd w:id="5"/>
      <w:r w:rsidDel="00000000" w:rsidR="00000000" w:rsidRPr="00000000">
        <w:rPr>
          <w:rFonts w:ascii="Calibri" w:cs="Calibri" w:eastAsia="Calibri" w:hAnsi="Calibri"/>
          <w:b w:val="1"/>
          <w:color w:val="065f4a"/>
          <w:rtl w:val="0"/>
        </w:rPr>
        <w:t xml:space="preserve">Quality assurance expectations</w:t>
      </w:r>
    </w:p>
    <w:p w:rsidR="00000000" w:rsidDel="00000000" w:rsidP="00000000" w:rsidRDefault="00000000" w:rsidRPr="00000000" w14:paraId="000000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 should be proportionate – enough to ensure credibility without overburdening teams. The focus for 2025 is minimum standards and consistency; more advanced assessments will be added from 2026 onward.</w:t>
      </w:r>
    </w:p>
    <w:p w:rsidR="00000000" w:rsidDel="00000000" w:rsidP="00000000" w:rsidRDefault="00000000" w:rsidRPr="00000000" w14:paraId="0000007E">
      <w:pPr>
        <w:spacing w:line="276" w:lineRule="auto"/>
        <w:jc w:val="both"/>
        <w:rPr>
          <w:rFonts w:ascii="Calibri" w:cs="Calibri" w:eastAsia="Calibri" w:hAnsi="Calibri"/>
          <w:sz w:val="22"/>
          <w:szCs w:val="22"/>
        </w:rPr>
      </w:pPr>
      <w:r w:rsidDel="00000000" w:rsidR="00000000" w:rsidRPr="00000000">
        <w:rPr>
          <w:rtl w:val="0"/>
        </w:rPr>
      </w:r>
    </w:p>
    <w:tbl>
      <w:tblPr>
        <w:tblStyle w:val="Table2"/>
        <w:tblW w:w="9016.0" w:type="dxa"/>
        <w:jc w:val="left"/>
        <w:tblBorders>
          <w:top w:color="47d45a" w:space="0" w:sz="4" w:val="single"/>
          <w:left w:color="47d45a" w:space="0" w:sz="4" w:val="single"/>
          <w:bottom w:color="47d45a" w:space="0" w:sz="4" w:val="single"/>
          <w:right w:color="47d45a" w:space="0" w:sz="4" w:val="single"/>
          <w:insideH w:color="47d45a" w:space="0" w:sz="4" w:val="single"/>
          <w:insideV w:color="47d45a" w:space="0" w:sz="4" w:val="single"/>
        </w:tblBorders>
        <w:tblLayout w:type="fixed"/>
        <w:tblLook w:val="04A0"/>
      </w:tblPr>
      <w:tblGrid>
        <w:gridCol w:w="2238"/>
        <w:gridCol w:w="6778"/>
        <w:tblGridChange w:id="0">
          <w:tblGrid>
            <w:gridCol w:w="2238"/>
            <w:gridCol w:w="6778"/>
          </w:tblGrid>
        </w:tblGridChange>
      </w:tblGrid>
      <w:tr>
        <w:trPr>
          <w:cantSplit w:val="0"/>
          <w:tblHeader w:val="0"/>
        </w:trPr>
        <w:tc>
          <w:tcPr>
            <w:tcBorders>
              <w:bottom w:color="56fbd4" w:space="0" w:sz="4" w:val="single"/>
            </w:tcBorders>
            <w:shd w:fill="065f4a" w:val="clear"/>
          </w:tcPr>
          <w:p w:rsidR="00000000" w:rsidDel="00000000" w:rsidP="00000000" w:rsidRDefault="00000000" w:rsidRPr="00000000" w14:paraId="0000007F">
            <w:pPr>
              <w:spacing w:line="276" w:lineRule="auto"/>
              <w:jc w:val="both"/>
              <w:rPr>
                <w:rFonts w:ascii="Calibri" w:cs="Calibri" w:eastAsia="Calibri" w:hAnsi="Calibri"/>
                <w:b w:val="0"/>
                <w:i w:val="1"/>
                <w:sz w:val="20"/>
                <w:szCs w:val="20"/>
              </w:rPr>
            </w:pPr>
            <w:r w:rsidDel="00000000" w:rsidR="00000000" w:rsidRPr="00000000">
              <w:rPr>
                <w:rFonts w:ascii="Calibri" w:cs="Calibri" w:eastAsia="Calibri" w:hAnsi="Calibri"/>
                <w:sz w:val="20"/>
                <w:szCs w:val="20"/>
                <w:rtl w:val="0"/>
              </w:rPr>
              <w:t xml:space="preserve">QA dimension</w:t>
            </w:r>
            <w:r w:rsidDel="00000000" w:rsidR="00000000" w:rsidRPr="00000000">
              <w:rPr>
                <w:rtl w:val="0"/>
              </w:rPr>
            </w:r>
          </w:p>
        </w:tc>
        <w:tc>
          <w:tcPr>
            <w:tcBorders>
              <w:bottom w:color="56fbd4" w:space="0" w:sz="4" w:val="single"/>
            </w:tcBorders>
            <w:shd w:fill="065f4a" w:val="clear"/>
          </w:tcPr>
          <w:p w:rsidR="00000000" w:rsidDel="00000000" w:rsidP="00000000" w:rsidRDefault="00000000" w:rsidRPr="00000000" w14:paraId="00000080">
            <w:pPr>
              <w:spacing w:line="276" w:lineRule="auto"/>
              <w:jc w:val="both"/>
              <w:rPr>
                <w:rFonts w:ascii="Calibri" w:cs="Calibri" w:eastAsia="Calibri" w:hAnsi="Calibri"/>
                <w:b w:val="0"/>
                <w:i w:val="1"/>
                <w:sz w:val="20"/>
                <w:szCs w:val="20"/>
              </w:rPr>
            </w:pPr>
            <w:r w:rsidDel="00000000" w:rsidR="00000000" w:rsidRPr="00000000">
              <w:rPr>
                <w:rFonts w:ascii="Calibri" w:cs="Calibri" w:eastAsia="Calibri" w:hAnsi="Calibri"/>
                <w:sz w:val="20"/>
                <w:szCs w:val="20"/>
                <w:rtl w:val="0"/>
              </w:rPr>
              <w:t xml:space="preserve">2025 expectations</w:t>
            </w:r>
            <w:r w:rsidDel="00000000" w:rsidR="00000000" w:rsidRPr="00000000">
              <w:rPr>
                <w:rtl w:val="0"/>
              </w:rPr>
            </w:r>
          </w:p>
        </w:tc>
      </w:tr>
      <w:tr>
        <w:trPr>
          <w:cantSplit w:val="0"/>
          <w:tblHeader w:val="0"/>
        </w:trPr>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81">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completeness</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82">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Results meet Minimum Data Standards</w:t>
            </w:r>
          </w:p>
        </w:tc>
      </w:tr>
      <w:tr>
        <w:trPr>
          <w:cantSplit w:val="0"/>
          <w:tblHeader w:val="0"/>
        </w:trPr>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83">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Evidence</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84">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least one piece of evidence attached</w:t>
            </w:r>
          </w:p>
        </w:tc>
      </w:tr>
      <w:tr>
        <w:trPr>
          <w:cantSplit w:val="0"/>
          <w:tblHeader w:val="0"/>
        </w:trPr>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85">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Internal review</w:t>
            </w:r>
          </w:p>
        </w:tc>
        <w:tc>
          <w:tcPr>
            <w:tcBorders>
              <w:top w:color="56fbd4" w:space="0" w:sz="4" w:val="single"/>
              <w:left w:color="56fbd4" w:space="0" w:sz="4" w:val="single"/>
              <w:bottom w:color="56fbd4" w:space="0" w:sz="4" w:val="single"/>
              <w:right w:color="56fbd4" w:space="0" w:sz="4" w:val="single"/>
            </w:tcBorders>
            <w:shd w:fill="56fbd4" w:val="clear"/>
          </w:tcPr>
          <w:p w:rsidR="00000000" w:rsidDel="00000000" w:rsidP="00000000" w:rsidRDefault="00000000" w:rsidRPr="00000000" w14:paraId="00000086">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Center MEL FP confirms data before PRMS entry</w:t>
            </w:r>
          </w:p>
        </w:tc>
      </w:tr>
      <w:tr>
        <w:trPr>
          <w:cantSplit w:val="0"/>
          <w:tblHeader w:val="0"/>
        </w:trPr>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87">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 validation</w:t>
            </w:r>
          </w:p>
        </w:tc>
        <w:tc>
          <w:tcPr>
            <w:tcBorders>
              <w:top w:color="56fbd4" w:space="0" w:sz="4" w:val="single"/>
              <w:left w:color="56fbd4" w:space="0" w:sz="4" w:val="single"/>
              <w:bottom w:color="56fbd4" w:space="0" w:sz="4" w:val="single"/>
              <w:right w:color="56fbd4" w:space="0" w:sz="4" w:val="single"/>
            </w:tcBorders>
          </w:tcPr>
          <w:p w:rsidR="00000000" w:rsidDel="00000000" w:rsidP="00000000" w:rsidRDefault="00000000" w:rsidRPr="00000000" w14:paraId="00000088">
            <w:pPr>
              <w:spacing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Results checked (relevant to TOC, no duplication, etc.) before being approved and submitted in the PRMS</w:t>
            </w:r>
          </w:p>
        </w:tc>
      </w:tr>
    </w:tbl>
    <w:p w:rsidR="00000000" w:rsidDel="00000000" w:rsidP="00000000" w:rsidRDefault="00000000" w:rsidRPr="00000000" w14:paraId="00000089">
      <w:pPr>
        <w:jc w:val="both"/>
        <w:rPr>
          <w:sz w:val="22"/>
          <w:szCs w:val="22"/>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sz w:val="22"/>
          <w:szCs w:val="22"/>
        </w:rPr>
      </w:pPr>
      <w:r w:rsidDel="00000000" w:rsidR="00000000" w:rsidRPr="00000000">
        <w:rPr>
          <w:rFonts w:ascii="Aptos" w:cs="Aptos" w:eastAsia="Aptos" w:hAnsi="Aptos"/>
          <w:sz w:val="22"/>
          <w:szCs w:val="22"/>
          <w:rtl w:val="0"/>
        </w:rPr>
        <w:t xml:space="preserve">To </w:t>
      </w:r>
      <w:r w:rsidDel="00000000" w:rsidR="00000000" w:rsidRPr="00000000">
        <w:rPr>
          <w:rFonts w:ascii="Calibri" w:cs="Calibri" w:eastAsia="Calibri" w:hAnsi="Calibri"/>
          <w:sz w:val="22"/>
          <w:szCs w:val="22"/>
          <w:rtl w:val="0"/>
        </w:rPr>
        <w:t xml:space="preserve">provide a full picture of CGIAR’s contributions in the Technical Reports, results will be presented together in the narrative and graphs, while clearly indicating the QA level applied. </w:t>
      </w:r>
    </w:p>
    <w:p w:rsidR="00000000" w:rsidDel="00000000" w:rsidP="00000000" w:rsidRDefault="00000000" w:rsidRPr="00000000" w14:paraId="0000008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2"/>
        <w:numPr>
          <w:ilvl w:val="0"/>
          <w:numId w:val="9"/>
        </w:numPr>
        <w:ind w:left="720" w:hanging="360"/>
        <w:rPr>
          <w:rFonts w:ascii="Calibri" w:cs="Calibri" w:eastAsia="Calibri" w:hAnsi="Calibri"/>
          <w:b w:val="1"/>
          <w:color w:val="065f4a"/>
        </w:rPr>
      </w:pPr>
      <w:bookmarkStart w:colFirst="0" w:colLast="0" w:name="_heading=h.h9uptngu3xtt" w:id="6"/>
      <w:bookmarkEnd w:id="6"/>
      <w:r w:rsidDel="00000000" w:rsidR="00000000" w:rsidRPr="00000000">
        <w:rPr>
          <w:rFonts w:ascii="Calibri" w:cs="Calibri" w:eastAsia="Calibri" w:hAnsi="Calibri"/>
          <w:b w:val="1"/>
          <w:color w:val="065f4a"/>
          <w:rtl w:val="0"/>
        </w:rPr>
        <w:t xml:space="preserve">FAQ on reporting W3/bilateral results</w:t>
      </w:r>
    </w:p>
    <w:p w:rsidR="00000000" w:rsidDel="00000000" w:rsidP="00000000" w:rsidRDefault="00000000" w:rsidRPr="00000000" w14:paraId="0000008D">
      <w:pPr>
        <w:jc w:val="both"/>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65f4a"/>
          <w:sz w:val="22"/>
          <w:szCs w:val="22"/>
          <w:u w:val="none"/>
          <w:shd w:fill="auto" w:val="clear"/>
          <w:vertAlign w:val="baseline"/>
          <w:rtl w:val="0"/>
        </w:rPr>
        <w:t xml:space="preserve">What is the reporting deadline for W3/bilateral results for 2025 Technical Reporting?</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W3/bilateral results can be submitted in PRMS </w:t>
      </w:r>
      <w:r w:rsidDel="00000000" w:rsidR="00000000" w:rsidRPr="00000000">
        <w:rPr>
          <w:rFonts w:ascii="Calibri" w:cs="Calibri" w:eastAsia="Calibri" w:hAnsi="Calibri"/>
          <w:b w:val="1"/>
          <w:sz w:val="22"/>
          <w:szCs w:val="22"/>
          <w:rtl w:val="0"/>
        </w:rPr>
        <w:t xml:space="preserve">until late February 2026</w:t>
      </w:r>
      <w:r w:rsidDel="00000000" w:rsidR="00000000" w:rsidRPr="00000000">
        <w:rPr>
          <w:rFonts w:ascii="Calibri" w:cs="Calibri" w:eastAsia="Calibri" w:hAnsi="Calibri"/>
          <w:sz w:val="22"/>
          <w:szCs w:val="22"/>
          <w:rtl w:val="0"/>
        </w:rPr>
        <w:t xml:space="preserve">. Unlike pooled (W1/W2) results, they do not go through CGIAR’s central QA process, so the reporting window remains open longer (the deadline for pooled W1/W2 results is the end of January 2026). </w:t>
      </w:r>
    </w:p>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65f4a"/>
          <w:sz w:val="22"/>
          <w:szCs w:val="22"/>
          <w:u w:val="none"/>
          <w:shd w:fill="auto" w:val="clear"/>
          <w:vertAlign w:val="baseline"/>
          <w:rtl w:val="0"/>
        </w:rPr>
        <w:t xml:space="preserve">Can we report on results from bilateral projects that are not mapped to a P/A?</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2025, reporting of W3/bilateral results should focus on projects mapped to and agreed by the Science Program/Accelerator. </w:t>
      </w:r>
    </w:p>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65f4a"/>
          <w:sz w:val="22"/>
          <w:szCs w:val="22"/>
          <w:u w:val="none"/>
          <w:shd w:fill="auto" w:val="clear"/>
          <w:vertAlign w:val="baseline"/>
        </w:rPr>
      </w:pPr>
      <w:r w:rsidDel="00000000" w:rsidR="00000000" w:rsidRPr="00000000">
        <w:rPr>
          <w:rFonts w:ascii="Calibri" w:cs="Calibri" w:eastAsia="Calibri" w:hAnsi="Calibri"/>
          <w:b w:val="1"/>
          <w:i w:val="0"/>
          <w:smallCaps w:val="0"/>
          <w:strike w:val="0"/>
          <w:color w:val="065f4a"/>
          <w:sz w:val="22"/>
          <w:szCs w:val="22"/>
          <w:u w:val="none"/>
          <w:shd w:fill="auto" w:val="clear"/>
          <w:vertAlign w:val="baseline"/>
          <w:rtl w:val="0"/>
        </w:rPr>
        <w:t xml:space="preserve">If I want to report more information on a result (beyond the MDS), is this possible?</w:t>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While this year all W3/bilateral results should meet the Minimum Data Standards (MDS), you are welcome to provide additional information beyond the required data fields.</w:t>
      </w:r>
    </w:p>
    <w:p w:rsidR="00000000" w:rsidDel="00000000" w:rsidP="00000000" w:rsidRDefault="00000000" w:rsidRPr="00000000" w14:paraId="0000009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65f4a"/>
          <w:sz w:val="22"/>
          <w:szCs w:val="22"/>
          <w:u w:val="none"/>
          <w:shd w:fill="auto" w:val="clear"/>
          <w:vertAlign w:val="baseline"/>
        </w:rPr>
      </w:pPr>
      <w:r w:rsidDel="00000000" w:rsidR="00000000" w:rsidRPr="00000000">
        <w:rPr>
          <w:rFonts w:ascii="Calibri" w:cs="Calibri" w:eastAsia="Calibri" w:hAnsi="Calibri"/>
          <w:b w:val="1"/>
          <w:i w:val="0"/>
          <w:smallCaps w:val="0"/>
          <w:strike w:val="0"/>
          <w:color w:val="065f4a"/>
          <w:sz w:val="22"/>
          <w:szCs w:val="22"/>
          <w:u w:val="none"/>
          <w:shd w:fill="auto" w:val="clear"/>
          <w:vertAlign w:val="baseline"/>
          <w:rtl w:val="0"/>
        </w:rPr>
        <w:t xml:space="preserve">If a bilateral project is mapped to more than one P/A, how should results be reported to avoid duplication?</w:t>
      </w:r>
    </w:p>
    <w:p w:rsidR="00000000" w:rsidDel="00000000" w:rsidP="00000000" w:rsidRDefault="00000000" w:rsidRPr="00000000" w14:paraId="00000098">
      <w:pPr>
        <w:jc w:val="both"/>
        <w:rPr>
          <w:rFonts w:ascii="Calibri" w:cs="Calibri" w:eastAsia="Calibri" w:hAnsi="Calibri"/>
          <w:sz w:val="21"/>
          <w:szCs w:val="21"/>
        </w:rPr>
      </w:pPr>
      <w:r w:rsidDel="00000000" w:rsidR="00000000" w:rsidRPr="00000000">
        <w:rPr>
          <w:rFonts w:ascii="Calibri" w:cs="Calibri" w:eastAsia="Calibri" w:hAnsi="Calibri"/>
          <w:sz w:val="22"/>
          <w:szCs w:val="22"/>
          <w:rtl w:val="0"/>
        </w:rPr>
        <w:t xml:space="preserve">Results should be reported under the P/A with which the project aligns most closely – that is, where it contributes to the objectives, impact pathway, or thematic scope of the P/A’s theory of change and research agenda. For any additional P/As to which the W3/bilateral project is mapped, these P/As can be recorded in the PRMS as internal collaborators on the result.</w:t>
      </w:r>
      <w:r w:rsidDel="00000000" w:rsidR="00000000" w:rsidRPr="00000000">
        <w:rPr>
          <w:rtl w:val="0"/>
        </w:rPr>
      </w:r>
    </w:p>
    <w:p w:rsidR="00000000" w:rsidDel="00000000" w:rsidP="00000000" w:rsidRDefault="00000000" w:rsidRPr="00000000" w14:paraId="00000099">
      <w:pPr>
        <w:spacing w:line="276"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sz w:val="21"/>
          <w:szCs w:val="21"/>
          <w:highlight w:val="white"/>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color w:val="065f4a"/>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rFonts w:ascii="Calibri" w:cs="Calibri" w:eastAsia="Calibri" w:hAnsi="Calibri"/>
          <w:b w:val="1"/>
          <w:color w:val="065f4a"/>
        </w:rPr>
      </w:pPr>
      <w:bookmarkStart w:colFirst="0" w:colLast="0" w:name="_heading=h.5xmjeetv2jiv" w:id="7"/>
      <w:bookmarkEnd w:id="7"/>
      <w:r w:rsidDel="00000000" w:rsidR="00000000" w:rsidRPr="00000000">
        <w:rPr>
          <w:rFonts w:ascii="Calibri" w:cs="Calibri" w:eastAsia="Calibri" w:hAnsi="Calibri"/>
          <w:b w:val="1"/>
          <w:color w:val="065f4a"/>
          <w:rtl w:val="0"/>
        </w:rPr>
        <w:t xml:space="preserve">Annex 1: Minimum Data Standard (MDS) for outputs and outcomes</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a subset of the Program/Accelerator reporting standards that will be required of W3 and bilateral projects.</w:t>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Generic</w:t>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description</w:t>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 to Program/Accelerator Theory of Change</w:t>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Internal collaboration (link to Center, Program, Accelerator, Project)</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Partner collaboration</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Geographic focus (global/region/country/sub-national)</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Outcome</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Policy Change</w:t>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Stage</w:t>
      </w:r>
    </w:p>
    <w:p w:rsidR="00000000" w:rsidDel="00000000" w:rsidP="00000000" w:rsidRDefault="00000000" w:rsidRPr="00000000" w14:paraId="000000A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Owner</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Use</w:t>
      </w:r>
    </w:p>
    <w:p w:rsidR="00000000" w:rsidDel="00000000" w:rsidP="00000000" w:rsidRDefault="00000000" w:rsidRPr="00000000" w14:paraId="000000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type</w:t>
      </w:r>
    </w:p>
    <w:p w:rsidR="00000000" w:rsidDel="00000000" w:rsidP="00000000" w:rsidRDefault="00000000" w:rsidRPr="00000000" w14:paraId="000000B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Number of people using (disaggregated by gender/youth)</w:t>
      </w:r>
    </w:p>
    <w:p w:rsidR="00000000" w:rsidDel="00000000" w:rsidP="00000000" w:rsidRDefault="00000000" w:rsidRPr="00000000" w14:paraId="000000B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quantitative measure of use (e.g. # hectares)</w:t>
      </w:r>
    </w:p>
    <w:p w:rsidR="00000000" w:rsidDel="00000000" w:rsidP="00000000" w:rsidRDefault="00000000" w:rsidRPr="00000000" w14:paraId="000000B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Estimated USD spend</w:t>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0B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Capacity Development</w:t>
      </w:r>
    </w:p>
    <w:p w:rsidR="00000000" w:rsidDel="00000000" w:rsidP="00000000" w:rsidRDefault="00000000" w:rsidRPr="00000000" w14:paraId="000000B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people trained (gender disaggregated)</w:t>
      </w:r>
    </w:p>
    <w:p w:rsidR="00000000" w:rsidDel="00000000" w:rsidP="00000000" w:rsidRDefault="00000000" w:rsidRPr="00000000" w14:paraId="000000B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Length of training</w:t>
      </w:r>
    </w:p>
    <w:p w:rsidR="00000000" w:rsidDel="00000000" w:rsidP="00000000" w:rsidRDefault="00000000" w:rsidRPr="00000000" w14:paraId="000000B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Delivery method</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Product</w:t>
      </w:r>
    </w:p>
    <w:p w:rsidR="00000000" w:rsidDel="00000000" w:rsidP="00000000" w:rsidRDefault="00000000" w:rsidRPr="00000000" w14:paraId="000000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type including Peer Review Y/N</w:t>
      </w:r>
    </w:p>
    <w:p w:rsidR="00000000" w:rsidDel="00000000" w:rsidP="00000000" w:rsidRDefault="00000000" w:rsidRPr="00000000" w14:paraId="000000B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Publication date</w:t>
      </w:r>
    </w:p>
    <w:p w:rsidR="00000000" w:rsidDel="00000000" w:rsidP="00000000" w:rsidRDefault="00000000" w:rsidRPr="00000000" w14:paraId="000000B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w:t>
      </w:r>
    </w:p>
    <w:p w:rsidR="00000000" w:rsidDel="00000000" w:rsidP="00000000" w:rsidRDefault="00000000" w:rsidRPr="00000000" w14:paraId="000000B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ISI</w:t>
      </w:r>
    </w:p>
    <w:p w:rsidR="00000000" w:rsidDel="00000000" w:rsidP="00000000" w:rsidRDefault="00000000" w:rsidRPr="00000000" w14:paraId="000000B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0B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License</w:t>
      </w:r>
    </w:p>
    <w:p w:rsidR="00000000" w:rsidDel="00000000" w:rsidP="00000000" w:rsidRDefault="00000000" w:rsidRPr="00000000" w14:paraId="000000C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AGROVOC</w:t>
      </w:r>
    </w:p>
    <w:p w:rsidR="00000000" w:rsidDel="00000000" w:rsidP="00000000" w:rsidRDefault="00000000" w:rsidRPr="00000000" w14:paraId="000000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Development</w:t>
      </w:r>
    </w:p>
    <w:p w:rsidR="00000000" w:rsidDel="00000000" w:rsidP="00000000" w:rsidRDefault="00000000" w:rsidRPr="00000000" w14:paraId="000000C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type</w:t>
      </w:r>
    </w:p>
    <w:p w:rsidR="00000000" w:rsidDel="00000000" w:rsidP="00000000" w:rsidRDefault="00000000" w:rsidRPr="00000000" w14:paraId="000000C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readiness level</w:t>
      </w:r>
    </w:p>
    <w:p w:rsidR="00000000" w:rsidDel="00000000" w:rsidP="00000000" w:rsidRDefault="00000000" w:rsidRPr="00000000" w14:paraId="000000C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contact point (name/contact)</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rPr>
          <w:rFonts w:ascii="Calibri" w:cs="Calibri" w:eastAsia="Calibri" w:hAnsi="Calibri"/>
          <w:b w:val="1"/>
          <w:color w:val="065f4a"/>
        </w:rPr>
      </w:pPr>
      <w:bookmarkStart w:colFirst="0" w:colLast="0" w:name="_heading=h.fuawf6sxquok" w:id="8"/>
      <w:bookmarkEnd w:id="8"/>
      <w:r w:rsidDel="00000000" w:rsidR="00000000" w:rsidRPr="00000000">
        <w:rPr>
          <w:rFonts w:ascii="Calibri" w:cs="Calibri" w:eastAsia="Calibri" w:hAnsi="Calibri"/>
          <w:b w:val="1"/>
          <w:color w:val="065f4a"/>
          <w:rtl w:val="0"/>
        </w:rPr>
        <w:t xml:space="preserve">Annex 2: Example text for inclusion in Technical Reports</w:t>
      </w:r>
    </w:p>
    <w:p w:rsidR="00000000" w:rsidDel="00000000" w:rsidP="00000000" w:rsidRDefault="00000000" w:rsidRPr="00000000" w14:paraId="000000CA">
      <w:pPr>
        <w:jc w:val="both"/>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This report integrates both pooled (W1/W2) and mapped W3/bilateral project results.</w:t>
        <w:br w:type="textWrapping"/>
      </w:r>
    </w:p>
    <w:p w:rsidR="00000000" w:rsidDel="00000000" w:rsidP="00000000" w:rsidRDefault="00000000" w:rsidRPr="00000000" w14:paraId="000000CB">
      <w:pPr>
        <w:jc w:val="both"/>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Pooled results have undergone CGIAR’s quality assurance (QA) process, while W3/bilateral results have been quality assessed at the Center level and reviewed by Programs/Accelerators for alignment and completeness, in line with CGIAR’s Minimum Data Standards (MDS) for outputs and outcomes.</w:t>
      </w:r>
    </w:p>
    <w:p w:rsidR="00000000" w:rsidDel="00000000" w:rsidP="00000000" w:rsidRDefault="00000000" w:rsidRPr="00000000" w14:paraId="000000CC">
      <w:pPr>
        <w:jc w:val="both"/>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br w:type="textWrapping"/>
        <w:t xml:space="preserve">Center-level QA may use different standards, and data consistency may vary across Centers and indicators.</w:t>
      </w:r>
    </w:p>
    <w:p w:rsidR="00000000" w:rsidDel="00000000" w:rsidP="00000000" w:rsidRDefault="00000000" w:rsidRPr="00000000" w14:paraId="000000CD">
      <w:pPr>
        <w:jc w:val="both"/>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tables and graphs, W3/bilateral contributions will be shown using distinct colors or shading, with footnotes and legends explaining the difference.</w:t>
      </w:r>
    </w:p>
    <w:p w:rsidR="00000000" w:rsidDel="00000000" w:rsidP="00000000" w:rsidRDefault="00000000" w:rsidRPr="00000000" w14:paraId="000000C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2025 is recognized as a transition year. CGIAR will work with Centers and Programs/Accelerators over 2026-2030 to progressively align QA processes, improve data consistency, and expand automation, so that future reports present a fully harmonized and robust Portfolio view.</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tl w:val="0"/>
        </w:rPr>
      </w:r>
    </w:p>
    <w:sectPr>
      <w:footerReference r:id="rId19" w:type="default"/>
      <w:footerReference r:id="rId2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S Gothic"/>
  <w:font w:name="Times New Roman"/>
  <w:font w:name="Courier New"/>
  <w:font w:name="Play">
    <w:embedRegular w:fontKey="{00000000-0000-0000-0000-000000000000}" r:id="rId1" w:subsetted="0"/>
    <w:embedBold w:fontKey="{00000000-0000-0000-0000-000000000000}" r:id="rId2" w:subsetted="0"/>
  </w:font>
  <w:font w:name="Aptos"/>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513"/>
        <w:tab w:val="right" w:leader="none" w:pos="9026"/>
      </w:tabs>
      <w:ind w:right="360"/>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Guidance on integration of W3/Bilateral results into Technical Reporting</w:t>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513"/>
        <w:tab w:val="right" w:leader="none" w:pos="9026"/>
      </w:tabs>
      <w:ind w:right="360"/>
      <w:rPr>
        <w:rFonts w:ascii="Calibri" w:cs="Calibri" w:eastAsia="Calibri" w:hAnsi="Calibri"/>
        <w:i w:val="1"/>
        <w:sz w:val="20"/>
        <w:szCs w:val="20"/>
      </w:rPr>
    </w:pPr>
    <w:r w:rsidDel="00000000" w:rsidR="00000000" w:rsidRPr="00000000">
      <w:rPr>
        <w:rFonts w:ascii="Calibri" w:cs="Calibri" w:eastAsia="Calibri" w:hAnsi="Calibri"/>
        <w:i w:val="1"/>
        <w:color w:val="000000"/>
        <w:sz w:val="20"/>
        <w:szCs w:val="20"/>
        <w:rtl w:val="0"/>
      </w:rPr>
      <w:t xml:space="preserve">Version </w:t>
    </w: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i w:val="1"/>
        <w:sz w:val="20"/>
        <w:szCs w:val="20"/>
        <w:rtl w:val="0"/>
      </w:rPr>
      <w:t xml:space="preserve">September 2025</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513"/>
        <w:tab w:val="right" w:leader="none" w:pos="9026"/>
      </w:tabs>
      <w:ind w:right="360"/>
      <w:jc w:val="right"/>
      <w:rPr>
        <w:rFonts w:ascii="Calibri" w:cs="Calibri" w:eastAsia="Calibri" w:hAnsi="Calibri"/>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dashboard is based on the 80% of W3/bilateral projects (by Center $ value) mapped to and agreed by the Science Programs and Accelerators. It is currently being updated to reflect the latest decisions on a few outstanding disagreements and will serve as the single source of truth until the next mapping exercise in 2026.</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rFonts w:ascii="Calibri" w:cs="Calibri" w:eastAsia="Calibri" w:hAnsi="Calibri"/>
        <w:b w:val="1"/>
        <w:color w:val="065f4a"/>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4"/>
      <w:numFmt w:val="upperLetter"/>
      <w:lvlText w:val="%3."/>
      <w:lvlJc w:val="left"/>
      <w:pPr>
        <w:ind w:left="2700" w:hanging="36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E65F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5F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5F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00" w:customStyle="1">
    <w:name w:val="TableNormal0"/>
    <w:tblPr>
      <w:tblCellMar>
        <w:top w:w="0.0" w:type="dxa"/>
        <w:left w:w="0.0" w:type="dxa"/>
        <w:bottom w:w="0.0" w:type="dxa"/>
        <w:right w:w="0.0" w:type="dxa"/>
      </w:tblCellMar>
    </w:tblPr>
  </w:style>
  <w:style w:type="table" w:styleId="TableNormal1" w:customStyle="1">
    <w:name w:val="TableNormal1"/>
    <w:tblPr>
      <w:tblCellMar>
        <w:top w:w="0.0" w:type="dxa"/>
        <w:left w:w="0.0" w:type="dxa"/>
        <w:bottom w:w="0.0" w:type="dxa"/>
        <w:right w:w="0.0" w:type="dxa"/>
      </w:tblCellMar>
    </w:tblPr>
  </w:style>
  <w:style w:type="table" w:styleId="TableNormal2" w:customStyle="1">
    <w:name w:val="TableNormal2"/>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FE65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E65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E65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E65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E65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65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5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5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5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5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5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5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5FD"/>
    <w:rPr>
      <w:i w:val="1"/>
      <w:iCs w:val="1"/>
      <w:color w:val="404040" w:themeColor="text1" w:themeTint="0000BF"/>
    </w:rPr>
  </w:style>
  <w:style w:type="paragraph" w:styleId="ListParagraph">
    <w:name w:val="List Paragraph"/>
    <w:basedOn w:val="Normal"/>
    <w:uiPriority w:val="34"/>
    <w:qFormat w:val="1"/>
    <w:rsid w:val="00FE65FD"/>
    <w:pPr>
      <w:ind w:left="720"/>
      <w:contextualSpacing w:val="1"/>
    </w:pPr>
  </w:style>
  <w:style w:type="character" w:styleId="IntenseEmphasis">
    <w:name w:val="Intense Emphasis"/>
    <w:basedOn w:val="DefaultParagraphFont"/>
    <w:uiPriority w:val="21"/>
    <w:qFormat w:val="1"/>
    <w:rsid w:val="00FE65FD"/>
    <w:rPr>
      <w:i w:val="1"/>
      <w:iCs w:val="1"/>
      <w:color w:val="0f4761" w:themeColor="accent1" w:themeShade="0000BF"/>
    </w:rPr>
  </w:style>
  <w:style w:type="paragraph" w:styleId="IntenseQuote">
    <w:name w:val="Intense Quote"/>
    <w:basedOn w:val="Normal"/>
    <w:next w:val="Normal"/>
    <w:link w:val="IntenseQuoteChar"/>
    <w:uiPriority w:val="30"/>
    <w:qFormat w:val="1"/>
    <w:rsid w:val="00FE65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65FD"/>
    <w:rPr>
      <w:i w:val="1"/>
      <w:iCs w:val="1"/>
      <w:color w:val="0f4761" w:themeColor="accent1" w:themeShade="0000BF"/>
    </w:rPr>
  </w:style>
  <w:style w:type="character" w:styleId="IntenseReference">
    <w:name w:val="Intense Reference"/>
    <w:basedOn w:val="DefaultParagraphFont"/>
    <w:uiPriority w:val="32"/>
    <w:qFormat w:val="1"/>
    <w:rsid w:val="00FE65FD"/>
    <w:rPr>
      <w:b w:val="1"/>
      <w:bCs w:val="1"/>
      <w:smallCaps w:val="1"/>
      <w:color w:val="0f4761" w:themeColor="accent1" w:themeShade="0000BF"/>
      <w:spacing w:val="5"/>
    </w:rPr>
  </w:style>
  <w:style w:type="character" w:styleId="im" w:customStyle="1">
    <w:name w:val="im"/>
    <w:basedOn w:val="DefaultParagraphFont"/>
    <w:rsid w:val="00FE65FD"/>
  </w:style>
  <w:style w:type="character" w:styleId="Hyperlink">
    <w:name w:val="Hyperlink"/>
    <w:basedOn w:val="DefaultParagraphFont"/>
    <w:uiPriority w:val="99"/>
    <w:unhideWhenUsed w:val="1"/>
    <w:rsid w:val="00FE65FD"/>
    <w:rPr>
      <w:color w:val="0000ff"/>
      <w:u w:val="single"/>
    </w:rPr>
  </w:style>
  <w:style w:type="character" w:styleId="FollowedHyperlink">
    <w:name w:val="FollowedHyperlink"/>
    <w:basedOn w:val="DefaultParagraphFont"/>
    <w:uiPriority w:val="99"/>
    <w:semiHidden w:val="1"/>
    <w:unhideWhenUsed w:val="1"/>
    <w:rsid w:val="00FE65FD"/>
    <w:rPr>
      <w:color w:val="96607d" w:themeColor="followedHyperlink"/>
      <w:u w:val="single"/>
    </w:rPr>
  </w:style>
  <w:style w:type="character" w:styleId="UnresolvedMention">
    <w:name w:val="Unresolved Mention"/>
    <w:basedOn w:val="DefaultParagraphFont"/>
    <w:uiPriority w:val="99"/>
    <w:semiHidden w:val="1"/>
    <w:unhideWhenUsed w:val="1"/>
    <w:rsid w:val="00FE65FD"/>
    <w:rPr>
      <w:color w:val="605e5c"/>
      <w:shd w:color="auto" w:fill="e1dfdd" w:val="clear"/>
    </w:rPr>
  </w:style>
  <w:style w:type="paragraph" w:styleId="NormalWeb">
    <w:name w:val="Normal (Web)"/>
    <w:basedOn w:val="Normal"/>
    <w:uiPriority w:val="99"/>
    <w:unhideWhenUsed w:val="1"/>
    <w:rsid w:val="00FE65FD"/>
    <w:pPr>
      <w:spacing w:after="100" w:afterAutospacing="1" w:before="100" w:beforeAutospacing="1"/>
    </w:pPr>
  </w:style>
  <w:style w:type="character" w:styleId="Strong">
    <w:name w:val="Strong"/>
    <w:basedOn w:val="DefaultParagraphFont"/>
    <w:uiPriority w:val="22"/>
    <w:qFormat w:val="1"/>
    <w:rsid w:val="00FE65FD"/>
    <w:rPr>
      <w:b w:val="1"/>
      <w:bCs w:val="1"/>
    </w:rPr>
  </w:style>
  <w:style w:type="character" w:styleId="apple-converted-space" w:customStyle="1">
    <w:name w:val="apple-converted-space"/>
    <w:basedOn w:val="DefaultParagraphFont"/>
    <w:rsid w:val="00FE65FD"/>
  </w:style>
  <w:style w:type="table" w:styleId="TableGrid">
    <w:name w:val="Table Grid"/>
    <w:basedOn w:val="TableNormal"/>
    <w:uiPriority w:val="39"/>
    <w:rsid w:val="00FE65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E65FD"/>
    <w:rPr>
      <w:sz w:val="16"/>
      <w:szCs w:val="16"/>
    </w:rPr>
  </w:style>
  <w:style w:type="paragraph" w:styleId="CommentText">
    <w:name w:val="annotation text"/>
    <w:basedOn w:val="Normal"/>
    <w:link w:val="CommentTextChar"/>
    <w:uiPriority w:val="99"/>
    <w:unhideWhenUsed w:val="1"/>
    <w:rsid w:val="00FE65FD"/>
    <w:rPr>
      <w:sz w:val="20"/>
      <w:szCs w:val="20"/>
    </w:rPr>
  </w:style>
  <w:style w:type="character" w:styleId="CommentTextChar" w:customStyle="1">
    <w:name w:val="Comment Text Char"/>
    <w:basedOn w:val="DefaultParagraphFont"/>
    <w:link w:val="CommentText"/>
    <w:uiPriority w:val="99"/>
    <w:rsid w:val="00FE65FD"/>
    <w:rPr>
      <w:rFonts w:ascii="Times New Roman" w:cs="Times New Roman" w:eastAsia="Times New Roman" w:hAnsi="Times New Roman"/>
      <w:kern w:val="0"/>
      <w:sz w:val="20"/>
      <w:szCs w:val="20"/>
      <w:lang w:eastAsia="en-GB"/>
    </w:rPr>
  </w:style>
  <w:style w:type="paragraph" w:styleId="CommentSubject">
    <w:name w:val="annotation subject"/>
    <w:basedOn w:val="CommentText"/>
    <w:next w:val="CommentText"/>
    <w:link w:val="CommentSubjectChar"/>
    <w:uiPriority w:val="99"/>
    <w:semiHidden w:val="1"/>
    <w:unhideWhenUsed w:val="1"/>
    <w:rsid w:val="00FE65FD"/>
    <w:rPr>
      <w:b w:val="1"/>
      <w:bCs w:val="1"/>
    </w:rPr>
  </w:style>
  <w:style w:type="character" w:styleId="CommentSubjectChar" w:customStyle="1">
    <w:name w:val="Comment Subject Char"/>
    <w:basedOn w:val="CommentTextChar"/>
    <w:link w:val="CommentSubject"/>
    <w:uiPriority w:val="99"/>
    <w:semiHidden w:val="1"/>
    <w:rsid w:val="00FE65FD"/>
    <w:rPr>
      <w:rFonts w:ascii="Times New Roman" w:cs="Times New Roman" w:eastAsia="Times New Roman" w:hAnsi="Times New Roman"/>
      <w:b w:val="1"/>
      <w:bCs w:val="1"/>
      <w:kern w:val="0"/>
      <w:sz w:val="20"/>
      <w:szCs w:val="20"/>
      <w:lang w:eastAsia="en-GB"/>
    </w:rPr>
  </w:style>
  <w:style w:type="numbering" w:styleId="CurrentList1" w:customStyle="1">
    <w:name w:val="Current List1"/>
    <w:uiPriority w:val="99"/>
    <w:rsid w:val="00FE65FD"/>
  </w:style>
  <w:style w:type="paragraph" w:styleId="Revision">
    <w:name w:val="Revision"/>
    <w:hidden w:val="1"/>
    <w:uiPriority w:val="99"/>
    <w:semiHidden w:val="1"/>
    <w:rsid w:val="002F2FCD"/>
  </w:style>
  <w:style w:type="paragraph" w:styleId="Header">
    <w:name w:val="header"/>
    <w:basedOn w:val="Normal"/>
    <w:link w:val="HeaderChar"/>
    <w:uiPriority w:val="99"/>
    <w:unhideWhenUsed w:val="1"/>
    <w:rsid w:val="00F16BCC"/>
    <w:pPr>
      <w:tabs>
        <w:tab w:val="center" w:pos="4513"/>
        <w:tab w:val="right" w:pos="9026"/>
      </w:tabs>
    </w:pPr>
  </w:style>
  <w:style w:type="character" w:styleId="HeaderChar" w:customStyle="1">
    <w:name w:val="Header Char"/>
    <w:basedOn w:val="DefaultParagraphFont"/>
    <w:link w:val="Header"/>
    <w:uiPriority w:val="99"/>
    <w:rsid w:val="00F16BCC"/>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F16BCC"/>
    <w:pPr>
      <w:tabs>
        <w:tab w:val="center" w:pos="4513"/>
        <w:tab w:val="right" w:pos="9026"/>
      </w:tabs>
    </w:pPr>
  </w:style>
  <w:style w:type="character" w:styleId="FooterChar" w:customStyle="1">
    <w:name w:val="Footer Char"/>
    <w:basedOn w:val="DefaultParagraphFont"/>
    <w:link w:val="Footer"/>
    <w:uiPriority w:val="99"/>
    <w:rsid w:val="00F16BCC"/>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A6C1B"/>
  </w:style>
  <w:style w:type="character" w:styleId="Mention">
    <w:name w:val="Mention"/>
    <w:basedOn w:val="DefaultParagraphFont"/>
    <w:uiPriority w:val="99"/>
    <w:unhideWhenUsed w:val="1"/>
    <w:rsid w:val="007F36CD"/>
    <w:rPr>
      <w:color w:val="2b579a"/>
      <w:shd w:color="auto" w:fill="e6e6e6"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GridTable2">
    <w:name w:val="Grid Table 2"/>
    <w:basedOn w:val="TableNormal"/>
    <w:uiPriority w:val="47"/>
    <w:rsid w:val="00AC5999"/>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3">
    <w:name w:val="Grid Table 4 Accent 3"/>
    <w:basedOn w:val="TableNormal"/>
    <w:uiPriority w:val="49"/>
    <w:rsid w:val="00AC5999"/>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bCs w:val="1"/>
        <w:color w:val="ffffff" w:themeColor="background1"/>
      </w:rPr>
      <w:tblPr/>
      <w:tcPr>
        <w:tcBorders>
          <w:top w:color="196b24" w:space="0" w:sz="4" w:themeColor="accent3" w:val="single"/>
          <w:left w:color="196b24" w:space="0" w:sz="4" w:themeColor="accent3" w:val="single"/>
          <w:bottom w:color="196b24" w:space="0" w:sz="4" w:themeColor="accent3" w:val="single"/>
          <w:right w:color="196b24" w:space="0" w:sz="4" w:themeColor="accent3" w:val="single"/>
          <w:insideH w:space="0" w:sz="0" w:val="nil"/>
          <w:insideV w:space="0" w:sz="0" w:val="nil"/>
        </w:tcBorders>
        <w:shd w:color="auto" w:fill="196b24" w:themeFill="accent3" w:val="clear"/>
      </w:tcPr>
    </w:tblStylePr>
    <w:tblStylePr w:type="lastRow">
      <w:rPr>
        <w:b w:val="1"/>
        <w:bCs w:val="1"/>
      </w:rPr>
      <w:tblPr/>
      <w:tcPr>
        <w:tcBorders>
          <w:top w:color="196b24" w:space="0" w:sz="4" w:themeColor="accent3" w:val="double"/>
        </w:tcBorders>
      </w:tcPr>
    </w:tblStylePr>
    <w:tblStylePr w:type="firstCol">
      <w:rPr>
        <w:b w:val="1"/>
        <w:bCs w:val="1"/>
      </w:rPr>
    </w:tblStylePr>
    <w:tblStylePr w:type="lastCol">
      <w:rPr>
        <w:b w:val="1"/>
        <w:bCs w:val="1"/>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PlainTable5">
    <w:name w:val="Plain Table 5"/>
    <w:basedOn w:val="TableNormal"/>
    <w:uiPriority w:val="45"/>
    <w:rsid w:val="00165ED1"/>
    <w:rPr>
      <w:rFonts w:asciiTheme="minorHAnsi" w:cstheme="minorBidi" w:eastAsiaTheme="minorHAnsi" w:hAnsiTheme="minorHAnsi"/>
      <w:kern w:val="2"/>
      <w:lang w:eastAsia="en-US" w:val="en-US"/>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OC2">
    <w:name w:val="toc 2"/>
    <w:basedOn w:val="Normal"/>
    <w:next w:val="Normal"/>
    <w:autoRedefine w:val="1"/>
    <w:uiPriority w:val="39"/>
    <w:unhideWhenUsed w:val="1"/>
    <w:rsid w:val="007A6502"/>
    <w:pPr>
      <w:spacing w:after="100"/>
      <w:ind w:left="240"/>
    </w:pPr>
  </w:style>
  <w:style w:type="paragraph" w:styleId="FootnoteText">
    <w:name w:val="footnote text"/>
    <w:basedOn w:val="Normal"/>
    <w:link w:val="FootnoteTextChar"/>
    <w:uiPriority w:val="99"/>
    <w:semiHidden w:val="1"/>
    <w:unhideWhenUsed w:val="1"/>
    <w:rsid w:val="006D3ACE"/>
    <w:rPr>
      <w:sz w:val="20"/>
      <w:szCs w:val="20"/>
    </w:rPr>
  </w:style>
  <w:style w:type="character" w:styleId="FootnoteTextChar" w:customStyle="1">
    <w:name w:val="Footnote Text Char"/>
    <w:basedOn w:val="DefaultParagraphFont"/>
    <w:link w:val="FootnoteText"/>
    <w:uiPriority w:val="99"/>
    <w:semiHidden w:val="1"/>
    <w:rsid w:val="006D3ACE"/>
    <w:rPr>
      <w:sz w:val="20"/>
      <w:szCs w:val="20"/>
    </w:rPr>
  </w:style>
  <w:style w:type="character" w:styleId="FootnoteReference">
    <w:name w:val="footnote reference"/>
    <w:basedOn w:val="DefaultParagraphFont"/>
    <w:uiPriority w:val="99"/>
    <w:semiHidden w:val="1"/>
    <w:unhideWhenUsed w:val="1"/>
    <w:rsid w:val="006D3ACE"/>
    <w:rPr>
      <w:vertAlign w:val="superscript"/>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1f0c8" w:val="clear"/>
      </w:tcPr>
    </w:tblStylePr>
    <w:tblStylePr w:type="band1Vert">
      <w:tcPr>
        <w:shd w:fill="c1f0c8" w:val="clear"/>
      </w:tcPr>
    </w:tblStylePr>
    <w:tblStylePr w:type="firstCol">
      <w:rPr>
        <w:b w:val="1"/>
      </w:rPr>
    </w:tblStylePr>
    <w:tblStylePr w:type="firstRow">
      <w:rPr>
        <w:b w:val="1"/>
        <w:color w:val="ffffff"/>
      </w:rPr>
      <w:tcPr>
        <w:tcBorders>
          <w:top w:color="196b24" w:space="0" w:sz="4" w:val="single"/>
          <w:left w:color="196b24" w:space="0" w:sz="4" w:val="single"/>
          <w:bottom w:color="196b24" w:space="0" w:sz="4" w:val="single"/>
          <w:right w:color="196b24" w:space="0" w:sz="4" w:val="single"/>
          <w:insideH w:color="000000" w:space="0" w:sz="0" w:val="nil"/>
          <w:insideV w:color="000000" w:space="0" w:sz="0" w:val="nil"/>
        </w:tcBorders>
        <w:shd w:fill="196b24" w:val="clear"/>
      </w:tcPr>
    </w:tblStylePr>
    <w:tblStylePr w:type="lastCol">
      <w:rPr>
        <w:b w:val="1"/>
      </w:rPr>
    </w:tblStylePr>
    <w:tblStylePr w:type="lastRow">
      <w:rPr>
        <w:b w:val="1"/>
      </w:rPr>
      <w:tcPr>
        <w:tcBorders>
          <w:top w:color="196b24"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c1f0c8" w:val="clear"/>
      </w:tcPr>
    </w:tblStylePr>
    <w:tblStylePr w:type="band1Vert">
      <w:tcPr>
        <w:shd w:fill="c1f0c8" w:val="clear"/>
      </w:tcPr>
    </w:tblStylePr>
    <w:tblStylePr w:type="firstCol">
      <w:rPr>
        <w:b w:val="1"/>
      </w:rPr>
    </w:tblStylePr>
    <w:tblStylePr w:type="firstRow">
      <w:rPr>
        <w:b w:val="1"/>
        <w:color w:val="ffffff"/>
      </w:rPr>
      <w:tcPr>
        <w:tcBorders>
          <w:top w:color="196b24" w:space="0" w:sz="4" w:val="single"/>
          <w:left w:color="196b24" w:space="0" w:sz="4" w:val="single"/>
          <w:bottom w:color="196b24" w:space="0" w:sz="4" w:val="single"/>
          <w:right w:color="196b24" w:space="0" w:sz="4" w:val="single"/>
          <w:insideH w:color="000000" w:space="0" w:sz="0" w:val="nil"/>
          <w:insideV w:color="000000" w:space="0" w:sz="0" w:val="nil"/>
        </w:tcBorders>
        <w:shd w:fill="196b24" w:val="clear"/>
      </w:tcPr>
    </w:tblStylePr>
    <w:tblStylePr w:type="lastCol">
      <w:rPr>
        <w:b w:val="1"/>
      </w:rPr>
    </w:tblStylePr>
    <w:tblStylePr w:type="lastRow">
      <w:rPr>
        <w:b w:val="1"/>
      </w:rPr>
      <w:tcPr>
        <w:tcBorders>
          <w:top w:color="196b24"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cgiar.sharepoint.com/sites/PCUInterim/Shared%20Documents/Forms/AllItems.aspx?id=%2Fsites%2FPCUInterim%2FShared%20Documents%2F02%2E%20Planning%20%28Faith%29%2F5%2E%20Portfolio%20Management%20Arrangement%2FProposed%20management%20arrangements%20for%20CGIAR%27s%202025%2D30%20science%20and%20innovation%20Portfolio%202024%2D09%2D12%2Epdf&amp;parent=%2Fsites%2FPCUInterim%2FShared%20Documents%2F02%2E%20Planning%20%28Faith%29%2F5%2E%20Portfolio%20Management%20Arrangement&amp;p=true&amp;ga=1" TargetMode="External"/><Relationship Id="rId10" Type="http://schemas.openxmlformats.org/officeDocument/2006/relationships/hyperlink" Target="https://storage.googleapis.com/cgiarorg/2025/06/CGIAR-Technical-Reporting-Arrangement-2025-30.pdf" TargetMode="External"/><Relationship Id="rId13" Type="http://schemas.openxmlformats.org/officeDocument/2006/relationships/hyperlink" Target="https://storage.googleapis.com/cgiarorg/2025/06/CGIAR-Technical-Reporting-Arrangement-2025-30.pdf" TargetMode="External"/><Relationship Id="rId12" Type="http://schemas.openxmlformats.org/officeDocument/2006/relationships/hyperlink" Target="https://cgiar.sharepoint.com/:w:/s/2025TechnicalReportingTeams/EYS0rDB4gARAnscQLLagpk8BJaEoecvF0Vz0TqX2ScLtBg?e=4epY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pp.powerbi.com/groups/me/reports/ecdb83be-17be-4191-9f02-995644ff1e6e/c8ded134c120162eba63?ctid=6afa0e00-fa14-40b7-8a2e-22a7f8c357d5&amp;experience=power-bi" TargetMode="External"/><Relationship Id="rId15" Type="http://schemas.openxmlformats.org/officeDocument/2006/relationships/hyperlink" Target="https://cgiar.sharepoint.com/sites/cgiar_infopoint/SitePages/Interim-Program---Accelerator-Directors-and-Deputy-Directors.aspx?xsdata=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%3D%3D&amp;sdata=c000K2JORnk2ZzJta1EzbDJpa3hUYVFVQXFmejZuUUo0aDJ3SlczeUZFcz0%3D&amp;ovuser=6afa0e00-fa14-40b7-8a2e-22a7f8c357d5%2Ca.poulos%40cgiar.org&amp;OR=Teams-HL&amp;CT=1730480246533&amp;clickparams=eyJBcHBOYW1lIjoiVGVhbXMtRGVza3RvcCIsIkFwcFZlcnNpb24iOiI0OS8yNDEwMDMyNDkxNiIsIkhhc0ZlZGVyYXRlZFVzZXIiOmZhbHNlfQ%3D%3D" TargetMode="External"/><Relationship Id="rId14" Type="http://schemas.openxmlformats.org/officeDocument/2006/relationships/hyperlink" Target="https://app.powerbi.com/groups/me/reports/ecdb83be-17be-4191-9f02-995644ff1e6e/c8ded134c120162eba63?ctid=6afa0e00-fa14-40b7-8a2e-22a7f8c357d5&amp;experience=power-bi" TargetMode="External"/><Relationship Id="rId17" Type="http://schemas.openxmlformats.org/officeDocument/2006/relationships/hyperlink" Target="mailto:performanceandresults@cgiar.org" TargetMode="External"/><Relationship Id="rId16" Type="http://schemas.openxmlformats.org/officeDocument/2006/relationships/hyperlink" Target="mailto:prmstechsupport@cgiar.org" TargetMode="Externa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nf+kA87GNhow1JiR+5AWONrQ==">CgMxLjAyDmguZHRlZmt3N2cwaTQ5Mg1oLjVpanc2ajVmczBlMg1oLnF6MnRqdG5jNHB1Mg5oLmJrZXdmczRiZXY0bjIOaC54aDN1cjE3djNhYngyDmguaWloc2l2ZWFoMHM4Mg5oLmg5dXB0bmd1M3h0dDIOaC41eG1qZWV0djJqaXYyDmguZnVhd2Y2c3hxdW9rOAByITEzSzFGQThhNFFkMzJzRmhUdDVHYUZQTzB5dFdRSktyVQ==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2025-09-24T19:43:00Z</dcterms:created>
  <dc:creator>Mariagiulia Mariani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0x010100876CDA5545835F42A0CE1E926461CAEC</vt:lpwstr>
  </property>
  <property fmtid="{D5CDD505-2E9C-101B-9397-08002B2CF9AE}" pid="3" name="MediaServiceImageTags">
    <vt:lpwstr>MediaServiceImageTags</vt:lpwstr>
  </property>
  <property fmtid="{D5CDD505-2E9C-101B-9397-08002B2CF9AE}" pid="4" name="MSIP_Label_80c4d10e-bd94-4e7c-b4a1-fe20ff6d8abe_Enabled">
    <vt:lpwstr>true</vt:lpwstr>
  </property>
  <property fmtid="{D5CDD505-2E9C-101B-9397-08002B2CF9AE}" pid="5" name="MSIP_Label_80c4d10e-bd94-4e7c-b4a1-fe20ff6d8abe_SetDate">
    <vt:lpwstr>2025-09-25T03:43:28Z</vt:lpwstr>
  </property>
  <property fmtid="{D5CDD505-2E9C-101B-9397-08002B2CF9AE}" pid="6" name="MSIP_Label_80c4d10e-bd94-4e7c-b4a1-fe20ff6d8abe_Method">
    <vt:lpwstr>Standard</vt:lpwstr>
  </property>
  <property fmtid="{D5CDD505-2E9C-101B-9397-08002B2CF9AE}" pid="7" name="MSIP_Label_80c4d10e-bd94-4e7c-b4a1-fe20ff6d8abe_Name">
    <vt:lpwstr>80c4d10e-bd94-4e7c-b4a1-fe20ff6d8abe</vt:lpwstr>
  </property>
  <property fmtid="{D5CDD505-2E9C-101B-9397-08002B2CF9AE}" pid="8" name="MSIP_Label_80c4d10e-bd94-4e7c-b4a1-fe20ff6d8abe_SiteId">
    <vt:lpwstr>6afa0e00-fa14-40b7-8a2e-22a7f8c357d5</vt:lpwstr>
  </property>
  <property fmtid="{D5CDD505-2E9C-101B-9397-08002B2CF9AE}" pid="9" name="MSIP_Label_80c4d10e-bd94-4e7c-b4a1-fe20ff6d8abe_ActionId">
    <vt:lpwstr>e015371a-4a1c-47f3-9e4c-103989b09ea8</vt:lpwstr>
  </property>
  <property fmtid="{D5CDD505-2E9C-101B-9397-08002B2CF9AE}" pid="10" name="MSIP_Label_80c4d10e-bd94-4e7c-b4a1-fe20ff6d8abe_ContentBits">
    <vt:lpwstr>0</vt:lpwstr>
  </property>
  <property fmtid="{D5CDD505-2E9C-101B-9397-08002B2CF9AE}" pid="11" name="MSIP_Label_80c4d10e-bd94-4e7c-b4a1-fe20ff6d8abe_Tag">
    <vt:lpwstr>10, 3, 0, 2</vt:lpwstr>
  </property>
  <property fmtid="{D5CDD505-2E9C-101B-9397-08002B2CF9AE}" pid="12" name="docLang">
    <vt:lpwstr>en</vt:lpwstr>
  </property>
</Properties>
</file>