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Unidad 4 - Etapa 2: Implementación y Resultados</w:t>
      </w:r>
    </w:p>
    <w:p>
      <w:pPr>
        <w:pStyle w:val="Heading1"/>
      </w:pPr>
      <w:r>
        <w:t>Optimización de rendimiento en PostgreSQL - Proyecto Ecommify</w:t>
      </w:r>
    </w:p>
    <w:p>
      <w:r>
        <w:rPr>
          <w:b/>
        </w:rPr>
        <w:t>Asignatura:</w:t>
      </w:r>
      <w:r>
        <w:t xml:space="preserve"> Diseño y Optimización de Bases de Datos</w:t>
      </w:r>
    </w:p>
    <w:p>
      <w:r>
        <w:rPr>
          <w:b/>
        </w:rPr>
        <w:t>Programa:</w:t>
      </w:r>
      <w:r>
        <w:t xml:space="preserve"> Maestría en Arquitectura de Software - Universidad de La Sabana</w:t>
      </w:r>
    </w:p>
    <w:p>
      <w:r>
        <w:rPr>
          <w:b/>
        </w:rPr>
        <w:t>Profesor:</w:t>
      </w:r>
      <w:r>
        <w:t xml:space="preserve"> Miguel Alfonso Varela Fonseca</w:t>
      </w:r>
    </w:p>
    <w:p>
      <w:r>
        <w:rPr>
          <w:b/>
        </w:rPr>
        <w:t>Fecha:</w:t>
      </w:r>
      <w:r>
        <w:t xml:space="preserve"> 8 de junio de 2026</w:t>
      </w:r>
    </w:p>
    <w:p>
      <w:r>
        <w:rPr>
          <w:b/>
        </w:rPr>
        <w:t>Tipo de trabajo:</w:t>
      </w:r>
      <w:r>
        <w:t xml:space="preserve"> Grupal (Etapa formativa)</w:t>
      </w:r>
    </w:p>
    <w:p>
      <w:r>
        <w:rPr>
          <w:b/>
        </w:rPr>
        <w:t>Repositorio:</w:t>
      </w:r>
      <w:r>
        <w:t xml:space="preserve"> https://github.com/lgonzalez30/Ecommify_Database_Design</w:t>
      </w:r>
    </w:p>
    <w:p>
      <w:r>
        <w:rPr>
          <w:b/>
        </w:rPr>
        <w:t>Integrantes del equipo:</w:t>
      </w:r>
    </w:p>
    <w:p>
      <w:pPr>
        <w:pStyle w:val="ListBullet"/>
      </w:pPr>
      <w:r>
        <w:t>Andrés Fernando Díaz Moreno</w:t>
      </w:r>
    </w:p>
    <w:p>
      <w:pPr>
        <w:pStyle w:val="ListBullet"/>
      </w:pPr>
      <w:r>
        <w:t>Andrés Camilo López Castro</w:t>
      </w:r>
    </w:p>
    <w:p>
      <w:pPr>
        <w:pStyle w:val="ListBullet"/>
      </w:pPr>
      <w:r>
        <w:t>Luis Alfredo González Mercado</w:t>
      </w:r>
    </w:p>
    <w:p>
      <w:pPr>
        <w:pStyle w:val="ListBullet"/>
      </w:pPr>
      <w:r>
        <w:t>Carlos Alberto Arévalo Martínez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 xml:space="preserve">Este documento reporta la </w:t>
      </w:r>
      <w:r>
        <w:rPr>
          <w:b/>
        </w:rPr>
        <w:t>implementación práctica</w:t>
      </w:r>
      <w:r>
        <w:t xml:space="preserve"> y los </w:t>
      </w:r>
      <w:r>
        <w:rPr>
          <w:b/>
        </w:rPr>
        <w:t>resultados medidos</w:t>
      </w:r>
      <w:r>
        <w:t xml:space="preserve"> de las técnicas de optimización investigadas en la Etapa 1, aplicadas al módulo transaccional PostgreSQL de Ecommify. El objetivo es demostrar, con evidencia cuantificable de </w:t>
      </w:r>
      <w:r>
        <w:rPr>
          <w:rFonts w:ascii="Consolas" w:hAnsi="Consolas"/>
          <w:sz w:val="19"/>
        </w:rPr>
        <w:t>EXPLAIN (ANALYZE, BUFFERS)</w:t>
      </w:r>
      <w:r>
        <w:t>, el impacto de: (a) la creación de índices especializados, (b) la reescritura de consultas críticas, y (c) el particionamiento declarativo.</w:t>
      </w:r>
    </w:p>
    <w:p>
      <w:pPr>
        <w:pStyle w:val="Heading1"/>
      </w:pPr>
      <w:r>
        <w:t>2. Entorno de ejecución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t>Motor</w:t>
            </w:r>
          </w:p>
        </w:tc>
        <w:tc>
          <w:tcPr>
            <w:tcW w:type="dxa" w:w="4320"/>
          </w:tcPr>
          <w:p>
            <w:r/>
            <w:r>
              <w:t>PostgreSQL 16.4 + PostGIS</w:t>
            </w:r>
          </w:p>
        </w:tc>
      </w:tr>
      <w:tr>
        <w:tc>
          <w:tcPr>
            <w:tcW w:type="dxa" w:w="4320"/>
          </w:tcPr>
          <w:p>
            <w:r/>
            <w:r>
              <w:t>Despliegue</w:t>
            </w:r>
          </w:p>
        </w:tc>
        <w:tc>
          <w:tcPr>
            <w:tcW w:type="dxa" w:w="4320"/>
          </w:tcPr>
          <w:p>
            <w:r/>
            <w:r>
              <w:t>Docker (</w:t>
            </w:r>
            <w:r>
              <w:rPr>
                <w:rFonts w:ascii="Consolas" w:hAnsi="Consolas"/>
                <w:sz w:val="19"/>
              </w:rPr>
              <w:t>docker-compose.u4.yml</w:t>
            </w:r>
            <w:r>
              <w:t xml:space="preserve">, contenedor </w:t>
            </w:r>
            <w:r>
              <w:rPr>
                <w:rFonts w:ascii="Consolas" w:hAnsi="Consolas"/>
                <w:sz w:val="19"/>
              </w:rPr>
              <w:t>ecommify_postgres_u4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Puerto local</w:t>
            </w:r>
          </w:p>
        </w:tc>
        <w:tc>
          <w:tcPr>
            <w:tcW w:type="dxa" w:w="4320"/>
          </w:tcPr>
          <w:p>
            <w:r/>
            <w:r>
              <w:t>55432</w:t>
            </w:r>
          </w:p>
        </w:tc>
      </w:tr>
      <w:tr>
        <w:tc>
          <w:tcPr>
            <w:tcW w:type="dxa" w:w="4320"/>
          </w:tcPr>
          <w:p>
            <w:r/>
            <w:r>
              <w:t>Base de datos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ecommify</w:t>
            </w:r>
          </w:p>
        </w:tc>
      </w:tr>
      <w:tr>
        <w:tc>
          <w:tcPr>
            <w:tcW w:type="dxa" w:w="4320"/>
          </w:tcPr>
          <w:p>
            <w:r/>
            <w:r>
              <w:t>Inicialización</w:t>
            </w:r>
          </w:p>
        </w:tc>
        <w:tc>
          <w:tcPr>
            <w:tcW w:type="dxa" w:w="4320"/>
          </w:tcPr>
          <w:p>
            <w:r/>
            <w:r>
              <w:t xml:space="preserve">Scripts </w:t>
            </w:r>
            <w:r>
              <w:rPr>
                <w:rFonts w:ascii="Consolas" w:hAnsi="Consolas"/>
                <w:sz w:val="19"/>
              </w:rPr>
              <w:t>postgresql/schema/00..08</w:t>
            </w:r>
          </w:p>
        </w:tc>
      </w:tr>
      <w:tr>
        <w:tc>
          <w:tcPr>
            <w:tcW w:type="dxa" w:w="4320"/>
          </w:tcPr>
          <w:p>
            <w:r/>
            <w:r>
              <w:t>Datos</w:t>
            </w:r>
          </w:p>
        </w:tc>
        <w:tc>
          <w:tcPr>
            <w:tcW w:type="dxa" w:w="4320"/>
          </w:tcPr>
          <w:p>
            <w:r/>
            <w:r>
              <w:t>Dataset sintético ~150.000 órdenes (</w:t>
            </w:r>
            <w:r>
              <w:rPr>
                <w:rFonts w:ascii="Consolas" w:hAnsi="Consolas"/>
                <w:sz w:val="19"/>
              </w:rPr>
              <w:t>sql/00_seed_synthetic_data.sql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Fecha de ejecución</w:t>
            </w:r>
          </w:p>
        </w:tc>
        <w:tc>
          <w:tcPr>
            <w:tcW w:type="dxa" w:w="4320"/>
          </w:tcPr>
          <w:p>
            <w:r/>
            <w:r>
              <w:t>2026-06-08</w:t>
            </w:r>
          </w:p>
        </w:tc>
      </w:tr>
    </w:tbl>
    <w:p/>
    <w:p>
      <w:pPr>
        <w:pStyle w:val="Heading2"/>
      </w:pPr>
      <w:r>
        <w:t>2.1 Nota sobre Supabase vs. Docker local</w:t>
      </w:r>
    </w:p>
    <w:p>
      <w:r>
        <w:t xml:space="preserve">En este proyecto se ejecutó sobre </w:t>
      </w:r>
      <w:r>
        <w:rPr>
          <w:b/>
        </w:rPr>
        <w:t>PostgreSQL 16 + PostGIS en Docker local</w:t>
      </w:r>
      <w:r>
        <w:t xml:space="preserve">, que es exactamente el mismo motor que Supabase administra como servicio. La decisión privilegia la </w:t>
      </w:r>
      <w:r>
        <w:rPr>
          <w:b/>
        </w:rPr>
        <w:t>reproducibilidad</w:t>
      </w:r>
      <w:r>
        <w:t xml:space="preserve"> (un volumen aislado, limpio y versionable) y evita depender de credenciales o cuotas de un servicio externo. Los cuatro scripts SQL son </w:t>
      </w:r>
      <w:r>
        <w:rPr>
          <w:b/>
        </w:rPr>
        <w:t>portables</w:t>
      </w:r>
      <w:r>
        <w:t xml:space="preserve">: pueden ejecutarse sin modificación sobre una instancia Supabase usando su cadena de conexión, ya que solo emplean características estándar de PostgreSQL (particionamiento declarativo, BRIN/GIN/GiST, </w:t>
      </w:r>
      <w:r>
        <w:rPr>
          <w:rFonts w:ascii="Consolas" w:hAnsi="Consolas"/>
          <w:sz w:val="19"/>
        </w:rPr>
        <w:t>pg_trgm</w:t>
      </w:r>
      <w:r>
        <w:t>, PostGIS y materialized views).</w:t>
      </w:r>
    </w:p>
    <w:p>
      <w:pPr>
        <w:pStyle w:val="Heading2"/>
      </w:pPr>
      <w:r>
        <w:t>2.2 Justificación del dataset sintético</w:t>
      </w:r>
    </w:p>
    <w:p>
      <w:r>
        <w:t>Los datos mock incluidos en el esquema (</w:t>
      </w:r>
      <w:r>
        <w:rPr>
          <w:rFonts w:ascii="Consolas" w:hAnsi="Consolas"/>
          <w:sz w:val="19"/>
        </w:rPr>
        <w:t>07_5_mock_data.sql</w:t>
      </w:r>
      <w:r>
        <w:t xml:space="preserve">) son mínimos (1 orden, 0 order_items, 0 payments) y producen consultas con 0 filas y tiempos triviales (microsegundos), insuficientes como evidencia. Se generó por ello un </w:t>
      </w:r>
      <w:r>
        <w:rPr>
          <w:b/>
        </w:rPr>
        <w:t>dataset sintético</w:t>
      </w:r>
      <w:r>
        <w:t xml:space="preserve"> que cumple el criterio de la guía (&gt;100.000 registros) y respeta </w:t>
      </w:r>
      <w:r>
        <w:rPr>
          <w:b/>
        </w:rPr>
        <w:t>todas</w:t>
      </w:r>
      <w:r>
        <w:t xml:space="preserve"> las restricciones de integridad (</w:t>
      </w:r>
      <w:r>
        <w:rPr>
          <w:rFonts w:ascii="Consolas" w:hAnsi="Consolas"/>
          <w:sz w:val="19"/>
        </w:rPr>
        <w:t>05_constraints.sql</w:t>
      </w:r>
      <w:r>
        <w:t xml:space="preserve">): coherencia temporal de las fechas de la orden, </w:t>
      </w:r>
      <w:r>
        <w:rPr>
          <w:rFonts w:ascii="Consolas" w:hAnsi="Consolas"/>
          <w:sz w:val="19"/>
        </w:rPr>
        <w:t>shipping_limit_date ≥ purchase</w:t>
      </w:r>
      <w:r>
        <w:t xml:space="preserve">, estado en mayúsculas de 2 caracteres, rango de zip, </w:t>
      </w:r>
      <w:r>
        <w:rPr>
          <w:rFonts w:ascii="Consolas" w:hAnsi="Consolas"/>
          <w:sz w:val="19"/>
        </w:rPr>
        <w:t>price/freight ≥ 0</w:t>
      </w:r>
      <w:r>
        <w:t xml:space="preserve">, </w:t>
      </w:r>
      <w:r>
        <w:rPr>
          <w:rFonts w:ascii="Consolas" w:hAnsi="Consolas"/>
          <w:sz w:val="19"/>
        </w:rPr>
        <w:t>installments ≥ 1</w:t>
      </w:r>
      <w:r>
        <w:t xml:space="preserve">, </w:t>
      </w:r>
      <w:r>
        <w:rPr>
          <w:rFonts w:ascii="Consolas" w:hAnsi="Consolas"/>
          <w:sz w:val="19"/>
        </w:rPr>
        <w:t>value &gt; 0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Filas generadas</w:t>
            </w:r>
          </w:p>
        </w:tc>
      </w:tr>
      <w:tr>
        <w:tc>
          <w:tcPr>
            <w:tcW w:type="dxa" w:w="4320"/>
          </w:tcPr>
          <w:p>
            <w:r/>
            <w:r>
              <w:t>category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product</w:t>
            </w:r>
          </w:p>
        </w:tc>
        <w:tc>
          <w:tcPr>
            <w:tcW w:type="dxa" w:w="4320"/>
          </w:tcPr>
          <w:p>
            <w:r/>
            <w:r>
              <w:t>1 003</w:t>
            </w:r>
          </w:p>
        </w:tc>
      </w:tr>
      <w:tr>
        <w:tc>
          <w:tcPr>
            <w:tcW w:type="dxa" w:w="4320"/>
          </w:tcPr>
          <w:p>
            <w:r/>
            <w:r>
              <w:t>customer</w:t>
            </w:r>
          </w:p>
        </w:tc>
        <w:tc>
          <w:tcPr>
            <w:tcW w:type="dxa" w:w="4320"/>
          </w:tcPr>
          <w:p>
            <w:r/>
            <w:r>
              <w:t>20 001</w:t>
            </w:r>
          </w:p>
        </w:tc>
      </w:tr>
      <w:tr>
        <w:tc>
          <w:tcPr>
            <w:tcW w:type="dxa" w:w="4320"/>
          </w:tcPr>
          <w:p>
            <w:r/>
            <w:r>
              <w:t>seller</w:t>
            </w:r>
          </w:p>
        </w:tc>
        <w:tc>
          <w:tcPr>
            <w:tcW w:type="dxa" w:w="4320"/>
          </w:tcPr>
          <w:p>
            <w:r/>
            <w:r>
              <w:t>1 501</w:t>
            </w:r>
          </w:p>
        </w:tc>
      </w:tr>
      <w:tr>
        <w:tc>
          <w:tcPr>
            <w:tcW w:type="dxa" w:w="4320"/>
          </w:tcPr>
          <w:p>
            <w:r/>
            <w:r>
              <w:t>promotion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order</w:t>
            </w:r>
          </w:p>
        </w:tc>
        <w:tc>
          <w:tcPr>
            <w:tcW w:type="dxa" w:w="4320"/>
          </w:tcPr>
          <w:p>
            <w:r/>
            <w:r>
              <w:t>150 001</w:t>
            </w:r>
          </w:p>
        </w:tc>
      </w:tr>
      <w:tr>
        <w:tc>
          <w:tcPr>
            <w:tcW w:type="dxa" w:w="4320"/>
          </w:tcPr>
          <w:p>
            <w:r/>
            <w:r>
              <w:t>order_item</w:t>
            </w:r>
          </w:p>
        </w:tc>
        <w:tc>
          <w:tcPr>
            <w:tcW w:type="dxa" w:w="4320"/>
          </w:tcPr>
          <w:p>
            <w:r/>
            <w:r>
              <w:t>300 002</w:t>
            </w:r>
          </w:p>
        </w:tc>
      </w:tr>
      <w:tr>
        <w:tc>
          <w:tcPr>
            <w:tcW w:type="dxa" w:w="4320"/>
          </w:tcPr>
          <w:p>
            <w:r/>
            <w:r>
              <w:t>payment</w:t>
            </w:r>
          </w:p>
        </w:tc>
        <w:tc>
          <w:tcPr>
            <w:tcW w:type="dxa" w:w="4320"/>
          </w:tcPr>
          <w:p>
            <w:r/>
            <w:r>
              <w:t>150 001</w:t>
            </w:r>
          </w:p>
        </w:tc>
      </w:tr>
    </w:tbl>
    <w:p/>
    <w:p>
      <w:r>
        <w:t xml:space="preserve">Las órdenes se distribuyen entre 2025-10-01 y 2026-06-30 (solo particiones nombradas → </w:t>
      </w:r>
      <w:r>
        <w:rPr>
          <w:rFonts w:ascii="Consolas" w:hAnsi="Consolas"/>
          <w:sz w:val="19"/>
        </w:rPr>
        <w:t>order_default</w:t>
      </w:r>
      <w:r>
        <w:t xml:space="preserve"> = 0), con ~50% en estado </w:t>
      </w:r>
      <w:r>
        <w:rPr>
          <w:rFonts w:ascii="Consolas" w:hAnsi="Consolas"/>
          <w:sz w:val="19"/>
        </w:rPr>
        <w:t>delivered</w:t>
      </w:r>
      <w:r>
        <w:t xml:space="preserve">. Cada orden tiene </w:t>
      </w:r>
      <w:r>
        <w:rPr>
          <w:b/>
        </w:rPr>
        <w:t>2 ítems</w:t>
      </w:r>
      <w:r>
        <w:t xml:space="preserve"> (300.000 líneas en total) y un pago. Se conservan los fixtures (</w:t>
      </w:r>
      <w:r>
        <w:rPr>
          <w:rFonts w:ascii="Consolas" w:hAnsi="Consolas"/>
          <w:sz w:val="19"/>
        </w:rPr>
        <w:t>ORD-999</w:t>
      </w:r>
      <w:r>
        <w:t xml:space="preserve">, </w:t>
      </w:r>
      <w:r>
        <w:rPr>
          <w:rFonts w:ascii="Consolas" w:hAnsi="Consolas"/>
          <w:sz w:val="19"/>
        </w:rPr>
        <w:t>CUST_ABC</w:t>
      </w:r>
      <w:r>
        <w:t xml:space="preserve">, </w:t>
      </w:r>
      <w:r>
        <w:rPr>
          <w:rFonts w:ascii="Consolas" w:hAnsi="Consolas"/>
          <w:sz w:val="19"/>
        </w:rPr>
        <w:t>PROD-101..103</w:t>
      </w:r>
      <w:r>
        <w:t xml:space="preserve">, </w:t>
      </w:r>
      <w:r>
        <w:rPr>
          <w:rFonts w:ascii="Consolas" w:hAnsi="Consolas"/>
          <w:sz w:val="19"/>
        </w:rPr>
        <w:t>SELLER_XYZ</w:t>
      </w:r>
      <w:r>
        <w:t>) y se agregó una promoción activa para la categoría 2.</w:t>
      </w:r>
    </w:p>
    <w:p>
      <w:pPr>
        <w:pStyle w:val="Heading1"/>
      </w:pPr>
      <w:r>
        <w:t>3. Procedimiento ejecutado</w:t>
      </w:r>
    </w:p>
    <w:p>
      <w:r>
        <w:t xml:space="preserve">Todo el flujo se automatiza con </w:t>
      </w:r>
      <w:r>
        <w:rPr>
          <w:rFonts w:ascii="Consolas" w:hAnsi="Consolas"/>
          <w:sz w:val="19"/>
        </w:rPr>
        <w:t>run_etapa_2.sh</w:t>
      </w:r>
      <w:r>
        <w:t>:</w:t>
      </w:r>
    </w:p>
    <w:p>
      <w:pPr>
        <w:pStyle w:val="ListNumber"/>
      </w:pPr>
      <w:r>
        <w:t>Levanta PostgreSQL (</w:t>
      </w:r>
      <w:r>
        <w:rPr>
          <w:rFonts w:ascii="Consolas" w:hAnsi="Consolas"/>
          <w:sz w:val="19"/>
        </w:rPr>
        <w:t>docker-compose.u4.yml</w:t>
      </w:r>
      <w:r>
        <w:t>) y espera el healthcheck y el esquema.</w:t>
      </w:r>
    </w:p>
    <w:p>
      <w:pPr>
        <w:pStyle w:val="ListNumber"/>
      </w:pPr>
      <w:r>
        <w:rPr>
          <w:b/>
        </w:rPr>
        <w:t>Genera el dataset sintético</w:t>
      </w:r>
      <w:r>
        <w:t xml:space="preserve"> (</w:t>
      </w:r>
      <w:r>
        <w:rPr>
          <w:rFonts w:ascii="Consolas" w:hAnsi="Consolas"/>
          <w:sz w:val="19"/>
        </w:rPr>
        <w:t>00_seed_synthetic_data.sql</w:t>
      </w:r>
      <w:r>
        <w:t>).</w:t>
      </w:r>
    </w:p>
    <w:p>
      <w:pPr>
        <w:pStyle w:val="ListNumber"/>
      </w:pPr>
      <w:r>
        <w:t xml:space="preserve">Ejecuta el </w:t>
      </w:r>
      <w:r>
        <w:rPr>
          <w:b/>
        </w:rPr>
        <w:t>baseline</w:t>
      </w:r>
      <w:r>
        <w:t xml:space="preserve"> (</w:t>
      </w:r>
      <w:r>
        <w:rPr>
          <w:rFonts w:ascii="Consolas" w:hAnsi="Consolas"/>
          <w:sz w:val="19"/>
        </w:rPr>
        <w:t>01_baseline_explain_analyze.sql</w:t>
      </w:r>
      <w:r>
        <w:t>) - planes antes de los índices U4.</w:t>
      </w:r>
    </w:p>
    <w:p>
      <w:pPr>
        <w:pStyle w:val="ListNumber"/>
      </w:pPr>
      <w:r>
        <w:t xml:space="preserve">Crea los </w:t>
      </w:r>
      <w:r>
        <w:rPr>
          <w:b/>
        </w:rPr>
        <w:t>índices U4</w:t>
      </w:r>
      <w:r>
        <w:t xml:space="preserve"> (</w:t>
      </w:r>
      <w:r>
        <w:rPr>
          <w:rFonts w:ascii="Consolas" w:hAnsi="Consolas"/>
          <w:sz w:val="19"/>
        </w:rPr>
        <w:t>02_indices_optimizacion_u4.sql</w:t>
      </w:r>
      <w:r>
        <w:t xml:space="preserve">) y ejecuta </w:t>
      </w:r>
      <w:r>
        <w:rPr>
          <w:rFonts w:ascii="Consolas" w:hAnsi="Consolas"/>
          <w:sz w:val="19"/>
        </w:rPr>
        <w:t>ANALYZE</w:t>
      </w:r>
      <w:r>
        <w:t>.</w:t>
      </w:r>
    </w:p>
    <w:p>
      <w:pPr>
        <w:pStyle w:val="ListNumber"/>
      </w:pPr>
      <w:r>
        <w:t xml:space="preserve">Ejecuta las </w:t>
      </w:r>
      <w:r>
        <w:rPr>
          <w:b/>
        </w:rPr>
        <w:t>consultas optimizadas</w:t>
      </w:r>
      <w:r>
        <w:t xml:space="preserve"> (</w:t>
      </w:r>
      <w:r>
        <w:rPr>
          <w:rFonts w:ascii="Consolas" w:hAnsi="Consolas"/>
          <w:sz w:val="19"/>
        </w:rPr>
        <w:t>03_consultas_optimizadas.sql</w:t>
      </w:r>
      <w:r>
        <w:t>) - refresca las MV y mide.</w:t>
      </w:r>
    </w:p>
    <w:p>
      <w:pPr>
        <w:pStyle w:val="ListNumber"/>
      </w:pPr>
      <w:r>
        <w:rPr>
          <w:b/>
        </w:rPr>
        <w:t>Valida el particionamiento</w:t>
      </w:r>
      <w:r>
        <w:t xml:space="preserve"> (</w:t>
      </w:r>
      <w:r>
        <w:rPr>
          <w:rFonts w:ascii="Consolas" w:hAnsi="Consolas"/>
          <w:sz w:val="19"/>
        </w:rPr>
        <w:t>04_validacion_particionamiento.sql</w:t>
      </w:r>
      <w:r>
        <w:t>).</w:t>
      </w:r>
    </w:p>
    <w:p>
      <w:r>
        <w:t xml:space="preserve">Para reducir la varianza por I/O en frío, el baseline y el conjunto optimizado se ejecutaron </w:t>
      </w:r>
      <w:r>
        <w:rPr>
          <w:b/>
        </w:rPr>
        <w:t>dos veces</w:t>
      </w:r>
      <w:r>
        <w:t xml:space="preserve">, reportándose la </w:t>
      </w:r>
      <w:r>
        <w:rPr>
          <w:b/>
        </w:rPr>
        <w:t>segunda corrida</w:t>
      </w:r>
      <w:r>
        <w:t xml:space="preserve"> (caché caliente). Las evidencias crudas quedan en </w:t>
      </w:r>
      <w:r>
        <w:rPr>
          <w:rFonts w:ascii="Consolas" w:hAnsi="Consolas"/>
          <w:sz w:val="19"/>
        </w:rPr>
        <w:t>etapa_2_implementacion/resultados/*.txt</w:t>
      </w:r>
      <w:r>
        <w:t xml:space="preserve"> (timestamp </w:t>
      </w:r>
      <w:r>
        <w:rPr>
          <w:rFonts w:ascii="Consolas" w:hAnsi="Consolas"/>
          <w:sz w:val="19"/>
        </w:rPr>
        <w:t>2026-06-08_19-56-56</w:t>
      </w:r>
      <w:r>
        <w:t>).</w:t>
      </w:r>
    </w:p>
    <w:p>
      <w:pPr>
        <w:pStyle w:val="Heading1"/>
      </w:pPr>
      <w:r>
        <w:t>4. Optimización de consultas: resultados antes/después</w:t>
      </w:r>
    </w:p>
    <w:p>
      <w:r>
        <w:t xml:space="preserve">Medición con </w:t>
      </w:r>
      <w:r>
        <w:rPr>
          <w:rFonts w:ascii="Consolas" w:hAnsi="Consolas"/>
          <w:sz w:val="19"/>
        </w:rPr>
        <w:t>EXPLAIN (ANALYZE, BUFFERS, VERBOSE)</w:t>
      </w:r>
      <w:r>
        <w:t xml:space="preserve">. </w:t>
      </w:r>
      <w:r>
        <w:rPr>
          <w:rFonts w:ascii="Consolas" w:hAnsi="Consolas"/>
          <w:sz w:val="19"/>
        </w:rPr>
        <w:t>Buffers</w:t>
      </w:r>
      <w:r>
        <w:t xml:space="preserve"> = bloques </w:t>
      </w:r>
      <w:r>
        <w:rPr>
          <w:rFonts w:ascii="Consolas" w:hAnsi="Consolas"/>
          <w:sz w:val="19"/>
        </w:rPr>
        <w:t>shared</w:t>
      </w:r>
      <w:r>
        <w:t xml:space="preserve"> acumulados del nodo raíz. Se aplicaron </w:t>
      </w:r>
      <w:r>
        <w:rPr>
          <w:b/>
        </w:rPr>
        <w:t>más de tres técnicas distintas</w:t>
      </w:r>
      <w:r>
        <w:t xml:space="preserve">: índices especializados, CTE de filtrado temprano (materializado), materialized views, reescritura de predicados por rango y uso de </w:t>
      </w:r>
      <w:r>
        <w:rPr>
          <w:rFonts w:ascii="Consolas" w:hAnsi="Consolas"/>
          <w:sz w:val="19"/>
        </w:rPr>
        <w:t>ST_DWithin</w:t>
      </w:r>
      <w:r>
        <w:t xml:space="preserve"> antes de </w:t>
      </w:r>
      <w:r>
        <w:rPr>
          <w:rFonts w:ascii="Consolas" w:hAnsi="Consolas"/>
          <w:sz w:val="19"/>
        </w:rPr>
        <w:t>ST_Distance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Query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Técnica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Exec antes (ms)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Exec después (ms)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Mejora tiempo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Buffers antes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Buffers después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Mejora buffers</w:t>
            </w:r>
          </w:p>
        </w:tc>
      </w:tr>
      <w:tr>
        <w:tc>
          <w:tcPr>
            <w:tcW w:type="dxa" w:w="1080"/>
          </w:tcPr>
          <w:p>
            <w:r/>
            <w:r>
              <w:t>Q01 Órdenes activas</w:t>
            </w:r>
          </w:p>
        </w:tc>
        <w:tc>
          <w:tcPr>
            <w:tcW w:type="dxa" w:w="1080"/>
          </w:tcPr>
          <w:p>
            <w:r/>
            <w:r>
              <w:t>B-tree parcial/compuesto + pruning</w:t>
            </w:r>
          </w:p>
        </w:tc>
        <w:tc>
          <w:tcPr>
            <w:tcW w:type="dxa" w:w="1080"/>
          </w:tcPr>
          <w:p>
            <w:r/>
            <w:r>
              <w:t>0.367</w:t>
            </w:r>
          </w:p>
        </w:tc>
        <w:tc>
          <w:tcPr>
            <w:tcW w:type="dxa" w:w="1080"/>
          </w:tcPr>
          <w:p>
            <w:r/>
            <w:r>
              <w:t>0.114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68.9%</w:t>
            </w:r>
          </w:p>
        </w:tc>
        <w:tc>
          <w:tcPr>
            <w:tcW w:type="dxa" w:w="1080"/>
          </w:tcPr>
          <w:p>
            <w:r/>
            <w:r>
              <w:t>102</w:t>
            </w:r>
          </w:p>
        </w:tc>
        <w:tc>
          <w:tcPr>
            <w:tcW w:type="dxa" w:w="1080"/>
          </w:tcPr>
          <w:p>
            <w:r/>
            <w:r>
              <w:t>102</w:t>
            </w:r>
          </w:p>
        </w:tc>
        <w:tc>
          <w:tcPr>
            <w:tcW w:type="dxa" w:w="1080"/>
          </w:tcPr>
          <w:p>
            <w:r/>
            <w:r>
              <w:t>0%</w:t>
            </w:r>
          </w:p>
        </w:tc>
      </w:tr>
      <w:tr>
        <w:tc>
          <w:tcPr>
            <w:tcW w:type="dxa" w:w="1080"/>
          </w:tcPr>
          <w:p>
            <w:r/>
            <w:r>
              <w:t>Q02 Detalle de orden</w:t>
            </w:r>
          </w:p>
        </w:tc>
        <w:tc>
          <w:tcPr>
            <w:tcW w:type="dxa" w:w="1080"/>
          </w:tcPr>
          <w:p>
            <w:r/>
            <w:r>
              <w:t>CTE filtrado temprano</w:t>
            </w:r>
          </w:p>
        </w:tc>
        <w:tc>
          <w:tcPr>
            <w:tcW w:type="dxa" w:w="1080"/>
          </w:tcPr>
          <w:p>
            <w:r/>
            <w:r>
              <w:t>0.213</w:t>
            </w:r>
          </w:p>
        </w:tc>
        <w:tc>
          <w:tcPr>
            <w:tcW w:type="dxa" w:w="1080"/>
          </w:tcPr>
          <w:p>
            <w:r/>
            <w:r>
              <w:t>0.113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47.0%</w:t>
            </w:r>
          </w:p>
        </w:tc>
        <w:tc>
          <w:tcPr>
            <w:tcW w:type="dxa" w:w="1080"/>
          </w:tcPr>
          <w:p>
            <w:r/>
            <w:r>
              <w:t>29</w:t>
            </w:r>
          </w:p>
        </w:tc>
        <w:tc>
          <w:tcPr>
            <w:tcW w:type="dxa" w:w="1080"/>
          </w:tcPr>
          <w:p>
            <w:r/>
            <w:r>
              <w:t>24</w:t>
            </w:r>
          </w:p>
        </w:tc>
        <w:tc>
          <w:tcPr>
            <w:tcW w:type="dxa" w:w="1080"/>
          </w:tcPr>
          <w:p>
            <w:r/>
            <w:r>
              <w:t>17.2%</w:t>
            </w:r>
          </w:p>
        </w:tc>
      </w:tr>
      <w:tr>
        <w:tc>
          <w:tcPr>
            <w:tcW w:type="dxa" w:w="1080"/>
          </w:tcPr>
          <w:p>
            <w:r/>
            <w:r>
              <w:t>Q03 Ventas categoría/mes</w:t>
            </w:r>
          </w:p>
        </w:tc>
        <w:tc>
          <w:tcPr>
            <w:tcW w:type="dxa" w:w="1080"/>
          </w:tcPr>
          <w:p>
            <w:r/>
            <w:r>
              <w:t>Materialized view</w:t>
            </w:r>
          </w:p>
        </w:tc>
        <w:tc>
          <w:tcPr>
            <w:tcW w:type="dxa" w:w="1080"/>
          </w:tcPr>
          <w:p>
            <w:r/>
            <w:r>
              <w:t>1470.622</w:t>
            </w:r>
          </w:p>
        </w:tc>
        <w:tc>
          <w:tcPr>
            <w:tcW w:type="dxa" w:w="1080"/>
          </w:tcPr>
          <w:p>
            <w:r/>
            <w:r>
              <w:t>0.075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~100%</w:t>
            </w:r>
          </w:p>
        </w:tc>
        <w:tc>
          <w:tcPr>
            <w:tcW w:type="dxa" w:w="1080"/>
          </w:tcPr>
          <w:p>
            <w:r/>
            <w:r>
              <w:t>699 131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~100%</w:t>
            </w:r>
          </w:p>
        </w:tc>
      </w:tr>
      <w:tr>
        <w:tc>
          <w:tcPr>
            <w:tcW w:type="dxa" w:w="1080"/>
          </w:tcPr>
          <w:p>
            <w:r/>
            <w:r>
              <w:t>Q04 Catálogo JSONB + precio</w:t>
            </w:r>
          </w:p>
        </w:tc>
        <w:tc>
          <w:tcPr>
            <w:tcW w:type="dxa" w:w="1080"/>
          </w:tcPr>
          <w:p>
            <w:r/>
            <w:r>
              <w:t>GIN + B-tree</w:t>
            </w:r>
          </w:p>
        </w:tc>
        <w:tc>
          <w:tcPr>
            <w:tcW w:type="dxa" w:w="1080"/>
          </w:tcPr>
          <w:p>
            <w:r/>
            <w:r>
              <w:t>0.089</w:t>
            </w:r>
          </w:p>
        </w:tc>
        <w:tc>
          <w:tcPr>
            <w:tcW w:type="dxa" w:w="1080"/>
          </w:tcPr>
          <w:p>
            <w:r/>
            <w:r>
              <w:t>0.083</w:t>
            </w:r>
          </w:p>
        </w:tc>
        <w:tc>
          <w:tcPr>
            <w:tcW w:type="dxa" w:w="1080"/>
          </w:tcPr>
          <w:p>
            <w:r/>
            <w:r>
              <w:t>6.7%</w:t>
            </w:r>
          </w:p>
        </w:tc>
        <w:tc>
          <w:tcPr>
            <w:tcW w:type="dxa" w:w="1080"/>
          </w:tcPr>
          <w:p>
            <w:r/>
            <w:r>
              <w:t>26</w:t>
            </w:r>
          </w:p>
        </w:tc>
        <w:tc>
          <w:tcPr>
            <w:tcW w:type="dxa" w:w="1080"/>
          </w:tcPr>
          <w:p>
            <w:r/>
            <w:r>
              <w:t>26</w:t>
            </w:r>
          </w:p>
        </w:tc>
        <w:tc>
          <w:tcPr>
            <w:tcW w:type="dxa" w:w="1080"/>
          </w:tcPr>
          <w:p>
            <w:r/>
            <w:r>
              <w:t>0%</w:t>
            </w:r>
          </w:p>
        </w:tc>
      </w:tr>
      <w:tr>
        <w:tc>
          <w:tcPr>
            <w:tcW w:type="dxa" w:w="1080"/>
          </w:tcPr>
          <w:p>
            <w:r/>
            <w:r>
              <w:t>Q05 Búsqueda textual</w:t>
            </w:r>
          </w:p>
        </w:tc>
        <w:tc>
          <w:tcPr>
            <w:tcW w:type="dxa" w:w="1080"/>
          </w:tcPr>
          <w:p>
            <w:r/>
            <w:r>
              <w:t>GIN trigram de expresión</w:t>
            </w:r>
          </w:p>
        </w:tc>
        <w:tc>
          <w:tcPr>
            <w:tcW w:type="dxa" w:w="1080"/>
          </w:tcPr>
          <w:p>
            <w:r/>
            <w:r>
              <w:t>2.184</w:t>
            </w:r>
          </w:p>
        </w:tc>
        <w:tc>
          <w:tcPr>
            <w:tcW w:type="dxa" w:w="1080"/>
          </w:tcPr>
          <w:p>
            <w:r/>
            <w:r>
              <w:t>2.480</w:t>
            </w:r>
          </w:p>
        </w:tc>
        <w:tc>
          <w:tcPr>
            <w:tcW w:type="dxa" w:w="1080"/>
          </w:tcPr>
          <w:p>
            <w:r/>
            <w:r>
              <w:t>-13.6%</w:t>
            </w:r>
          </w:p>
        </w:tc>
        <w:tc>
          <w:tcPr>
            <w:tcW w:type="dxa" w:w="1080"/>
          </w:tcPr>
          <w:p>
            <w:r/>
            <w:r>
              <w:t>29</w:t>
            </w:r>
          </w:p>
        </w:tc>
        <w:tc>
          <w:tcPr>
            <w:tcW w:type="dxa" w:w="1080"/>
          </w:tcPr>
          <w:p>
            <w:r/>
            <w:r>
              <w:t>29</w:t>
            </w:r>
          </w:p>
        </w:tc>
        <w:tc>
          <w:tcPr>
            <w:tcW w:type="dxa" w:w="1080"/>
          </w:tcPr>
          <w:p>
            <w:r/>
            <w:r>
              <w:t>0%</w:t>
            </w:r>
          </w:p>
        </w:tc>
      </w:tr>
      <w:tr>
        <w:tc>
          <w:tcPr>
            <w:tcW w:type="dxa" w:w="1080"/>
          </w:tcPr>
          <w:p>
            <w:r/>
            <w:r>
              <w:t>Q06 Seller/SLA</w:t>
            </w:r>
          </w:p>
        </w:tc>
        <w:tc>
          <w:tcPr>
            <w:tcW w:type="dxa" w:w="1080"/>
          </w:tcPr>
          <w:p>
            <w:r/>
            <w:r>
              <w:t>CTE ventana + B-tree compuesto</w:t>
            </w:r>
          </w:p>
        </w:tc>
        <w:tc>
          <w:tcPr>
            <w:tcW w:type="dxa" w:w="1080"/>
          </w:tcPr>
          <w:p>
            <w:r/>
            <w:r>
              <w:t>10475.732</w:t>
            </w:r>
          </w:p>
        </w:tc>
        <w:tc>
          <w:tcPr>
            <w:tcW w:type="dxa" w:w="1080"/>
          </w:tcPr>
          <w:p>
            <w:r/>
            <w:r>
              <w:t>1145.813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89.1%</w:t>
            </w:r>
          </w:p>
        </w:tc>
        <w:tc>
          <w:tcPr>
            <w:tcW w:type="dxa" w:w="1080"/>
          </w:tcPr>
          <w:p>
            <w:r/>
            <w:r>
              <w:t>1 067 023</w:t>
            </w:r>
          </w:p>
        </w:tc>
        <w:tc>
          <w:tcPr>
            <w:tcW w:type="dxa" w:w="1080"/>
          </w:tcPr>
          <w:p>
            <w:r/>
            <w:r>
              <w:t>5 625</w:t>
            </w:r>
          </w:p>
        </w:tc>
        <w:tc>
          <w:tcPr>
            <w:tcW w:type="dxa" w:w="1080"/>
          </w:tcPr>
          <w:p>
            <w:r/>
            <w:r>
              <w:t>99.5%</w:t>
            </w:r>
          </w:p>
        </w:tc>
      </w:tr>
      <w:tr>
        <w:tc>
          <w:tcPr>
            <w:tcW w:type="dxa" w:w="1080"/>
          </w:tcPr>
          <w:p>
            <w:r/>
            <w:r>
              <w:t>Q07 Sellers cercanos</w:t>
            </w:r>
          </w:p>
        </w:tc>
        <w:tc>
          <w:tcPr>
            <w:tcW w:type="dxa" w:w="1080"/>
          </w:tcPr>
          <w:p>
            <w:r/>
            <w:r>
              <w:rPr>
                <w:rFonts w:ascii="Consolas" w:hAnsi="Consolas"/>
                <w:sz w:val="19"/>
              </w:rPr>
              <w:t>ST_DWithin</w:t>
            </w:r>
            <w:r>
              <w:t xml:space="preserve"> + GiST</w:t>
            </w:r>
          </w:p>
        </w:tc>
        <w:tc>
          <w:tcPr>
            <w:tcW w:type="dxa" w:w="1080"/>
          </w:tcPr>
          <w:p>
            <w:r/>
            <w:r>
              <w:t>10.157</w:t>
            </w:r>
          </w:p>
        </w:tc>
        <w:tc>
          <w:tcPr>
            <w:tcW w:type="dxa" w:w="1080"/>
          </w:tcPr>
          <w:p>
            <w:r/>
            <w:r>
              <w:t>10.326</w:t>
            </w:r>
          </w:p>
        </w:tc>
        <w:tc>
          <w:tcPr>
            <w:tcW w:type="dxa" w:w="1080"/>
          </w:tcPr>
          <w:p>
            <w:r/>
            <w:r>
              <w:t>-1.7%</w:t>
            </w:r>
          </w:p>
        </w:tc>
        <w:tc>
          <w:tcPr>
            <w:tcW w:type="dxa" w:w="1080"/>
          </w:tcPr>
          <w:p>
            <w:r/>
            <w:r>
              <w:t>193</w:t>
            </w:r>
          </w:p>
        </w:tc>
        <w:tc>
          <w:tcPr>
            <w:tcW w:type="dxa" w:w="1080"/>
          </w:tcPr>
          <w:p>
            <w:r/>
            <w:r>
              <w:t>196</w:t>
            </w:r>
          </w:p>
        </w:tc>
        <w:tc>
          <w:tcPr>
            <w:tcW w:type="dxa" w:w="1080"/>
          </w:tcPr>
          <w:p>
            <w:r/>
            <w:r>
              <w:t>-1.6%</w:t>
            </w:r>
          </w:p>
        </w:tc>
      </w:tr>
      <w:tr>
        <w:tc>
          <w:tcPr>
            <w:tcW w:type="dxa" w:w="1080"/>
          </w:tcPr>
          <w:p>
            <w:r/>
            <w:r>
              <w:t>Q08 Promociones activas</w:t>
            </w:r>
          </w:p>
        </w:tc>
        <w:tc>
          <w:tcPr>
            <w:tcW w:type="dxa" w:w="1080"/>
          </w:tcPr>
          <w:p>
            <w:r/>
            <w:r>
              <w:t>Operadores indexables GiST/GIN</w:t>
            </w:r>
          </w:p>
        </w:tc>
        <w:tc>
          <w:tcPr>
            <w:tcW w:type="dxa" w:w="1080"/>
          </w:tcPr>
          <w:p>
            <w:r/>
            <w:r>
              <w:t>0.022</w:t>
            </w:r>
          </w:p>
        </w:tc>
        <w:tc>
          <w:tcPr>
            <w:tcW w:type="dxa" w:w="1080"/>
          </w:tcPr>
          <w:p>
            <w:r/>
            <w:r>
              <w:t>0.019</w:t>
            </w:r>
          </w:p>
        </w:tc>
        <w:tc>
          <w:tcPr>
            <w:tcW w:type="dxa" w:w="1080"/>
          </w:tcPr>
          <w:p>
            <w:r/>
            <w:r>
              <w:t>13.6%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0%</w:t>
            </w:r>
          </w:p>
        </w:tc>
      </w:tr>
      <w:tr>
        <w:tc>
          <w:tcPr>
            <w:tcW w:type="dxa" w:w="1080"/>
          </w:tcPr>
          <w:p>
            <w:r/>
            <w:r>
              <w:t>Q09 Segmentación clientes</w:t>
            </w:r>
          </w:p>
        </w:tc>
        <w:tc>
          <w:tcPr>
            <w:tcW w:type="dxa" w:w="1080"/>
          </w:tcPr>
          <w:p>
            <w:r/>
            <w:r>
              <w:t>Materialized view</w:t>
            </w:r>
          </w:p>
        </w:tc>
        <w:tc>
          <w:tcPr>
            <w:tcW w:type="dxa" w:w="1080"/>
          </w:tcPr>
          <w:p>
            <w:r/>
            <w:r>
              <w:t>872.522</w:t>
            </w:r>
          </w:p>
        </w:tc>
        <w:tc>
          <w:tcPr>
            <w:tcW w:type="dxa" w:w="1080"/>
          </w:tcPr>
          <w:p>
            <w:r/>
            <w:r>
              <w:t>0.444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99.9%</w:t>
            </w:r>
          </w:p>
        </w:tc>
        <w:tc>
          <w:tcPr>
            <w:tcW w:type="dxa" w:w="1080"/>
          </w:tcPr>
          <w:p>
            <w:r/>
            <w:r>
              <w:t>5 798</w:t>
            </w:r>
          </w:p>
        </w:tc>
        <w:tc>
          <w:tcPr>
            <w:tcW w:type="dxa" w:w="1080"/>
          </w:tcPr>
          <w:p>
            <w:r/>
            <w:r>
              <w:t>102</w:t>
            </w:r>
          </w:p>
        </w:tc>
        <w:tc>
          <w:tcPr>
            <w:tcW w:type="dxa" w:w="1080"/>
          </w:tcPr>
          <w:p>
            <w:r/>
            <w:r>
              <w:t>98.2%</w:t>
            </w:r>
          </w:p>
        </w:tc>
      </w:tr>
      <w:tr>
        <w:tc>
          <w:tcPr>
            <w:tcW w:type="dxa" w:w="1080"/>
          </w:tcPr>
          <w:p>
            <w:r/>
            <w:r>
              <w:t>Q10 Conteo mensual</w:t>
            </w:r>
          </w:p>
        </w:tc>
        <w:tc>
          <w:tcPr>
            <w:tcW w:type="dxa" w:w="1080"/>
          </w:tcPr>
          <w:p>
            <w:r/>
            <w:r>
              <w:t>Reescritura por rango (pruning)</w:t>
            </w:r>
          </w:p>
        </w:tc>
        <w:tc>
          <w:tcPr>
            <w:tcW w:type="dxa" w:w="1080"/>
          </w:tcPr>
          <w:p>
            <w:r/>
            <w:r>
              <w:t>35.423</w:t>
            </w:r>
          </w:p>
        </w:tc>
        <w:tc>
          <w:tcPr>
            <w:tcW w:type="dxa" w:w="1080"/>
          </w:tcPr>
          <w:p>
            <w:r/>
            <w:r>
              <w:t>3.173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91.0%</w:t>
            </w:r>
          </w:p>
        </w:tc>
        <w:tc>
          <w:tcPr>
            <w:tcW w:type="dxa" w:w="1080"/>
          </w:tcPr>
          <w:p>
            <w:r/>
            <w:r>
              <w:t>1 900</w:t>
            </w:r>
          </w:p>
        </w:tc>
        <w:tc>
          <w:tcPr>
            <w:tcW w:type="dxa" w:w="1080"/>
          </w:tcPr>
          <w:p>
            <w:r/>
            <w:r>
              <w:t>218</w:t>
            </w:r>
          </w:p>
        </w:tc>
        <w:tc>
          <w:tcPr>
            <w:tcW w:type="dxa" w:w="1080"/>
          </w:tcPr>
          <w:p>
            <w:r/>
            <w:r>
              <w:t>88.5%</w:t>
            </w:r>
          </w:p>
        </w:tc>
      </w:tr>
    </w:tbl>
    <w:p/>
    <w:p>
      <w:pPr>
        <w:ind w:left="240"/>
      </w:pPr>
      <w:r>
        <w:rPr>
          <w:rFonts w:ascii="Consolas" w:hAnsi="Consolas"/>
          <w:sz w:val="18"/>
        </w:rPr>
        <w:t>Mejora % = ((antes - después) / antes) * 100</w:t>
      </w:r>
    </w:p>
    <w:p>
      <w:pPr>
        <w:pStyle w:val="Heading2"/>
      </w:pPr>
      <w:r>
        <w:t>4.1 Análisis por caso</w:t>
      </w:r>
    </w:p>
    <w:p>
      <w:pPr>
        <w:pStyle w:val="ListBullet"/>
      </w:pPr>
      <w:r>
        <w:rPr>
          <w:b/>
        </w:rPr>
        <w:t>Q03 y Q09 (materialized views):</w:t>
      </w:r>
      <w:r>
        <w:t xml:space="preserve"> la mayor ganancia. Al precomputar las agregaciones (</w:t>
      </w:r>
      <w:r>
        <w:rPr>
          <w:rFonts w:ascii="Consolas" w:hAnsi="Consolas"/>
          <w:sz w:val="19"/>
        </w:rPr>
        <w:t>mv_sales_by_category_monthly</w:t>
      </w:r>
      <w:r>
        <w:t xml:space="preserve">, </w:t>
      </w:r>
      <w:r>
        <w:rPr>
          <w:rFonts w:ascii="Consolas" w:hAnsi="Consolas"/>
          <w:sz w:val="19"/>
        </w:rPr>
        <w:t>mv_customer_segments</w:t>
      </w:r>
      <w:r>
        <w:t xml:space="preserve">), Q03 pasa de leer 699 131 buffers y 1.47 s a leer </w:t>
      </w:r>
      <w:r>
        <w:rPr>
          <w:b/>
        </w:rPr>
        <w:t>1 buffer en 0.075 ms</w:t>
      </w:r>
      <w:r>
        <w:t>. Es el caso canónico de mover carga OLAP fuera del camino OLTP.</w:t>
      </w:r>
    </w:p>
    <w:p>
      <w:pPr>
        <w:pStyle w:val="ListBullet"/>
      </w:pPr>
      <w:r>
        <w:rPr>
          <w:b/>
        </w:rPr>
        <w:t>Q06 (filtrado temprano + índice compuesto):</w:t>
      </w:r>
      <w:r>
        <w:t xml:space="preserve"> de </w:t>
      </w:r>
      <w:r>
        <w:rPr>
          <w:b/>
        </w:rPr>
        <w:t>10.48 s a 1.15 s</w:t>
      </w:r>
      <w:r>
        <w:t xml:space="preserve"> (89.1%) y de 1.07 M a 5 625 buffers (99.5%). El CTE materializado reduce </w:t>
      </w:r>
      <w:r>
        <w:rPr>
          <w:rFonts w:ascii="Consolas" w:hAnsi="Consolas"/>
          <w:sz w:val="19"/>
        </w:rPr>
        <w:t>order_item</w:t>
      </w:r>
      <w:r>
        <w:t xml:space="preserve"> por la ventana de envío </w:t>
      </w:r>
      <w:r>
        <w:rPr>
          <w:b/>
        </w:rPr>
        <w:t>antes</w:t>
      </w:r>
      <w:r>
        <w:t xml:space="preserve"> del JOIN con </w:t>
      </w:r>
      <w:r>
        <w:rPr>
          <w:rFonts w:ascii="Consolas" w:hAnsi="Consolas"/>
          <w:sz w:val="19"/>
        </w:rPr>
        <w:t>order</w:t>
      </w:r>
      <w:r>
        <w:t>, evitando un hash join masivo que derramaba a disco.</w:t>
      </w:r>
    </w:p>
    <w:p>
      <w:pPr>
        <w:pStyle w:val="ListBullet"/>
      </w:pPr>
      <w:r>
        <w:rPr>
          <w:b/>
        </w:rPr>
        <w:t>Q10 (reescritura por rango):</w:t>
      </w:r>
      <w:r>
        <w:t xml:space="preserve"> sustituir </w:t>
      </w:r>
      <w:r>
        <w:rPr>
          <w:rFonts w:ascii="Consolas" w:hAnsi="Consolas"/>
          <w:sz w:val="19"/>
        </w:rPr>
        <w:t>date_trunc(order_purchase_timestamp) = '2026-01-01'</w:t>
      </w:r>
      <w:r>
        <w:t xml:space="preserve"> por </w:t>
      </w:r>
      <w:r>
        <w:rPr>
          <w:rFonts w:ascii="Consolas" w:hAnsi="Consolas"/>
          <w:sz w:val="19"/>
        </w:rPr>
        <w:t>&gt;= '2026-01-01' AND &lt; '2026-02-01'</w:t>
      </w:r>
      <w:r>
        <w:t xml:space="preserve"> habilita partition pruning: el plan pasa de un </w:t>
      </w:r>
      <w:r>
        <w:rPr>
          <w:rFonts w:ascii="Consolas" w:hAnsi="Consolas"/>
          <w:sz w:val="19"/>
        </w:rPr>
        <w:t>Append</w:t>
      </w:r>
      <w:r>
        <w:t xml:space="preserve"> sobre 12 particiones a un </w:t>
      </w:r>
      <w:r>
        <w:rPr>
          <w:rFonts w:ascii="Consolas" w:hAnsi="Consolas"/>
          <w:sz w:val="19"/>
        </w:rPr>
        <w:t>Seq Scan</w:t>
      </w:r>
      <w:r>
        <w:t xml:space="preserve"> sobre una sola (</w:t>
      </w:r>
      <w:r>
        <w:rPr>
          <w:rFonts w:ascii="Consolas" w:hAnsi="Consolas"/>
          <w:sz w:val="19"/>
        </w:rPr>
        <w:t>order_2026_01</w:t>
      </w:r>
      <w:r>
        <w:t>), bajando de 35.4 ms a 3.17 ms (91%).</w:t>
      </w:r>
    </w:p>
    <w:p>
      <w:pPr>
        <w:pStyle w:val="ListBullet"/>
      </w:pPr>
      <w:r>
        <w:rPr>
          <w:b/>
        </w:rPr>
        <w:t>Q01 y Q02:</w:t>
      </w:r>
      <w:r>
        <w:t xml:space="preserve"> mejoras sólidas (68.9% y 47%) por índice parcial/compuesto y filtrado temprano.</w:t>
      </w:r>
    </w:p>
    <w:p>
      <w:pPr>
        <w:pStyle w:val="ListBullet"/>
      </w:pPr>
      <w:r>
        <w:rPr>
          <w:b/>
        </w:rPr>
        <w:t>Q04, Q05, Q07, Q08 (conjuntos pequeños):</w:t>
      </w:r>
      <w:r>
        <w:t xml:space="preserve"> mejora marginal o levemente negativa. El catálogo (~1.000 productos) y el objetivo espacial (1 cliente) son demasiado pequeños para amortizar el costo fijo del índice/CTE. Es el comportamiento </w:t>
      </w:r>
      <w:r>
        <w:rPr>
          <w:b/>
        </w:rPr>
        <w:t>esperado</w:t>
      </w:r>
      <w:r>
        <w:t xml:space="preserve"> y se reporta con honestidad: una optimización debe justificarse con volumen y selectividad reales.</w:t>
      </w:r>
    </w:p>
    <w:p>
      <w:pPr>
        <w:pStyle w:val="Heading2"/>
      </w:pPr>
      <w:r>
        <w:t>4.2 Evidencia de cambio de plan (Seq Scan → Index/MV)</w:t>
      </w:r>
    </w:p>
    <w:p>
      <w:pPr>
        <w:pStyle w:val="ListBullet"/>
      </w:pPr>
      <w:r>
        <w:t xml:space="preserve">Q03: </w:t>
      </w:r>
      <w:r>
        <w:rPr>
          <w:rFonts w:ascii="Consolas" w:hAnsi="Consolas"/>
          <w:sz w:val="19"/>
        </w:rPr>
        <w:t>Hash Join</w:t>
      </w:r>
      <w:r>
        <w:t xml:space="preserve"> + </w:t>
      </w:r>
      <w:r>
        <w:rPr>
          <w:rFonts w:ascii="Consolas" w:hAnsi="Consolas"/>
          <w:sz w:val="19"/>
        </w:rPr>
        <w:t>HashAggregate</w:t>
      </w:r>
      <w:r>
        <w:t xml:space="preserve"> sobre tablas base (con derrame a </w:t>
      </w:r>
      <w:r>
        <w:rPr>
          <w:rFonts w:ascii="Consolas" w:hAnsi="Consolas"/>
          <w:sz w:val="19"/>
        </w:rPr>
        <w:t>temp</w:t>
      </w:r>
      <w:r>
        <w:t xml:space="preserve">) → </w:t>
      </w:r>
      <w:r>
        <w:rPr>
          <w:b/>
        </w:rPr>
        <w:t>`Seq Scan` sobre la materialized view</w:t>
      </w:r>
      <w:r>
        <w:t xml:space="preserve"> (1 buffer).</w:t>
      </w:r>
    </w:p>
    <w:p>
      <w:pPr>
        <w:pStyle w:val="ListBullet"/>
      </w:pPr>
      <w:r>
        <w:t xml:space="preserve">Q10: </w:t>
      </w:r>
      <w:r>
        <w:rPr>
          <w:rFonts w:ascii="Consolas" w:hAnsi="Consolas"/>
          <w:sz w:val="19"/>
        </w:rPr>
        <w:t>Append</w:t>
      </w:r>
      <w:r>
        <w:t xml:space="preserve"> sobre 12 particiones → </w:t>
      </w:r>
      <w:r>
        <w:rPr>
          <w:b/>
        </w:rPr>
        <w:t>`Seq Scan` sobre `order_2026_01`</w:t>
      </w:r>
      <w:r>
        <w:t xml:space="preserve"> únicamente.</w:t>
      </w:r>
    </w:p>
    <w:p>
      <w:pPr>
        <w:pStyle w:val="ListBullet"/>
      </w:pPr>
      <w:r>
        <w:t xml:space="preserve">Q06: </w:t>
      </w:r>
      <w:r>
        <w:rPr>
          <w:rFonts w:ascii="Consolas" w:hAnsi="Consolas"/>
          <w:sz w:val="19"/>
        </w:rPr>
        <w:t>Hash Join</w:t>
      </w:r>
      <w:r>
        <w:t xml:space="preserve"> masivo </w:t>
      </w:r>
      <w:r>
        <w:rPr>
          <w:rFonts w:ascii="Consolas" w:hAnsi="Consolas"/>
          <w:sz w:val="19"/>
        </w:rPr>
        <w:t>seller × order_item × order</w:t>
      </w:r>
      <w:r>
        <w:t xml:space="preserve"> → </w:t>
      </w:r>
      <w:r>
        <w:rPr>
          <w:b/>
        </w:rPr>
        <w:t>CTE materializado</w:t>
      </w:r>
      <w:r>
        <w:t xml:space="preserve"> </w:t>
      </w:r>
      <w:r>
        <w:rPr>
          <w:rFonts w:ascii="Consolas" w:hAnsi="Consolas"/>
          <w:sz w:val="19"/>
        </w:rPr>
        <w:t>items_window</w:t>
      </w:r>
      <w:r>
        <w:t xml:space="preserve"> + JOIN reducido.</w:t>
      </w:r>
    </w:p>
    <w:p>
      <w:pPr>
        <w:pStyle w:val="Heading1"/>
      </w:pPr>
      <w:r>
        <w:t>5. Índices especializados creados</w:t>
      </w:r>
    </w:p>
    <w:p>
      <w:r>
        <w:t xml:space="preserve">Se implementaron seis índices </w:t>
      </w:r>
      <w:r>
        <w:rPr>
          <w:rFonts w:ascii="Consolas" w:hAnsi="Consolas"/>
          <w:sz w:val="19"/>
        </w:rPr>
        <w:t>idx_u4_*</w:t>
      </w:r>
      <w:r>
        <w:t xml:space="preserve"> que cubren </w:t>
      </w:r>
      <w:r>
        <w:rPr>
          <w:b/>
        </w:rPr>
        <w:t>al menos cuatro tipos diferentes</w:t>
      </w:r>
      <w:r>
        <w:t xml:space="preserve"> (BRIN, B-tree compuesto, B-tree parcial y GIN de expresión):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Índice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Tabla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Justificación técnica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Patrón que optimiza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Trade-off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Tamaño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idx_u4_order_purchase_brin</w:t>
            </w:r>
          </w:p>
        </w:tc>
        <w:tc>
          <w:tcPr>
            <w:tcW w:type="dxa" w:w="1234"/>
          </w:tcPr>
          <w:p>
            <w:r/>
            <w:r>
              <w:t>BRIN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order</w:t>
            </w:r>
          </w:p>
        </w:tc>
        <w:tc>
          <w:tcPr>
            <w:tcW w:type="dxa" w:w="1234"/>
          </w:tcPr>
          <w:p>
            <w:r/>
            <w:r>
              <w:t>Tabla grande, append-only, físicamente correlacionada por fecha</w:t>
            </w:r>
          </w:p>
        </w:tc>
        <w:tc>
          <w:tcPr>
            <w:tcW w:type="dxa" w:w="1234"/>
          </w:tcPr>
          <w:p>
            <w:r/>
            <w:r>
              <w:t>Rango temporal</w:t>
            </w:r>
          </w:p>
        </w:tc>
        <w:tc>
          <w:tcPr>
            <w:tcW w:type="dxa" w:w="1234"/>
          </w:tcPr>
          <w:p>
            <w:r/>
            <w:r>
              <w:t>Menor precisión que B-tree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~24 kB/partición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idx_u4_order_status_purchase</w:t>
            </w:r>
          </w:p>
        </w:tc>
        <w:tc>
          <w:tcPr>
            <w:tcW w:type="dxa" w:w="1234"/>
          </w:tcPr>
          <w:p>
            <w:r/>
            <w:r>
              <w:t>B-tree compuesto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order</w:t>
            </w:r>
          </w:p>
        </w:tc>
        <w:tc>
          <w:tcPr>
            <w:tcW w:type="dxa" w:w="1234"/>
          </w:tcPr>
          <w:p>
            <w:r/>
            <w:r>
              <w:t>Filtra por estado operativo y ordena por fecha</w:t>
            </w:r>
          </w:p>
        </w:tc>
        <w:tc>
          <w:tcPr>
            <w:tcW w:type="dxa" w:w="1234"/>
          </w:tcPr>
          <w:p>
            <w:r/>
            <w:r>
              <w:t>Estado + ventana temporal</w:t>
            </w:r>
          </w:p>
        </w:tc>
        <w:tc>
          <w:tcPr>
            <w:tcW w:type="dxa" w:w="1234"/>
          </w:tcPr>
          <w:p>
            <w:r/>
            <w:r>
              <w:t>Mayor costo de escritura</w:t>
            </w:r>
          </w:p>
        </w:tc>
        <w:tc>
          <w:tcPr>
            <w:tcW w:type="dxa" w:w="1234"/>
          </w:tcPr>
          <w:p>
            <w:r/>
            <w:r>
              <w:t>~0.5–1.6 MB/partición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idx_u4_order_delivered_customer</w:t>
            </w:r>
          </w:p>
        </w:tc>
        <w:tc>
          <w:tcPr>
            <w:tcW w:type="dxa" w:w="1234"/>
          </w:tcPr>
          <w:p>
            <w:r/>
            <w:r>
              <w:t>B-tree parcial (</w:t>
            </w:r>
            <w:r>
              <w:rPr>
                <w:rFonts w:ascii="Consolas" w:hAnsi="Consolas"/>
                <w:sz w:val="19"/>
              </w:rPr>
              <w:t>WHERE delivered</w:t>
            </w:r>
            <w:r>
              <w:t>)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order</w:t>
            </w:r>
          </w:p>
        </w:tc>
        <w:tc>
          <w:tcPr>
            <w:tcW w:type="dxa" w:w="1234"/>
          </w:tcPr>
          <w:p>
            <w:r/>
            <w:r>
              <w:t>Reduce el índice al subconjunto entregado</w:t>
            </w:r>
          </w:p>
        </w:tc>
        <w:tc>
          <w:tcPr>
            <w:tcW w:type="dxa" w:w="1234"/>
          </w:tcPr>
          <w:p>
            <w:r/>
            <w:r>
              <w:t>Segmentación RFM</w:t>
            </w:r>
          </w:p>
        </w:tc>
        <w:tc>
          <w:tcPr>
            <w:tcW w:type="dxa" w:w="1234"/>
          </w:tcPr>
          <w:p>
            <w:r/>
            <w:r>
              <w:t xml:space="preserve">Solo aplica a </w:t>
            </w:r>
            <w:r>
              <w:rPr>
                <w:rFonts w:ascii="Consolas" w:hAnsi="Consolas"/>
                <w:sz w:val="19"/>
              </w:rPr>
              <w:t>delivered</w:t>
            </w:r>
          </w:p>
        </w:tc>
        <w:tc>
          <w:tcPr>
            <w:tcW w:type="dxa" w:w="1234"/>
          </w:tcPr>
          <w:p>
            <w:r/>
            <w:r>
              <w:t>~0.3–1.0 MB/partición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idx_u4_order_item_seller_shipping</w:t>
            </w:r>
          </w:p>
        </w:tc>
        <w:tc>
          <w:tcPr>
            <w:tcW w:type="dxa" w:w="1234"/>
          </w:tcPr>
          <w:p>
            <w:r/>
            <w:r>
              <w:t>B-tree compuesto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order_item</w:t>
            </w:r>
          </w:p>
        </w:tc>
        <w:tc>
          <w:tcPr>
            <w:tcW w:type="dxa" w:w="1234"/>
          </w:tcPr>
          <w:p>
            <w:r/>
            <w:r>
              <w:t>Filtra ítems por seller y ventana de envío</w:t>
            </w:r>
          </w:p>
        </w:tc>
        <w:tc>
          <w:tcPr>
            <w:tcW w:type="dxa" w:w="1234"/>
          </w:tcPr>
          <w:p>
            <w:r/>
            <w:r>
              <w:t>Desempeño de seller/SLA</w:t>
            </w:r>
          </w:p>
        </w:tc>
        <w:tc>
          <w:tcPr>
            <w:tcW w:type="dxa" w:w="1234"/>
          </w:tcPr>
          <w:p>
            <w:r/>
            <w:r>
              <w:t>Espacio adicional</w:t>
            </w:r>
          </w:p>
        </w:tc>
        <w:tc>
          <w:tcPr>
            <w:tcW w:type="dxa" w:w="1234"/>
          </w:tcPr>
          <w:p>
            <w:r/>
            <w:r>
              <w:t>14 MB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idx_u4_product_name_lower_trgm</w:t>
            </w:r>
          </w:p>
        </w:tc>
        <w:tc>
          <w:tcPr>
            <w:tcW w:type="dxa" w:w="1234"/>
          </w:tcPr>
          <w:p>
            <w:r/>
            <w:r>
              <w:t>GIN de expresión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product</w:t>
            </w:r>
          </w:p>
        </w:tc>
        <w:tc>
          <w:tcPr>
            <w:tcW w:type="dxa" w:w="1234"/>
          </w:tcPr>
          <w:p>
            <w:r/>
            <w:r>
              <w:t>Búsqueda textual case-insensitive tolerante a errores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lower(name) % lower(?)</w:t>
            </w:r>
          </w:p>
        </w:tc>
        <w:tc>
          <w:tcPr>
            <w:tcW w:type="dxa" w:w="1234"/>
          </w:tcPr>
          <w:p>
            <w:r/>
            <w:r>
              <w:t>Alto espacio relativo</w:t>
            </w:r>
          </w:p>
        </w:tc>
        <w:tc>
          <w:tcPr>
            <w:tcW w:type="dxa" w:w="1234"/>
          </w:tcPr>
          <w:p>
            <w:r/>
            <w:r>
              <w:t>128 kB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idx_u4_payment_type_installments_value</w:t>
            </w:r>
          </w:p>
        </w:tc>
        <w:tc>
          <w:tcPr>
            <w:tcW w:type="dxa" w:w="1234"/>
          </w:tcPr>
          <w:p>
            <w:r/>
            <w:r>
              <w:t>B-tree compuesto</w:t>
            </w:r>
          </w:p>
        </w:tc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payment</w:t>
            </w:r>
          </w:p>
        </w:tc>
        <w:tc>
          <w:tcPr>
            <w:tcW w:type="dxa" w:w="1234"/>
          </w:tcPr>
          <w:p>
            <w:r/>
            <w:r>
              <w:t>Auditoría de pagos por método/cuotas/valor</w:t>
            </w:r>
          </w:p>
        </w:tc>
        <w:tc>
          <w:tcPr>
            <w:tcW w:type="dxa" w:w="1234"/>
          </w:tcPr>
          <w:p>
            <w:r/>
            <w:r>
              <w:t>Consultas de riesgo</w:t>
            </w:r>
          </w:p>
        </w:tc>
        <w:tc>
          <w:tcPr>
            <w:tcW w:type="dxa" w:w="1234"/>
          </w:tcPr>
          <w:p>
            <w:r/>
            <w:r>
              <w:t>Depende de selectividad</w:t>
            </w:r>
          </w:p>
        </w:tc>
        <w:tc>
          <w:tcPr>
            <w:tcW w:type="dxa" w:w="1234"/>
          </w:tcPr>
          <w:p>
            <w:r/>
            <w:r>
              <w:t>4640 kB</w:t>
            </w:r>
          </w:p>
        </w:tc>
      </w:tr>
    </w:tbl>
    <w:p/>
    <w:p>
      <w:r>
        <w:rPr>
          <w:b/>
        </w:rPr>
        <w:t>Hallazgo de espacio (BRIN):</w:t>
      </w:r>
      <w:r>
        <w:t xml:space="preserve"> sobre la tabla particionada, el BRIN se mantiene en </w:t>
      </w:r>
      <w:r>
        <w:rPr>
          <w:b/>
        </w:rPr>
        <w:t>~24 kB por partición</w:t>
      </w:r>
      <w:r>
        <w:t xml:space="preserve"> sin importar el volumen, frente a ~1 MB del índice </w:t>
      </w:r>
      <w:r>
        <w:rPr>
          <w:rFonts w:ascii="Consolas" w:hAnsi="Consolas"/>
          <w:sz w:val="19"/>
        </w:rPr>
        <w:t>pkey</w:t>
      </w:r>
      <w:r>
        <w:t xml:space="preserve"> (B-tree) de la misma partición. Es evidencia directa del trade-off espacio/precisión que justifica BRIN en tablas grandes append-only.</w:t>
      </w:r>
    </w:p>
    <w:p>
      <w:pPr>
        <w:ind w:left="360"/>
      </w:pPr>
      <w:r>
        <w:rPr>
          <w:i/>
        </w:rPr>
        <w:t xml:space="preserve">Nota técnica: los índices definidos sobre la tabla particionada se materializan en las particiones hijas; por eso </w:t>
      </w:r>
      <w:r>
        <w:rPr>
          <w:rFonts w:ascii="Consolas" w:hAnsi="Consolas"/>
          <w:i/>
          <w:sz w:val="19"/>
        </w:rPr>
        <w:t>pg_stat_user_indexes</w:t>
      </w:r>
      <w:r>
        <w:rPr>
          <w:i/>
        </w:rPr>
        <w:t xml:space="preserve"> del padre muestra tamaño propio solo para las tablas no particionadas (</w:t>
      </w:r>
      <w:r>
        <w:rPr>
          <w:rFonts w:ascii="Consolas" w:hAnsi="Consolas"/>
          <w:i/>
          <w:sz w:val="19"/>
        </w:rPr>
        <w:t>order_item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product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payment</w:t>
      </w:r>
      <w:r>
        <w:rPr>
          <w:i/>
        </w:rPr>
        <w:t>).</w:t>
      </w:r>
    </w:p>
    <w:p>
      <w:pPr>
        <w:pStyle w:val="Heading1"/>
      </w:pPr>
      <w:r>
        <w:t>6. Particionamiento declarativo</w:t>
      </w:r>
    </w:p>
    <w:p>
      <w:r>
        <w:t xml:space="preserve">La tabla </w:t>
      </w:r>
      <w:r>
        <w:rPr>
          <w:rFonts w:ascii="Consolas" w:hAnsi="Consolas"/>
          <w:sz w:val="19"/>
        </w:rPr>
        <w:t>"order"</w:t>
      </w:r>
      <w:r>
        <w:t xml:space="preserve"> está particionada por </w:t>
      </w:r>
      <w:r>
        <w:rPr>
          <w:rFonts w:ascii="Consolas" w:hAnsi="Consolas"/>
          <w:sz w:val="19"/>
        </w:rPr>
        <w:t>PARTITION BY RANGE (order_purchase_timestamp)</w:t>
      </w:r>
      <w:r>
        <w:t>.</w:t>
      </w:r>
    </w:p>
    <w:p>
      <w:pPr>
        <w:pStyle w:val="Heading2"/>
      </w:pPr>
      <w:r>
        <w:t>6.1 Estructura y distribución observadas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Partición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Rango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Filas estimadas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Tamaño</w:t>
            </w:r>
          </w:p>
        </w:tc>
      </w:tr>
      <w:tr>
        <w:tc>
          <w:tcPr>
            <w:tcW w:type="dxa" w:w="2160"/>
          </w:tcPr>
          <w:p>
            <w:r/>
            <w:r>
              <w:t>order_2016 / 2017 / 2018_h1</w:t>
            </w:r>
          </w:p>
        </w:tc>
        <w:tc>
          <w:tcPr>
            <w:tcW w:type="dxa" w:w="2160"/>
          </w:tcPr>
          <w:p>
            <w:r/>
            <w:r>
              <w:t>histórico (cold)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96 kB c/u</w:t>
            </w:r>
          </w:p>
        </w:tc>
      </w:tr>
      <w:tr>
        <w:tc>
          <w:tcPr>
            <w:tcW w:type="dxa" w:w="2160"/>
          </w:tcPr>
          <w:p>
            <w:r/>
            <w:r>
              <w:t>order_2025_q4</w:t>
            </w:r>
          </w:p>
        </w:tc>
        <w:tc>
          <w:tcPr>
            <w:tcW w:type="dxa" w:w="2160"/>
          </w:tcPr>
          <w:p>
            <w:r/>
            <w:r>
              <w:t>2025-10 → 2026-01</w:t>
            </w:r>
          </w:p>
        </w:tc>
        <w:tc>
          <w:tcPr>
            <w:tcW w:type="dxa" w:w="2160"/>
          </w:tcPr>
          <w:p>
            <w:r/>
            <w:r>
              <w:t>~50 999</w:t>
            </w:r>
          </w:p>
        </w:tc>
        <w:tc>
          <w:tcPr>
            <w:tcW w:type="dxa" w:w="2160"/>
          </w:tcPr>
          <w:p>
            <w:r/>
            <w:r>
              <w:t>14 MB</w:t>
            </w:r>
          </w:p>
        </w:tc>
      </w:tr>
      <w:tr>
        <w:tc>
          <w:tcPr>
            <w:tcW w:type="dxa" w:w="2160"/>
          </w:tcPr>
          <w:p>
            <w:r/>
            <w:r>
              <w:t>order_2026_01</w:t>
            </w:r>
          </w:p>
        </w:tc>
        <w:tc>
          <w:tcPr>
            <w:tcW w:type="dxa" w:w="2160"/>
          </w:tcPr>
          <w:p>
            <w:r/>
            <w:r>
              <w:t>enero 2026</w:t>
            </w:r>
          </w:p>
        </w:tc>
        <w:tc>
          <w:tcPr>
            <w:tcW w:type="dxa" w:w="2160"/>
          </w:tcPr>
          <w:p>
            <w:r/>
            <w:r>
              <w:t>~17 234</w:t>
            </w:r>
          </w:p>
        </w:tc>
        <w:tc>
          <w:tcPr>
            <w:tcW w:type="dxa" w:w="2160"/>
          </w:tcPr>
          <w:p>
            <w:r/>
            <w:r>
              <w:t>4984 kB</w:t>
            </w:r>
          </w:p>
        </w:tc>
      </w:tr>
      <w:tr>
        <w:tc>
          <w:tcPr>
            <w:tcW w:type="dxa" w:w="2160"/>
          </w:tcPr>
          <w:p>
            <w:r/>
            <w:r>
              <w:t>order_2026_02 … 2026_06</w:t>
            </w:r>
          </w:p>
        </w:tc>
        <w:tc>
          <w:tcPr>
            <w:tcW w:type="dxa" w:w="2160"/>
          </w:tcPr>
          <w:p>
            <w:r/>
            <w:r>
              <w:t>feb–jun 2026</w:t>
            </w:r>
          </w:p>
        </w:tc>
        <w:tc>
          <w:tcPr>
            <w:tcW w:type="dxa" w:w="2160"/>
          </w:tcPr>
          <w:p>
            <w:r/>
            <w:r>
              <w:t>~15k–17k c/u</w:t>
            </w:r>
          </w:p>
        </w:tc>
        <w:tc>
          <w:tcPr>
            <w:tcW w:type="dxa" w:w="2160"/>
          </w:tcPr>
          <w:p>
            <w:r/>
            <w:r>
              <w:t>~4.4–5.0 MB c/u</w:t>
            </w:r>
          </w:p>
        </w:tc>
      </w:tr>
      <w:tr>
        <w:tc>
          <w:tcPr>
            <w:tcW w:type="dxa" w:w="2160"/>
          </w:tcPr>
          <w:p>
            <w:r/>
            <w:r>
              <w:t>order_default</w:t>
            </w:r>
          </w:p>
        </w:tc>
        <w:tc>
          <w:tcPr>
            <w:tcW w:type="dxa" w:w="2160"/>
          </w:tcPr>
          <w:p>
            <w:r/>
            <w:r>
              <w:t>DEFAULT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160"/>
          </w:tcPr>
          <w:p>
            <w:r/>
            <w:r>
              <w:t>96 kB</w:t>
            </w:r>
          </w:p>
        </w:tc>
      </w:tr>
      <w:tr>
        <w:tc>
          <w:tcPr>
            <w:tcW w:type="dxa" w:w="2160"/>
          </w:tcPr>
          <w:p>
            <w:r/>
            <w:r>
              <w:t>order_2026_07</w:t>
            </w:r>
          </w:p>
        </w:tc>
        <w:tc>
          <w:tcPr>
            <w:tcW w:type="dxa" w:w="2160"/>
          </w:tcPr>
          <w:p>
            <w:r/>
            <w:r>
              <w:t>creada en la prueba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</w:tr>
    </w:tbl>
    <w:p/>
    <w:p>
      <w:pPr>
        <w:pStyle w:val="Heading2"/>
      </w:pPr>
      <w:r>
        <w:t>6.2 Evidencia de partition pruning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Particiones leídas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Buffers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Execution</w:t>
            </w:r>
          </w:p>
        </w:tc>
      </w:tr>
      <w:tr>
        <w:tc>
          <w:tcPr>
            <w:tcW w:type="dxa" w:w="2160"/>
          </w:tcPr>
          <w:p>
            <w:r/>
            <w:r>
              <w:t>Filtro por rango (enero 2026)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order_2026_01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218</w:t>
            </w:r>
          </w:p>
        </w:tc>
        <w:tc>
          <w:tcPr>
            <w:tcW w:type="dxa" w:w="2160"/>
          </w:tcPr>
          <w:p>
            <w:r/>
            <w:r>
              <w:t>3.98 ms</w:t>
            </w:r>
          </w:p>
        </w:tc>
      </w:tr>
      <w:tr>
        <w:tc>
          <w:tcPr>
            <w:tcW w:type="dxa" w:w="2160"/>
          </w:tcPr>
          <w:p>
            <w:r/>
            <w:r>
              <w:t>Sin filtro temporal</w:t>
            </w:r>
          </w:p>
        </w:tc>
        <w:tc>
          <w:tcPr>
            <w:tcW w:type="dxa" w:w="2160"/>
          </w:tcPr>
          <w:p>
            <w:r/>
            <w:r>
              <w:t>múltiples (</w:t>
            </w:r>
            <w:r>
              <w:rPr>
                <w:rFonts w:ascii="Consolas" w:hAnsi="Consolas"/>
                <w:sz w:val="19"/>
              </w:rPr>
              <w:t>Append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19.7 ms</w:t>
            </w:r>
          </w:p>
        </w:tc>
      </w:tr>
      <w:tr>
        <w:tc>
          <w:tcPr>
            <w:tcW w:type="dxa" w:w="2160"/>
          </w:tcPr>
          <w:p>
            <w:r/>
            <w:r>
              <w:t xml:space="preserve">Anti-patrón </w:t>
            </w:r>
            <w:r>
              <w:rPr>
                <w:rFonts w:ascii="Consolas" w:hAnsi="Consolas"/>
                <w:sz w:val="19"/>
              </w:rPr>
              <w:t>date_trunc(col) = ...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</w:t>
            </w:r>
            <w:r>
              <w:t xml:space="preserve"> (todas, </w:t>
            </w:r>
            <w:r>
              <w:rPr>
                <w:rFonts w:ascii="Consolas" w:hAnsi="Consolas"/>
                <w:sz w:val="19"/>
              </w:rPr>
              <w:t>Append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1 900</w:t>
            </w:r>
          </w:p>
        </w:tc>
        <w:tc>
          <w:tcPr>
            <w:tcW w:type="dxa" w:w="2160"/>
          </w:tcPr>
          <w:p>
            <w:r/>
            <w:r>
              <w:t>38.77 ms</w:t>
            </w:r>
          </w:p>
        </w:tc>
      </w:tr>
    </w:tbl>
    <w:p/>
    <w:p>
      <w:r>
        <w:t xml:space="preserve">La comparación directa (mismo conteo de enero 2026) muestra que </w:t>
      </w:r>
      <w:r>
        <w:rPr>
          <w:b/>
        </w:rPr>
        <w:t>evitar la función sobre la columna de partición</w:t>
      </w:r>
      <w:r>
        <w:t xml:space="preserve"> reduce ~90% el tiempo y ~88% los buffers, exclusivamente por habilitar el pruning.</w:t>
      </w:r>
    </w:p>
    <w:p>
      <w:pPr>
        <w:pStyle w:val="Heading2"/>
      </w:pPr>
      <w:r>
        <w:t>6.3 Mantenimiento validado</w:t>
      </w:r>
    </w:p>
    <w:p>
      <w:pPr>
        <w:pStyle w:val="ListBullet"/>
      </w:pPr>
      <w:r>
        <w:rPr>
          <w:rFonts w:ascii="Consolas" w:hAnsi="Consolas"/>
          <w:sz w:val="19"/>
        </w:rPr>
        <w:t>order_default</w:t>
      </w:r>
      <w:r>
        <w:t xml:space="preserve"> permanece en </w:t>
      </w:r>
      <w:r>
        <w:rPr>
          <w:b/>
        </w:rPr>
        <w:t>0 filas</w:t>
      </w:r>
      <w:r>
        <w:t xml:space="preserve"> (todas las órdenes caen en particiones nombradas).</w:t>
      </w:r>
    </w:p>
    <w:p>
      <w:pPr>
        <w:pStyle w:val="ListBullet"/>
      </w:pPr>
      <w:r>
        <w:t xml:space="preserve">La función </w:t>
      </w:r>
      <w:r>
        <w:rPr>
          <w:rFonts w:ascii="Consolas" w:hAnsi="Consolas"/>
          <w:sz w:val="19"/>
        </w:rPr>
        <w:t>create_monthly_order_partition(2026, 7)</w:t>
      </w:r>
      <w:r>
        <w:t xml:space="preserve"> creó correctamente </w:t>
      </w:r>
      <w:r>
        <w:rPr>
          <w:rFonts w:ascii="Consolas" w:hAnsi="Consolas"/>
          <w:sz w:val="19"/>
        </w:rPr>
        <w:t>order_2026_07</w:t>
      </w:r>
      <w:r>
        <w:t>, demostrando la estrategia de creación automática de particiones futuras.</w:t>
      </w:r>
    </w:p>
    <w:p>
      <w:pPr>
        <w:pStyle w:val="Heading1"/>
      </w:pPr>
      <w:r>
        <w:t>7. Hallazgos</w:t>
      </w:r>
    </w:p>
    <w:p>
      <w:pPr>
        <w:pStyle w:val="ListNumber"/>
      </w:pPr>
      <w:r>
        <w:t xml:space="preserve">Las </w:t>
      </w:r>
      <w:r>
        <w:rPr>
          <w:b/>
        </w:rPr>
        <w:t>materialized views</w:t>
      </w:r>
      <w:r>
        <w:t xml:space="preserve"> (Q03, Q09) ofrecen la mayor mejora para agregaciones recurrentes: hasta ~100% en tiempo y buffers.</w:t>
      </w:r>
    </w:p>
    <w:p>
      <w:pPr>
        <w:pStyle w:val="ListNumber"/>
      </w:pPr>
      <w:r>
        <w:t xml:space="preserve">El </w:t>
      </w:r>
      <w:r>
        <w:rPr>
          <w:b/>
        </w:rPr>
        <w:t>filtrado temprano</w:t>
      </w:r>
      <w:r>
        <w:t xml:space="preserve"> antes del JOIN (Q06) reduce un join masivo de 10.5 s a 1.1 s (99.5% menos buffers).</w:t>
      </w:r>
    </w:p>
    <w:p>
      <w:pPr>
        <w:pStyle w:val="ListNumber"/>
      </w:pPr>
      <w:r>
        <w:t xml:space="preserve">La </w:t>
      </w:r>
      <w:r>
        <w:rPr>
          <w:b/>
        </w:rPr>
        <w:t>reescritura por rango</w:t>
      </w:r>
      <w:r>
        <w:t xml:space="preserve"> (Q10) habilita partition pruning real (12 → 1 partición, 91% menos tiempo).</w:t>
      </w:r>
    </w:p>
    <w:p>
      <w:pPr>
        <w:pStyle w:val="ListNumber"/>
      </w:pPr>
      <w:r>
        <w:t xml:space="preserve">La </w:t>
      </w:r>
      <w:r>
        <w:rPr>
          <w:b/>
        </w:rPr>
        <w:t>reducción de buffers</w:t>
      </w:r>
      <w:r>
        <w:t xml:space="preserve"> acompaña a la de tiempo en las consultas pesadas, confirmando menos I/O lógico además de menos CPU.</w:t>
      </w:r>
    </w:p>
    <w:p>
      <w:pPr>
        <w:pStyle w:val="ListNumber"/>
      </w:pPr>
      <w:r>
        <w:t>En conjuntos pequeños (Q04, Q05, Q07, Q08) las optimizaciones no se amortizan; documentarlo es parte del rigor.</w:t>
      </w:r>
    </w:p>
    <w:p>
      <w:pPr>
        <w:pStyle w:val="Heading1"/>
      </w:pPr>
      <w:r>
        <w:t>8. Limitaciones y trabajo futuro</w:t>
      </w:r>
    </w:p>
    <w:p>
      <w:pPr>
        <w:pStyle w:val="ListBullet"/>
      </w:pPr>
      <w:r>
        <w:t xml:space="preserve">Los tiempos dependen del hardware del contenedor y de la caché local; no son un benchmark productivo, pero sí evidencia reproducible del </w:t>
      </w:r>
      <w:r>
        <w:rPr>
          <w:b/>
        </w:rPr>
        <w:t>efecto relativo</w:t>
      </w:r>
      <w:r>
        <w:t xml:space="preserve"> de cada técnica.</w:t>
      </w:r>
    </w:p>
    <w:p>
      <w:pPr>
        <w:pStyle w:val="ListBullet"/>
      </w:pPr>
      <w:r>
        <w:t xml:space="preserve">Para acercarse a producción: cargar el dataset </w:t>
      </w:r>
      <w:r>
        <w:rPr>
          <w:b/>
        </w:rPr>
        <w:t>Olist</w:t>
      </w:r>
      <w:r>
        <w:t xml:space="preserve"> completo o ampliar el volumen sintético (&gt;1 M de órdenes), automatizar el </w:t>
      </w:r>
      <w:r>
        <w:rPr>
          <w:rFonts w:ascii="Consolas" w:hAnsi="Consolas"/>
          <w:sz w:val="19"/>
        </w:rPr>
        <w:t>REFRESH</w:t>
      </w:r>
      <w:r>
        <w:t xml:space="preserve"> de las MV con </w:t>
      </w:r>
      <w:r>
        <w:rPr>
          <w:rFonts w:ascii="Consolas" w:hAnsi="Consolas"/>
          <w:sz w:val="19"/>
        </w:rPr>
        <w:t>pg_cron</w:t>
      </w:r>
      <w:r>
        <w:t>, y monitorear el costo de escritura de los índices.</w:t>
      </w:r>
    </w:p>
    <w:p>
      <w:pPr>
        <w:pStyle w:val="ListBullet"/>
      </w:pPr>
      <w:r>
        <w:t>La consulta espacial (Q07) merece estrategia adicional en producción (limitar radio, precalcular zonas o cachear sellers cercanos por región).</w:t>
      </w:r>
    </w:p>
    <w:p>
      <w:pPr>
        <w:pStyle w:val="Heading1"/>
      </w:pPr>
      <w:r>
        <w:t>9. Anexos</w:t>
      </w:r>
    </w:p>
    <w:p>
      <w:pPr>
        <w:pStyle w:val="Heading2"/>
      </w:pPr>
      <w:r>
        <w:t>9.1 Orden de ejecución (manual)</w:t>
      </w:r>
    </w:p>
    <w:p>
      <w:pPr>
        <w:ind w:left="240"/>
      </w:pPr>
      <w:r>
        <w:rPr>
          <w:rFonts w:ascii="Consolas" w:hAnsi="Consolas"/>
          <w:sz w:val="18"/>
        </w:rPr>
        <w:t>docker compose -f docker-compose.u4.yml up -d postgres_u4</w:t>
        <w:br/>
        <w:t>docker exec -i ecommify_postgres_u4 psql -U postgres -d ecommify &lt; unidad_4/etapa_2_implementacion/sql/00_seed_synthetic_data.sql</w:t>
        <w:br/>
        <w:t>docker exec -i ecommify_postgres_u4 psql -U postgres -d ecommify &lt; unidad_4/etapa_2_implementacion/sql/01_baseline_explain_analyze.sql</w:t>
        <w:br/>
        <w:t>docker exec -i ecommify_postgres_u4 psql -U postgres -d ecommify &lt; unidad_4/etapa_2_implementacion/sql/02_indices_optimizacion_u4.sql</w:t>
        <w:br/>
        <w:t>docker exec -i ecommify_postgres_u4 psql -U postgres -d ecommify &lt; unidad_4/etapa_2_implementacion/sql/03_consultas_optimizadas.sql</w:t>
        <w:br/>
        <w:t>docker exec -i ecommify_postgres_u4 psql -U postgres -d ecommify &lt; unidad_4/etapa_2_implementacion/sql/04_validacion_particionamiento.sql</w:t>
      </w:r>
    </w:p>
    <w:p>
      <w:pPr>
        <w:pStyle w:val="Heading2"/>
      </w:pPr>
      <w:r>
        <w:t>9.2 Evidencia cruda</w:t>
      </w:r>
    </w:p>
    <w:p>
      <w:r>
        <w:rPr>
          <w:rFonts w:ascii="Consolas" w:hAnsi="Consolas"/>
          <w:sz w:val="19"/>
        </w:rPr>
        <w:t>unidad_4/etapa_2_implementacion/resultados/</w:t>
      </w:r>
      <w:r>
        <w:t xml:space="preserve"> (archivos </w:t>
      </w:r>
      <w:r>
        <w:rPr>
          <w:rFonts w:ascii="Consolas" w:hAnsi="Consolas"/>
          <w:sz w:val="19"/>
        </w:rPr>
        <w:t>*_2026-06-08_19-56-56.txt</w:t>
      </w:r>
      <w:r>
        <w:t xml:space="preserve">): </w:t>
      </w:r>
      <w:r>
        <w:rPr>
          <w:rFonts w:ascii="Consolas" w:hAnsi="Consolas"/>
          <w:sz w:val="19"/>
        </w:rPr>
        <w:t>seed_synthetic</w:t>
      </w:r>
      <w:r>
        <w:t xml:space="preserve">, </w:t>
      </w:r>
      <w:r>
        <w:rPr>
          <w:rFonts w:ascii="Consolas" w:hAnsi="Consolas"/>
          <w:sz w:val="19"/>
        </w:rPr>
        <w:t>baseline_explain</w:t>
      </w:r>
      <w:r>
        <w:t xml:space="preserve">, </w:t>
      </w:r>
      <w:r>
        <w:rPr>
          <w:rFonts w:ascii="Consolas" w:hAnsi="Consolas"/>
          <w:sz w:val="19"/>
        </w:rPr>
        <w:t>indices_u4</w:t>
      </w:r>
      <w:r>
        <w:t xml:space="preserve">, </w:t>
      </w:r>
      <w:r>
        <w:rPr>
          <w:rFonts w:ascii="Consolas" w:hAnsi="Consolas"/>
          <w:sz w:val="19"/>
        </w:rPr>
        <w:t>optimized_explain</w:t>
      </w:r>
      <w:r>
        <w:t xml:space="preserve">, </w:t>
      </w:r>
      <w:r>
        <w:rPr>
          <w:rFonts w:ascii="Consolas" w:hAnsi="Consolas"/>
          <w:sz w:val="19"/>
        </w:rPr>
        <w:t>partition_validation</w:t>
      </w:r>
      <w:r>
        <w:t xml:space="preserve">. Resúmenes versionados: </w:t>
      </w:r>
      <w:r>
        <w:rPr>
          <w:rFonts w:ascii="Consolas" w:hAnsi="Consolas"/>
          <w:sz w:val="19"/>
        </w:rPr>
        <w:t>resumen_metricas.md</w:t>
      </w:r>
      <w:r>
        <w:t xml:space="preserve"> y </w:t>
      </w:r>
      <w:r>
        <w:rPr>
          <w:rFonts w:ascii="Consolas" w:hAnsi="Consolas"/>
          <w:sz w:val="19"/>
        </w:rPr>
        <w:t>documentacion_ejecucion.md</w:t>
      </w:r>
      <w:r>
        <w:t>.</w:t>
      </w:r>
    </w:p>
    <w:p>
      <w:pPr>
        <w:pStyle w:val="Heading1"/>
      </w:pPr>
      <w:r>
        <w:t>10. Referencias</w:t>
      </w:r>
    </w:p>
    <w:p>
      <w:pPr>
        <w:pStyle w:val="ListBullet"/>
      </w:pPr>
      <w:r>
        <w:t>The PostgreSQL Global Development Group. *PostgreSQL 16 Documentation - Using EXPLAIN; Indexes; Table Partitioning; BRIN*. https://www.postgresql.org/docs/16/</w:t>
      </w:r>
    </w:p>
    <w:p>
      <w:pPr>
        <w:pStyle w:val="ListBullet"/>
      </w:pPr>
      <w:r>
        <w:t xml:space="preserve">PostGIS Development Team. *PostGIS Manual - </w:t>
      </w:r>
      <w:r>
        <w:rPr>
          <w:rFonts w:ascii="Consolas" w:hAnsi="Consolas"/>
          <w:sz w:val="19"/>
        </w:rPr>
        <w:t>ST_DWithin</w:t>
      </w:r>
      <w:r>
        <w:t>, índices GiST*. https://postgis.net/docs/</w:t>
      </w:r>
    </w:p>
    <w:p>
      <w:pPr>
        <w:pStyle w:val="ListBullet"/>
      </w:pPr>
      <w:r>
        <w:t>The PostgreSQL Global Development Group. *pg_trgm - Trigram matching*. https://www.postgresql.org/docs/16/pgtrgm.html</w:t>
      </w:r>
    </w:p>
    <w:p>
      <w:pPr>
        <w:pStyle w:val="ListBullet"/>
      </w:pPr>
      <w:r>
        <w:t>Olist. *Brazilian E-Commerce Public Dataset by Olist*. Kaggle.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