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60" w:after="180"/>
        <w:jc w:val="center"/>
      </w:pPr>
      <w:r>
        <w:rPr>
          <w:rFonts w:ascii="Aptos Display" w:cs="Aptos Display" w:eastAsia="Aptos Display" w:hAnsi="Aptos Display"/>
          <w:b/>
          <w:bCs/>
          <w:color w:val="176B87"/>
          <w:sz w:val="50"/>
          <w:szCs w:val="50"/>
        </w:rPr>
        <w:t xml:space="preserve">ECOMMIFY</w:t>
      </w:r>
    </w:p>
    <w:p>
      <w:pPr>
        <w:spacing w:after="200"/>
        <w:jc w:val="center"/>
      </w:pPr>
      <w:r>
        <w:rPr>
          <w:rFonts w:ascii="Aptos Display" w:cs="Aptos Display" w:eastAsia="Aptos Display" w:hAnsi="Aptos Display"/>
          <w:b/>
          <w:bCs/>
          <w:color w:val="102A43"/>
          <w:sz w:val="31"/>
          <w:szCs w:val="31"/>
        </w:rPr>
        <w:t xml:space="preserve">Análisis comparativo PostgreSQL vs. MongoDB</w:t>
      </w:r>
    </w:p>
    <w:p>
      <w:pPr>
        <w:spacing w:after="430"/>
        <w:jc w:val="center"/>
      </w:pPr>
      <w:r>
        <w:rPr>
          <w:rFonts w:ascii="Aptos" w:cs="Aptos" w:eastAsia="Aptos" w:hAnsi="Aptos"/>
          <w:b/>
          <w:bCs/>
          <w:color w:val="21867A"/>
          <w:sz w:val="19"/>
          <w:szCs w:val="19"/>
        </w:rPr>
        <w:t xml:space="preserve">DECISIÓN TECNOLÓGICA BASADA EN EVIDENCIA</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4700"/>
        <w:gridCol w:w="4300"/>
      </w:tblGrid>
      <w:tr>
        <w:trPr>
          <w:tblHeader/>
        </w:trPr>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Indicador</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Resultado</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PostgreSQL</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Núcleo transaccional</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MongoDB</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Proyecciones y flexibilidad</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Dashboard híbrido</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Requiere preagregación</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Conclusión</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Mantener arquitectura híbrida</w:t>
            </w:r>
          </w:p>
        </w:tc>
      </w:tr>
    </w:tbl>
    <w:p>
      <w:pPr>
        <w:spacing w:before="520"/>
        <w:jc w:val="center"/>
      </w:pPr>
      <w:r>
        <w:rPr>
          <w:rFonts w:ascii="Aptos" w:cs="Aptos" w:eastAsia="Aptos" w:hAnsi="Aptos"/>
          <w:b/>
          <w:bCs/>
          <w:color w:val="102A43"/>
          <w:sz w:val="19"/>
          <w:szCs w:val="19"/>
        </w:rPr>
        <w:t xml:space="preserve">Maestría en Arquitectura de Software · Universidad de La Sabana</w:t>
      </w:r>
    </w:p>
    <w:p>
      <w:pPr>
        <w:jc w:val="center"/>
      </w:pPr>
      <w:r>
        <w:rPr>
          <w:rFonts w:ascii="Aptos" w:cs="Aptos" w:eastAsia="Aptos" w:hAnsi="Aptos"/>
          <w:color w:val="627D98"/>
          <w:sz w:val="18"/>
          <w:szCs w:val="18"/>
        </w:rPr>
        <w:t xml:space="preserve">Profesor: Miguel Alfonso Varela Fonseca</w:t>
      </w:r>
    </w:p>
    <w:p>
      <w:pPr>
        <w:jc w:val="center"/>
      </w:pPr>
      <w:r>
        <w:rPr>
          <w:rFonts w:ascii="Aptos" w:cs="Aptos" w:eastAsia="Aptos" w:hAnsi="Aptos"/>
          <w:color w:val="627D98"/>
          <w:sz w:val="17"/>
          <w:szCs w:val="17"/>
        </w:rPr>
        <w:t xml:space="preserve">Andrés Fernando Díaz Moreno · Carlos Alberto Arévalo Martínez · Luis Alfredo González Mercado · Andrés Camilo López Castro</w:t>
      </w:r>
    </w:p>
    <w:p>
      <w:pPr>
        <w:jc w:val="center"/>
      </w:pPr>
      <w:r>
        <w:rPr>
          <w:rFonts w:ascii="Aptos" w:cs="Aptos" w:eastAsia="Aptos" w:hAnsi="Aptos"/>
          <w:color w:val="627D98"/>
          <w:sz w:val="17"/>
          <w:szCs w:val="17"/>
        </w:rPr>
        <w:t xml:space="preserve">Unidad 6 · Etapa 1 formativa · Junio de 2026</w:t>
      </w:r>
    </w:p>
    <w:p>
      <w:r>
        <w:br w:type="page"/>
      </w:r>
    </w:p>
    <w:p>
      <w:pPr>
        <w:pStyle w:val="Heading1"/>
        <w:keepNext/>
        <w:spacing w:before="300" w:after="110"/>
      </w:pPr>
      <w:r>
        <w:t xml:space="preserve">Resumen ejecutivo</w:t>
      </w:r>
    </w:p>
    <w:p>
      <w:pPr>
        <w:spacing w:after="130" w:line="310"/>
      </w:pPr>
      <w:r>
        <w:rPr>
          <w:rFonts w:ascii="Aptos" w:cs="Aptos" w:eastAsia="Aptos" w:hAnsi="Aptos"/>
          <w:color w:val="243B53"/>
          <w:sz w:val="21"/>
          <w:szCs w:val="21"/>
        </w:rPr>
        <w:t xml:space="preserve">La comparación no busca un ganador universal. Evalúa qué tecnología reduce riesgo y costo para cada carga de Ecommify. PostgreSQL fue superior para transacciones, integridad y consultas relacionales; MongoDB fue adecuado para catálogo denormalizado, eventos y sesiones. La evidencia también mostró que combinar ambos motores en agregaciones síncronas introduce el mayor costo.</w:t>
      </w:r>
    </w:p>
    <w:p>
      <w:pPr>
        <w:pStyle w:val="Heading1"/>
        <w:keepNext/>
        <w:spacing w:before="300" w:after="110"/>
      </w:pPr>
      <w:r>
        <w:t xml:space="preserve">1. Criterios de evaluación</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2600"/>
        <w:gridCol w:w="6400"/>
      </w:tblGrid>
      <w:tr>
        <w:trPr>
          <w:tblHeader/>
        </w:trPr>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Criterio</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Pregunta de decisión</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Transaccional</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¿Requiere atomicidad, FK y auditoría?</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Analítico</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¿Agrega grandes volúmenes o múltiples entidades?</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Flexibilidad</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¿El esquema cambia por instancia o categoría?</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Integridad</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¿Las relaciones deben validarse declarativamente?</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Escalabilidad</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¿La carga crece vertical u horizontalmente?</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Consistencia</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¿Acepta datos temporalmente desactualizados?</w:t>
            </w:r>
          </w:p>
        </w:tc>
      </w:tr>
    </w:tbl>
    <w:p>
      <w:pPr>
        <w:pStyle w:val="Heading1"/>
        <w:keepNext/>
        <w:spacing w:before="300" w:after="110"/>
      </w:pPr>
      <w:r>
        <w:t xml:space="preserve">2. Comparación cuantitativa</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2500"/>
        <w:gridCol w:w="2600"/>
        <w:gridCol w:w="3900"/>
      </w:tblGrid>
      <w:tr>
        <w:trPr>
          <w:tblHeader/>
        </w:trPr>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Aspecto</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Ganador</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Evidencia del proyecto</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Detalle de orden</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PostgreSQL</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p95 5 ms con 10 usuarios; 27 ms con 100</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Catálogo</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MongoDB</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p95 25 ms con 10 usuarios en S</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Eventos</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MongoDB</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p95 14 ms con 10 usuarios en S</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Checkout</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PostgreSQL canónico</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Transacción + outbox; 0 % errores</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Dashboard cross-motor</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Ninguno sin optimizar</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p95 517 ms con 100 usuarios</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Reportería estructurada</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PostgreSQL</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Vistas U4 redujeron Q03 a 0,693 ms</w:t>
            </w:r>
          </w:p>
        </w:tc>
      </w:tr>
    </w:tbl>
    <w:p>
      <w:pPr>
        <w:pStyle w:val="Heading1"/>
        <w:keepNext/>
        <w:spacing w:before="300" w:after="110"/>
      </w:pPr>
      <w:r>
        <w:t xml:space="preserve">3. Matriz integral</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1900"/>
        <w:gridCol w:w="2500"/>
        <w:gridCol w:w="2600"/>
        <w:gridCol w:w="2000"/>
      </w:tblGrid>
      <w:tr>
        <w:trPr>
          <w:tblHeader/>
        </w:trPr>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Aspecto</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PostgreSQL</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MongoDB</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Ganador Ecommify</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Transacciones</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ACID y restricciones</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Transacciones posibles, mayor complejidad</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PostgreSQL</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Integridad</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FK y checks</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Referencias lógicas</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PostgreSQL</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Consultas multi-tabla</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Joins y optimizador</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$lookup no es el patrón objetivo</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PostgreSQL</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Catálogo</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JSONB + joins</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Documento autocontenido</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MongoDB</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Esquema flexible</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JSONB controlado</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Documentos polimórficos</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MongoDB contextual</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Eventos</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Presiona OLTP</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Buckets append-only</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MongoDB</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Consistencia fuerte</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Natural en primario</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Depende de concerns</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PostgreSQL</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Escala horizontal</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Requiere extensión/servicio</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Sharding nativo</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MongoDB contextual</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Búsqueda</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pg_trgm</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Search/índice texto</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Empate condicionado</w:t>
            </w:r>
          </w:p>
        </w:tc>
      </w:tr>
    </w:tbl>
    <w:p>
      <w:pPr>
        <w:pStyle w:val="Heading1"/>
        <w:keepNext/>
        <w:spacing w:before="300" w:after="110"/>
      </w:pPr>
      <w:r>
        <w:t xml:space="preserve">4. Análisis cualitativo</w:t>
      </w:r>
    </w:p>
    <w:p>
      <w:pPr>
        <w:pStyle w:val="Heading2"/>
        <w:keepNext/>
        <w:spacing w:before="190" w:after="110"/>
      </w:pPr>
      <w:r>
        <w:t xml:space="preserve">4.1 Casos que superaron expectativas</w:t>
      </w:r>
    </w:p>
    <w:p>
      <w:pPr>
        <w:spacing w:after="130" w:line="310"/>
      </w:pPr>
      <w:r>
        <w:rPr>
          <w:rFonts w:ascii="Aptos" w:cs="Aptos" w:eastAsia="Aptos" w:hAnsi="Aptos"/>
          <w:color w:val="243B53"/>
          <w:sz w:val="21"/>
          <w:szCs w:val="21"/>
        </w:rPr>
        <w:t xml:space="preserve">PostgreSQL absorbió más flexibilidad de la prevista mediante JSONB, arreglos, HSTORE y tipos compuestos sin sacrificar integridad. Sus vistas materializadas y partition pruning mejoraron reportería y segmentación.</w:t>
      </w:r>
    </w:p>
    <w:p>
      <w:pPr>
        <w:spacing w:after="130" w:line="310"/>
      </w:pPr>
      <w:r>
        <w:rPr>
          <w:rFonts w:ascii="Aptos" w:cs="Aptos" w:eastAsia="Aptos" w:hAnsi="Aptos"/>
          <w:color w:val="243B53"/>
          <w:sz w:val="21"/>
          <w:szCs w:val="21"/>
        </w:rPr>
        <w:t xml:space="preserve">MongoDB simplificó catálogo, TTL de sesiones y buckets de eventos. Las lecturas/escrituras simples fueron rápidas en escala S; la limitación apareció cuando la analítica recorrió toda la colección.</w:t>
      </w:r>
    </w:p>
    <w:p>
      <w:pPr>
        <w:pStyle w:val="Heading2"/>
        <w:keepNext/>
        <w:spacing w:before="190" w:after="110"/>
      </w:pPr>
      <w:r>
        <w:t xml:space="preserve">4.2 ¿Se eligió una tecnología incorrecta?</w:t>
      </w:r>
    </w:p>
    <w:p>
      <w:pPr>
        <w:spacing w:after="130" w:line="310"/>
      </w:pPr>
      <w:r>
        <w:rPr>
          <w:rFonts w:ascii="Aptos" w:cs="Aptos" w:eastAsia="Aptos" w:hAnsi="Aptos"/>
          <w:color w:val="243B53"/>
          <w:sz w:val="21"/>
          <w:szCs w:val="21"/>
        </w:rPr>
        <w:t xml:space="preserve">No existe evidencia para mover órdenes, pagos o inventario fuera de PostgreSQL. Reviews merece revisión: si la regla 'solo una orden entregada puede reseñar' se vuelve crítica, el estado canónico podría residir en PostgreSQL y publicarse como proyección MongoDB.</w:t>
      </w:r>
    </w:p>
    <w:p>
      <w:pPr>
        <w:spacing w:after="130" w:line="310"/>
      </w:pPr>
      <w:r>
        <w:rPr>
          <w:rFonts w:ascii="Aptos" w:cs="Aptos" w:eastAsia="Aptos" w:hAnsi="Aptos"/>
          <w:color w:val="243B53"/>
          <w:sz w:val="21"/>
          <w:szCs w:val="21"/>
        </w:rPr>
        <w:t xml:space="preserve">El error no estuvo en elegir MongoDB para eventos, sino en usar la colección operacional para un dashboard global síncrono. La corrección es una proyección analítica preagregada, no necesariamente cambiar de motor.</w:t>
      </w:r>
    </w:p>
    <w:p>
      <w:pPr>
        <w:pStyle w:val="Heading1"/>
        <w:keepNext/>
        <w:spacing w:before="300" w:after="110"/>
      </w:pPr>
      <w:r>
        <w:t xml:space="preserve">5. Viabilidad de una arquitectura 100 % relacional</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4500"/>
        <w:gridCol w:w="4500"/>
      </w:tblGrid>
      <w:tr>
        <w:trPr>
          <w:tblHeader/>
        </w:trPr>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Ventajas</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Riesgos</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Menor complejidad operativa</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Eventos y sesiones compiten con el OLTP</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Integridad centralizada</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Proyecciones de lectura deben construirse manualmente</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JSONB cubre flexibilidad moderada</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Escala horizontal requiere decisiones adicionales</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Backups y seguridad unificados</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Mayor radio de falla y contención</w:t>
            </w:r>
          </w:p>
        </w:tc>
      </w:tr>
    </w:tbl>
    <w:p>
      <w:pPr>
        <w:spacing w:after="130" w:line="310"/>
      </w:pPr>
      <w:r>
        <w:rPr>
          <w:rFonts w:ascii="Aptos" w:cs="Aptos" w:eastAsia="Aptos" w:hAnsi="Aptos"/>
          <w:color w:val="243B53"/>
          <w:sz w:val="21"/>
          <w:szCs w:val="21"/>
        </w:rPr>
        <w:t xml:space="preserve">Es viable para una primera etapa o tráfico moderado. No es la recomendación para el crecimiento proyectado si eventos y sesiones mantienen su ritmo.</w:t>
      </w:r>
    </w:p>
    <w:p>
      <w:pPr>
        <w:pStyle w:val="Heading1"/>
        <w:keepNext/>
        <w:spacing w:before="300" w:after="110"/>
      </w:pPr>
      <w:r>
        <w:t xml:space="preserve">6. Viabilidad de una arquitectura 100 % NoSQL</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4500"/>
        <w:gridCol w:w="4500"/>
      </w:tblGrid>
      <w:tr>
        <w:trPr>
          <w:tblHeader/>
        </w:trPr>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Ventajas</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Riesgos</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Modelo flexible y sharding nativo</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Integridad pasa a la aplicación</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Documentos listos para lectura</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Órdenes y pagos requieren coordinación adicional</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Alta disponibilidad configurable</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Auditoría y joins financieros se complejizan</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Escala de eventos</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Riesgo de estados monetarios divergentes</w:t>
            </w:r>
          </w:p>
        </w:tc>
      </w:tr>
    </w:tbl>
    <w:p>
      <w:pPr>
        <w:spacing w:after="130" w:line="310"/>
      </w:pPr>
      <w:r>
        <w:rPr>
          <w:rFonts w:ascii="Aptos" w:cs="Aptos" w:eastAsia="Aptos" w:hAnsi="Aptos"/>
          <w:color w:val="243B53"/>
          <w:sz w:val="21"/>
          <w:szCs w:val="21"/>
        </w:rPr>
        <w:t xml:space="preserve">No se recomienda para Ecommify: el beneficio no compensa trasladar validación monetaria, relaciones y auditoría a código de aplicación.</w:t>
      </w:r>
    </w:p>
    <w:p>
      <w:pPr>
        <w:pStyle w:val="Heading1"/>
        <w:keepNext/>
        <w:spacing w:before="300" w:after="110"/>
      </w:pPr>
      <w:r>
        <w:t xml:space="preserve">7. Decisión final</w:t>
      </w:r>
    </w:p>
    <w:tbl>
      <w:tblPr>
        <w:tblW w:type="pct" w:w="100%"/>
        <w:tblBorders>
          <w:top w:val="single" w:color="D9E2EC" w:sz="1"/>
          <w:left w:val="single" w:color="D9E2EC" w:sz="1"/>
          <w:bottom w:val="single" w:color="D9E2EC" w:sz="1"/>
          <w:right w:val="single" w:color="D9E2EC" w:sz="1"/>
          <w:insideH w:val="single" w:color="D9E2EC" w:sz="1"/>
          <w:insideV w:val="single" w:color="D9E2EC" w:sz="1"/>
        </w:tblBorders>
      </w:tblPr>
      <w:tblGrid>
        <w:gridCol w:w="3000"/>
        <w:gridCol w:w="3000"/>
        <w:gridCol w:w="3000"/>
      </w:tblGrid>
      <w:tr>
        <w:trPr>
          <w:tblHeader/>
        </w:trPr>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Mantener</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Modificar</w:t>
            </w:r>
          </w:p>
        </w:tc>
        <w:tc>
          <w:tcPr>
            <w:shd w:fill="102A43" w:val="clear"/>
            <w:tcMar>
              <w:top w:type="dxa" w:w="95"/>
              <w:left w:type="dxa" w:w="105"/>
              <w:bottom w:type="dxa" w:w="95"/>
              <w:right w:type="dxa" w:w="105"/>
            </w:tcMar>
          </w:tcPr>
          <w:p>
            <w:r>
              <w:rPr>
                <w:rFonts w:ascii="Aptos" w:cs="Aptos" w:eastAsia="Aptos" w:hAnsi="Aptos"/>
                <w:b/>
                <w:bCs/>
                <w:color w:val="FFFFFF"/>
                <w:sz w:val="18"/>
                <w:szCs w:val="18"/>
              </w:rPr>
              <w:t xml:space="preserve">No adoptar</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PostgreSQL para núcleo CP</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Outbox completamente asíncrono</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Todo NoSQL</w:t>
            </w:r>
          </w:p>
        </w:tc>
      </w:tr>
      <w:tr>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MongoDB para proyecciones AP</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Preagregación behavior_daily</w:t>
            </w:r>
          </w:p>
        </w:tc>
        <w:tc>
          <w:tcPr>
            <w:shd w:fill="F4F7FA" w:val="clear"/>
            <w:tcMar>
              <w:top w:type="dxa" w:w="95"/>
              <w:left w:type="dxa" w:w="105"/>
              <w:bottom w:type="dxa" w:w="95"/>
              <w:right w:type="dxa" w:w="105"/>
            </w:tcMar>
          </w:tcPr>
          <w:p>
            <w:r>
              <w:rPr>
                <w:rFonts w:ascii="Aptos" w:cs="Aptos" w:eastAsia="Aptos" w:hAnsi="Aptos"/>
                <w:b w:val="false"/>
                <w:bCs w:val="false"/>
                <w:color w:val="243B53"/>
                <w:sz w:val="17"/>
                <w:szCs w:val="17"/>
              </w:rPr>
              <w:t xml:space="preserve">Dashboard con escaneo global</w:t>
            </w:r>
          </w:p>
        </w:tc>
      </w:tr>
      <w:tr>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Validación de checkout canónica</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Caché y SLO de lag</w:t>
            </w:r>
          </w:p>
        </w:tc>
        <w:tc>
          <w:tcPr>
            <w:shd w:fill="FFFFFF" w:val="clear"/>
            <w:tcMar>
              <w:top w:type="dxa" w:w="95"/>
              <w:left w:type="dxa" w:w="105"/>
              <w:bottom w:type="dxa" w:w="95"/>
              <w:right w:type="dxa" w:w="105"/>
            </w:tcMar>
          </w:tcPr>
          <w:p>
            <w:r>
              <w:rPr>
                <w:rFonts w:ascii="Aptos" w:cs="Aptos" w:eastAsia="Aptos" w:hAnsi="Aptos"/>
                <w:b w:val="false"/>
                <w:bCs w:val="false"/>
                <w:color w:val="243B53"/>
                <w:sz w:val="17"/>
                <w:szCs w:val="17"/>
              </w:rPr>
              <w:t xml:space="preserve">Duplicación sin reconciliación</w:t>
            </w:r>
          </w:p>
        </w:tc>
      </w:tr>
    </w:tbl>
    <w:p>
      <w:pPr>
        <w:pStyle w:val="Heading1"/>
        <w:keepNext/>
        <w:spacing w:before="300" w:after="110"/>
      </w:pPr>
      <w:r>
        <w:t xml:space="preserve">Conclusión</w:t>
      </w:r>
    </w:p>
    <w:p>
      <w:pPr>
        <w:spacing w:after="130" w:line="310"/>
      </w:pPr>
      <w:r>
        <w:rPr>
          <w:rFonts w:ascii="Aptos" w:cs="Aptos" w:eastAsia="Aptos" w:hAnsi="Aptos"/>
          <w:color w:val="243B53"/>
          <w:sz w:val="21"/>
          <w:szCs w:val="21"/>
        </w:rPr>
        <w:t xml:space="preserve">La arquitectura híbrida sigue siendo la opción defendible. PostgreSQL gana donde el costo del error es financiero o referencial; MongoDB gana donde flexibilidad y disponibilidad son prioritarias. El principal trade-off es el costo de sincronización y observabilidad entre motores.</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27D98"/>
        <w:sz w:val="14"/>
        <w:szCs w:val="14"/>
      </w:rPr>
      <w:t xml:space="preserve">Unidad 6 · Etapa 1  ·  </w:t>
    </w:r>
    <w:r>
      <w:rPr>
        <w:color w:val="627D9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b/>
        <w:bCs/>
        <w:color w:val="176B87"/>
        <w:sz w:val="14"/>
        <w:szCs w:val="14"/>
      </w:rPr>
      <w:t xml:space="preserve">ECOMMIFY · DECISIÓN TECNOLÓGICA BASADA EN EVIDENCIA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B53"/>
        <w:sz w:val="21"/>
        <w:szCs w:val="21"/>
      </w:rPr>
    </w:rPrDefault>
    <w:pPrDefault>
      <w:pPr>
        <w:spacing w:line="3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00" w:after="140"/>
      <w:outlineLvl w:val="0"/>
    </w:pPr>
    <w:rPr>
      <w:rFonts w:ascii="Aptos Display" w:cs="Aptos Display" w:eastAsia="Aptos Display" w:hAnsi="Aptos Display"/>
      <w:b/>
      <w:bCs/>
      <w:color w:val="102A43"/>
      <w:sz w:val="31"/>
      <w:szCs w:val="31"/>
    </w:rPr>
  </w:style>
  <w:style w:type="paragraph" w:styleId="Heading2">
    <w:name w:val="Heading 2"/>
    <w:basedOn w:val="Normal"/>
    <w:next w:val="Normal"/>
    <w:qFormat/>
    <w:pPr>
      <w:keepNext/>
      <w:spacing w:before="220" w:after="100"/>
      <w:outlineLvl w:val="1"/>
    </w:pPr>
    <w:rPr>
      <w:rFonts w:ascii="Aptos Display" w:cs="Aptos Display" w:eastAsia="Aptos Display" w:hAnsi="Aptos Display"/>
      <w:b/>
      <w:bCs/>
      <w:color w:val="176B87"/>
      <w:sz w:val="25"/>
      <w:szCs w:val="25"/>
    </w:rPr>
  </w:style>
  <w:style w:type="paragraph" w:styleId="Heading3">
    <w:name w:val="Heading 3"/>
    <w:basedOn w:val="Normal"/>
    <w:next w:val="Normal"/>
    <w:qFormat/>
    <w:pPr>
      <w:keepNext/>
      <w:outlineLvl w:val="2"/>
    </w:pPr>
    <w:rPr>
      <w:rFonts w:ascii="Aptos" w:cs="Aptos" w:eastAsia="Aptos" w:hAnsi="Aptos"/>
      <w:b/>
      <w:bCs/>
      <w:color w:val="2186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comparativo PostgreSQL vs. MongoDB</dc:title>
  <dc:creator>Equipo Ecommify</dc:creator>
  <cp:lastModifiedBy>Un-named</cp:lastModifiedBy>
  <cp:revision>1</cp:revision>
  <dcterms:created xsi:type="dcterms:W3CDTF">2026-06-20T20:04:32.180Z</dcterms:created>
  <dcterms:modified xsi:type="dcterms:W3CDTF">2026-06-20T20:04:32.190Z</dcterms:modified>
</cp:coreProperties>
</file>

<file path=docProps/custom.xml><?xml version="1.0" encoding="utf-8"?>
<Properties xmlns="http://schemas.openxmlformats.org/officeDocument/2006/custom-properties" xmlns:vt="http://schemas.openxmlformats.org/officeDocument/2006/docPropsVTypes"/>
</file>