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2.xml" ContentType="application/vnd.openxmlformats-officedocument.themeOverrid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05B2A" w14:textId="77777777" w:rsidR="00387971" w:rsidRDefault="00B22EA7" w:rsidP="00002163">
      <w:pPr>
        <w:jc w:val="right"/>
      </w:pPr>
      <w:bookmarkStart w:id="0" w:name="_Hlk120801327"/>
      <w:bookmarkEnd w:id="0"/>
      <w:r>
        <w:rPr>
          <w:noProof/>
        </w:rPr>
        <w:drawing>
          <wp:inline distT="0" distB="0" distL="0" distR="0" wp14:anchorId="213806FE" wp14:editId="7D71103E">
            <wp:extent cx="1009510" cy="3905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olorSm"/>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009510" cy="390525"/>
                    </a:xfrm>
                    <a:prstGeom prst="rect">
                      <a:avLst/>
                    </a:prstGeom>
                    <a:noFill/>
                    <a:ln>
                      <a:noFill/>
                    </a:ln>
                  </pic:spPr>
                </pic:pic>
              </a:graphicData>
            </a:graphic>
          </wp:inline>
        </w:drawing>
      </w:r>
    </w:p>
    <w:p w14:paraId="2C4637B2" w14:textId="77777777" w:rsidR="00387971" w:rsidRPr="00646598" w:rsidRDefault="009F0179" w:rsidP="001C29C2">
      <w:pPr>
        <w:pStyle w:val="StyleStylespacerRightBefore400pt9pt"/>
        <w:spacing w:before="7320"/>
      </w:pPr>
      <w:r w:rsidRPr="00646598">
        <w:br/>
      </w:r>
    </w:p>
    <w:p w14:paraId="1CD36E8C" w14:textId="0835E5E2" w:rsidR="00AE70F7" w:rsidRDefault="00B22A34" w:rsidP="00EA2B1F">
      <w:pPr>
        <w:pStyle w:val="StyleArial18ptBoldText2Right"/>
      </w:pPr>
      <w:r>
        <w:t>202</w:t>
      </w:r>
      <w:r w:rsidR="00C635EA">
        <w:t>3</w:t>
      </w:r>
      <w:r>
        <w:t xml:space="preserve"> </w:t>
      </w:r>
      <w:r w:rsidR="00011131">
        <w:t>Annual Report of Demand Response</w:t>
      </w:r>
    </w:p>
    <w:p w14:paraId="7644C440" w14:textId="7E0CF803" w:rsidR="00011131" w:rsidRDefault="007928D3" w:rsidP="00EA2B1F">
      <w:pPr>
        <w:pStyle w:val="StyleArial18ptBoldText2Right"/>
      </w:pPr>
      <w:r>
        <w:t>i</w:t>
      </w:r>
      <w:r w:rsidR="00011131">
        <w:t>n the ERCOT Region</w:t>
      </w:r>
    </w:p>
    <w:p w14:paraId="4729D1D2" w14:textId="77777777" w:rsidR="00011131" w:rsidRDefault="00011131" w:rsidP="00EA2B1F">
      <w:pPr>
        <w:pStyle w:val="StyleArial18ptBoldText2Right"/>
      </w:pPr>
    </w:p>
    <w:p w14:paraId="2A6347D2" w14:textId="16C0B34B" w:rsidR="00011131" w:rsidRPr="00646598" w:rsidRDefault="004957F1" w:rsidP="00EA2B1F">
      <w:pPr>
        <w:pStyle w:val="StyleArial18ptBoldText2Right"/>
      </w:pPr>
      <w:r>
        <w:t>December</w:t>
      </w:r>
      <w:r w:rsidR="00A2526C">
        <w:t xml:space="preserve"> </w:t>
      </w:r>
      <w:r w:rsidR="00B22A34">
        <w:t>202</w:t>
      </w:r>
      <w:r w:rsidR="00C635EA">
        <w:t>3</w:t>
      </w:r>
    </w:p>
    <w:p w14:paraId="3DC717A9" w14:textId="77777777" w:rsidR="00AE70F7" w:rsidRPr="00AE70F7" w:rsidRDefault="00AE70F7" w:rsidP="00AE70F7">
      <w:pPr>
        <w:pStyle w:val="spacer"/>
        <w:widowControl w:val="0"/>
        <w:spacing w:before="240"/>
        <w:jc w:val="right"/>
        <w:rPr>
          <w:sz w:val="24"/>
          <w:szCs w:val="24"/>
        </w:rPr>
      </w:pPr>
    </w:p>
    <w:p w14:paraId="19E3761B" w14:textId="77777777" w:rsidR="003C5767" w:rsidRDefault="003C5767" w:rsidP="00400806">
      <w:pPr>
        <w:pStyle w:val="TOCHead"/>
        <w:sectPr w:rsidR="003C5767" w:rsidSect="00302001">
          <w:footerReference w:type="default" r:id="rId12"/>
          <w:pgSz w:w="12240" w:h="15840"/>
          <w:pgMar w:top="1440" w:right="1440" w:bottom="1440" w:left="1440" w:header="720" w:footer="720" w:gutter="0"/>
          <w:pgNumType w:start="1"/>
          <w:cols w:space="720"/>
          <w:titlePg/>
          <w:docGrid w:linePitch="360"/>
        </w:sectPr>
      </w:pPr>
    </w:p>
    <w:p w14:paraId="463696C4" w14:textId="531B2165" w:rsidR="00F644D7" w:rsidRPr="000B14CC" w:rsidRDefault="00F644D7" w:rsidP="00F644D7">
      <w:pPr>
        <w:widowControl w:val="0"/>
        <w:spacing w:after="200" w:line="276" w:lineRule="auto"/>
        <w:jc w:val="both"/>
        <w:rPr>
          <w:rFonts w:asciiTheme="minorHAnsi" w:eastAsiaTheme="minorHAnsi" w:hAnsiTheme="minorHAnsi" w:cstheme="minorHAnsi"/>
          <w:color w:val="auto"/>
        </w:rPr>
      </w:pPr>
      <w:bookmarkStart w:id="1" w:name="_Toc85343426"/>
      <w:bookmarkStart w:id="2" w:name="_Toc85343436"/>
      <w:bookmarkStart w:id="3" w:name="_Toc85343437"/>
      <w:bookmarkStart w:id="4" w:name="_Toc85343438"/>
      <w:bookmarkStart w:id="5" w:name="_Toc85343439"/>
      <w:bookmarkStart w:id="6" w:name="_Toc85343440"/>
      <w:bookmarkStart w:id="7" w:name="_Toc85343441"/>
      <w:bookmarkStart w:id="8" w:name="_Toc85343442"/>
      <w:bookmarkStart w:id="9" w:name="_Toc85343444"/>
      <w:bookmarkStart w:id="10" w:name="_Toc85343445"/>
      <w:bookmarkStart w:id="11" w:name="_Toc85343448"/>
      <w:bookmarkStart w:id="12" w:name="_Toc85343449"/>
      <w:bookmarkStart w:id="13" w:name="_Toc85343454"/>
      <w:bookmarkStart w:id="14" w:name="_Toc85343459"/>
      <w:bookmarkStart w:id="15" w:name="_Toc85343460"/>
      <w:bookmarkStart w:id="16" w:name="_Toc85343461"/>
      <w:bookmarkStart w:id="17" w:name="_Toc85343463"/>
      <w:bookmarkStart w:id="18" w:name="_Toc85343464"/>
      <w:bookmarkStart w:id="19" w:name="_Toc85343465"/>
      <w:bookmarkStart w:id="20" w:name="_Toc85343466"/>
      <w:bookmarkStart w:id="21" w:name="_Toc85343467"/>
      <w:bookmarkStart w:id="22" w:name="_Toc85343468"/>
      <w:bookmarkStart w:id="23" w:name="_Toc85343469"/>
      <w:bookmarkStart w:id="24" w:name="_Toc85343471"/>
      <w:bookmarkStart w:id="25" w:name="_Toc85343474"/>
      <w:bookmarkStart w:id="26" w:name="_Toc85343479"/>
      <w:bookmarkStart w:id="27" w:name="_Toc85343483"/>
      <w:bookmarkStart w:id="28" w:name="_Toc85343485"/>
      <w:bookmarkStart w:id="29" w:name="_Toc85343487"/>
      <w:bookmarkStart w:id="30" w:name="_Toc85343488"/>
      <w:bookmarkStart w:id="31" w:name="_Toc85343493"/>
      <w:bookmarkStart w:id="32" w:name="_Toc85343494"/>
      <w:bookmarkStart w:id="33" w:name="_Toc85343512"/>
      <w:bookmarkStart w:id="34" w:name="_Toc85343519"/>
      <w:bookmarkStart w:id="35" w:name="_Toc85343522"/>
      <w:bookmarkStart w:id="36" w:name="_Toc85343525"/>
      <w:bookmarkStart w:id="37" w:name="_Toc85343526"/>
      <w:bookmarkStart w:id="38" w:name="_Toc85343527"/>
      <w:bookmarkStart w:id="39" w:name="_Toc85343528"/>
      <w:bookmarkStart w:id="40" w:name="_Toc85343536"/>
      <w:bookmarkStart w:id="41" w:name="_Toc85343538"/>
      <w:bookmarkStart w:id="42" w:name="_Toc85343539"/>
      <w:bookmarkStart w:id="43" w:name="_Toc85343540"/>
      <w:bookmarkStart w:id="44" w:name="_Toc85343542"/>
      <w:bookmarkStart w:id="45" w:name="_Toc85343543"/>
      <w:bookmarkStart w:id="46" w:name="_Toc85343544"/>
      <w:bookmarkStart w:id="47" w:name="_Toc85343554"/>
      <w:bookmarkStart w:id="48" w:name="_Toc85343555"/>
      <w:bookmarkStart w:id="49" w:name="_Toc85343559"/>
      <w:bookmarkStart w:id="50" w:name="_Toc85343560"/>
      <w:bookmarkStart w:id="51" w:name="_Toc85343561"/>
      <w:bookmarkStart w:id="52" w:name="_Toc85343562"/>
      <w:bookmarkStart w:id="53" w:name="_Toc85343564"/>
      <w:bookmarkStart w:id="54" w:name="_Toc85343565"/>
      <w:bookmarkStart w:id="55" w:name="_Toc85343566"/>
      <w:bookmarkStart w:id="56" w:name="_Toc85343567"/>
      <w:bookmarkStart w:id="57" w:name="_Toc85343569"/>
      <w:bookmarkStart w:id="58" w:name="_Toc85343570"/>
      <w:bookmarkStart w:id="59" w:name="_Toc85343571"/>
      <w:bookmarkStart w:id="60" w:name="_Toc85343572"/>
      <w:bookmarkStart w:id="61" w:name="_Toc85343574"/>
      <w:bookmarkStart w:id="62" w:name="_Toc85343575"/>
      <w:bookmarkStart w:id="63" w:name="_Toc85343576"/>
      <w:bookmarkStart w:id="64" w:name="_Toc85343577"/>
      <w:bookmarkStart w:id="65" w:name="_Toc85343593"/>
      <w:bookmarkStart w:id="66" w:name="_Toc85343609"/>
      <w:bookmarkStart w:id="67" w:name="_Toc85343626"/>
      <w:bookmarkStart w:id="68" w:name="_Toc85343643"/>
      <w:bookmarkStart w:id="69" w:name="_Toc85343645"/>
      <w:bookmarkStart w:id="70" w:name="_Toc85343647"/>
      <w:bookmarkStart w:id="71" w:name="_Toc85343652"/>
      <w:bookmarkStart w:id="72" w:name="_Toc85343656"/>
      <w:bookmarkStart w:id="73" w:name="_Toc85343662"/>
      <w:bookmarkStart w:id="74" w:name="_Toc85343664"/>
      <w:bookmarkStart w:id="75" w:name="_Toc85343665"/>
      <w:bookmarkStart w:id="76" w:name="_Toc85343666"/>
      <w:bookmarkStart w:id="77" w:name="_Toc85343669"/>
      <w:bookmarkStart w:id="78" w:name="_Toc85343670"/>
      <w:bookmarkStart w:id="79" w:name="_Toc85343671"/>
      <w:bookmarkStart w:id="80" w:name="_Toc85343673"/>
      <w:bookmarkStart w:id="81" w:name="_Toc85343674"/>
      <w:bookmarkStart w:id="82" w:name="_Toc85343676"/>
      <w:bookmarkStart w:id="83" w:name="_Toc85343677"/>
      <w:bookmarkStart w:id="84" w:name="_Toc85343680"/>
      <w:bookmarkStart w:id="85" w:name="_Toc85343681"/>
      <w:bookmarkStart w:id="86" w:name="_Toc85343682"/>
      <w:bookmarkStart w:id="87" w:name="_Toc85343683"/>
      <w:bookmarkStart w:id="88" w:name="_Toc85343686"/>
      <w:bookmarkStart w:id="89" w:name="_Toc85343691"/>
      <w:bookmarkStart w:id="90" w:name="_Toc85343693"/>
      <w:bookmarkStart w:id="91" w:name="_Toc85343694"/>
      <w:bookmarkStart w:id="92" w:name="_Toc85343696"/>
      <w:bookmarkStart w:id="93" w:name="_Toc85343710"/>
      <w:bookmarkStart w:id="94" w:name="_Toc85343719"/>
      <w:bookmarkStart w:id="95" w:name="_Toc85343763"/>
      <w:bookmarkStart w:id="96" w:name="_Toc85343764"/>
      <w:bookmarkStart w:id="97" w:name="_Toc85343765"/>
      <w:bookmarkStart w:id="98" w:name="_Toc85343812"/>
      <w:bookmarkStart w:id="99" w:name="_Toc85343829"/>
      <w:bookmarkStart w:id="100" w:name="_Toc85343846"/>
      <w:bookmarkStart w:id="101" w:name="_Toc85343863"/>
      <w:bookmarkStart w:id="102" w:name="_Toc85343904"/>
      <w:bookmarkStart w:id="103" w:name="_Toc85343914"/>
      <w:bookmarkStart w:id="104" w:name="_Toc85343930"/>
      <w:bookmarkStart w:id="105" w:name="_Toc85343958"/>
      <w:bookmarkStart w:id="106" w:name="_Toc85343963"/>
      <w:bookmarkStart w:id="107" w:name="_Toc85343968"/>
      <w:bookmarkStart w:id="108" w:name="_Toc85343973"/>
      <w:bookmarkStart w:id="109" w:name="_Toc85343978"/>
      <w:bookmarkStart w:id="110" w:name="_Toc85344012"/>
      <w:bookmarkStart w:id="111" w:name="_Toc85344025"/>
      <w:bookmarkStart w:id="112" w:name="_Toc85344029"/>
      <w:bookmarkStart w:id="113" w:name="_Toc85344040"/>
      <w:bookmarkStart w:id="114" w:name="_Toc85344068"/>
      <w:bookmarkStart w:id="115" w:name="_Toc85344084"/>
      <w:bookmarkStart w:id="116" w:name="_Toc85344089"/>
      <w:bookmarkStart w:id="117" w:name="_Toc85344094"/>
      <w:bookmarkStart w:id="118" w:name="_Toc85344099"/>
      <w:bookmarkStart w:id="119" w:name="_Toc85344104"/>
      <w:bookmarkStart w:id="120" w:name="_Toc85344137"/>
      <w:bookmarkStart w:id="121" w:name="_Toc85344150"/>
      <w:bookmarkStart w:id="122" w:name="_Toc85344154"/>
      <w:bookmarkStart w:id="123" w:name="_Toc85344157"/>
      <w:bookmarkStart w:id="124" w:name="_Toc85344189"/>
      <w:bookmarkStart w:id="125" w:name="_Toc85344202"/>
      <w:bookmarkStart w:id="126" w:name="_Toc85344206"/>
      <w:bookmarkStart w:id="127" w:name="_Toc85344210"/>
      <w:bookmarkStart w:id="128" w:name="_Toc85344214"/>
      <w:bookmarkStart w:id="129" w:name="_Toc85344218"/>
      <w:bookmarkStart w:id="130" w:name="_Toc85344223"/>
      <w:bookmarkStart w:id="131" w:name="_Toc85344224"/>
      <w:bookmarkStart w:id="132" w:name="_Toc85344226"/>
      <w:bookmarkStart w:id="133" w:name="_Toc85344234"/>
      <w:bookmarkStart w:id="134" w:name="_Toc85344264"/>
      <w:bookmarkStart w:id="135" w:name="_Toc85344270"/>
      <w:bookmarkStart w:id="136" w:name="_Toc85344280"/>
      <w:bookmarkStart w:id="137" w:name="_Toc85344290"/>
      <w:bookmarkStart w:id="138" w:name="_Toc85344306"/>
      <w:bookmarkStart w:id="139" w:name="_Toc85344307"/>
      <w:bookmarkStart w:id="140" w:name="_Toc85344308"/>
      <w:bookmarkStart w:id="141" w:name="_Toc85344309"/>
      <w:bookmarkStart w:id="142" w:name="_Toc85344310"/>
      <w:bookmarkStart w:id="143" w:name="_Toc85344311"/>
      <w:bookmarkStart w:id="144" w:name="_Toc85344312"/>
      <w:bookmarkStart w:id="145" w:name="_Toc85344313"/>
      <w:bookmarkStart w:id="146" w:name="_Toc85344315"/>
      <w:bookmarkStart w:id="147" w:name="_Toc85344316"/>
      <w:bookmarkStart w:id="148" w:name="_Toc85344324"/>
      <w:bookmarkStart w:id="149" w:name="_Toc85344329"/>
      <w:bookmarkStart w:id="150" w:name="_Toc85344330"/>
      <w:bookmarkStart w:id="151" w:name="_Toc85344331"/>
      <w:bookmarkStart w:id="152" w:name="_Toc85344342"/>
      <w:bookmarkStart w:id="153" w:name="_Toc85344350"/>
      <w:bookmarkStart w:id="154" w:name="_Toc85344376"/>
      <w:bookmarkStart w:id="155" w:name="_Toc85344382"/>
      <w:bookmarkStart w:id="156" w:name="_Toc85344386"/>
      <w:bookmarkStart w:id="157" w:name="_Toc85344387"/>
      <w:bookmarkStart w:id="158" w:name="_Toc85344388"/>
      <w:bookmarkStart w:id="159" w:name="_Toc85344389"/>
      <w:bookmarkStart w:id="160" w:name="_Toc85344391"/>
      <w:bookmarkStart w:id="161" w:name="_Toc85344406"/>
      <w:bookmarkStart w:id="162" w:name="_Toc85344409"/>
      <w:bookmarkStart w:id="163" w:name="_Toc85344412"/>
      <w:bookmarkStart w:id="164" w:name="_Toc85344413"/>
      <w:bookmarkStart w:id="165" w:name="_Toc85344419"/>
      <w:bookmarkStart w:id="166" w:name="_Toc85344421"/>
      <w:bookmarkStart w:id="167" w:name="_Toc85344447"/>
      <w:bookmarkStart w:id="168" w:name="_Toc85344453"/>
      <w:bookmarkStart w:id="169" w:name="_Toc85344457"/>
      <w:bookmarkStart w:id="170" w:name="_Toc85344459"/>
      <w:bookmarkStart w:id="171" w:name="_Toc85344476"/>
      <w:bookmarkStart w:id="172" w:name="_Toc85344480"/>
      <w:bookmarkStart w:id="173" w:name="_Toc85344487"/>
      <w:bookmarkStart w:id="174" w:name="_Toc85344492"/>
      <w:bookmarkStart w:id="175" w:name="_Toc85344494"/>
      <w:bookmarkStart w:id="176" w:name="_Toc85344495"/>
      <w:bookmarkStart w:id="177" w:name="_Toc85344497"/>
      <w:bookmarkStart w:id="178" w:name="_Toc85344498"/>
      <w:bookmarkStart w:id="179" w:name="_Toc85344501"/>
      <w:bookmarkStart w:id="180" w:name="_Toc85344502"/>
      <w:bookmarkStart w:id="181" w:name="_Toc85344503"/>
      <w:bookmarkStart w:id="182" w:name="_Toc85344504"/>
      <w:bookmarkStart w:id="183" w:name="_Toc85344507"/>
      <w:bookmarkStart w:id="184" w:name="_Toc85344508"/>
      <w:bookmarkStart w:id="185" w:name="_Toc85344509"/>
      <w:bookmarkStart w:id="186" w:name="_Toc85344512"/>
      <w:bookmarkStart w:id="187" w:name="_Toc85344530"/>
      <w:bookmarkStart w:id="188" w:name="_Toc85344543"/>
      <w:bookmarkStart w:id="189" w:name="_Toc85344546"/>
      <w:bookmarkStart w:id="190" w:name="_Toc85344547"/>
      <w:bookmarkStart w:id="191" w:name="_Toc85344548"/>
      <w:bookmarkStart w:id="192" w:name="_Toc85344562"/>
      <w:bookmarkStart w:id="193" w:name="_Toc85344576"/>
      <w:bookmarkStart w:id="194" w:name="_Toc85344577"/>
      <w:bookmarkStart w:id="195" w:name="_Toc85344578"/>
      <w:bookmarkStart w:id="196" w:name="_Toc85344580"/>
      <w:bookmarkStart w:id="197" w:name="_Toc85344581"/>
      <w:bookmarkStart w:id="198" w:name="_Toc85344583"/>
      <w:bookmarkStart w:id="199" w:name="_Toc85344588"/>
      <w:bookmarkStart w:id="200" w:name="_Toc85344592"/>
      <w:bookmarkStart w:id="201" w:name="_Toc85344593"/>
      <w:bookmarkStart w:id="202" w:name="_Toc85344605"/>
      <w:bookmarkStart w:id="203" w:name="_Toc85344606"/>
      <w:bookmarkStart w:id="204" w:name="_Toc85344608"/>
      <w:bookmarkStart w:id="205" w:name="_Toc85344609"/>
      <w:bookmarkStart w:id="206" w:name="_Toc85344610"/>
      <w:bookmarkStart w:id="207" w:name="_Toc85344622"/>
      <w:bookmarkStart w:id="208" w:name="_Toc85344623"/>
      <w:bookmarkStart w:id="209" w:name="_Toc85344624"/>
      <w:bookmarkStart w:id="210" w:name="_Toc85344633"/>
      <w:bookmarkStart w:id="211" w:name="_Toc85344634"/>
      <w:bookmarkStart w:id="212" w:name="_Toc85344647"/>
      <w:bookmarkStart w:id="213" w:name="_Toc85344658"/>
      <w:bookmarkStart w:id="214" w:name="_Toc85344660"/>
      <w:bookmarkStart w:id="215" w:name="_Toc85344661"/>
      <w:bookmarkStart w:id="216" w:name="_Toc85344662"/>
      <w:bookmarkStart w:id="217" w:name="_Toc85344667"/>
      <w:bookmarkStart w:id="218" w:name="_Toc85344668"/>
      <w:bookmarkStart w:id="219" w:name="_Toc85344679"/>
      <w:bookmarkStart w:id="220" w:name="_Toc85344681"/>
      <w:bookmarkStart w:id="221" w:name="_Toc85344682"/>
      <w:bookmarkStart w:id="222" w:name="_Toc85344715"/>
      <w:bookmarkStart w:id="223" w:name="_Toc85344716"/>
      <w:bookmarkStart w:id="224" w:name="_Toc85344735"/>
      <w:bookmarkStart w:id="225" w:name="_Toc85344749"/>
      <w:bookmarkStart w:id="226" w:name="_Toc85344750"/>
      <w:bookmarkStart w:id="227" w:name="_Toc85344769"/>
      <w:bookmarkStart w:id="228" w:name="_Toc85344781"/>
      <w:bookmarkStart w:id="229" w:name="_Toc85344786"/>
      <w:bookmarkStart w:id="230" w:name="_Toc85344788"/>
      <w:bookmarkStart w:id="231" w:name="_Toc85344790"/>
      <w:bookmarkStart w:id="232" w:name="_Toc85344793"/>
      <w:bookmarkStart w:id="233" w:name="_Toc85344811"/>
      <w:bookmarkStart w:id="234" w:name="_Toc85344825"/>
      <w:bookmarkStart w:id="235" w:name="_Toc85344836"/>
      <w:bookmarkStart w:id="236" w:name="_Toc85344865"/>
      <w:bookmarkStart w:id="237" w:name="_Toc85344866"/>
      <w:bookmarkStart w:id="238" w:name="_Toc85344880"/>
      <w:bookmarkStart w:id="239" w:name="_Toc85344884"/>
      <w:bookmarkStart w:id="240" w:name="_Toc85344888"/>
      <w:bookmarkStart w:id="241" w:name="_Toc85344892"/>
      <w:bookmarkStart w:id="242" w:name="_Toc85344900"/>
      <w:bookmarkStart w:id="243" w:name="_Toc85344904"/>
      <w:bookmarkStart w:id="244" w:name="_Toc85344908"/>
      <w:bookmarkStart w:id="245" w:name="_Toc85344916"/>
      <w:bookmarkStart w:id="246" w:name="_Toc85344924"/>
      <w:bookmarkStart w:id="247" w:name="_Toc8534493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r w:rsidRPr="000B14CC">
        <w:rPr>
          <w:rFonts w:asciiTheme="minorHAnsi" w:eastAsiaTheme="minorHAnsi" w:hAnsiTheme="minorHAnsi" w:cstheme="minorHAnsi"/>
          <w:color w:val="auto"/>
        </w:rPr>
        <w:lastRenderedPageBreak/>
        <w:t xml:space="preserve">This report is a summary of the various Demand </w:t>
      </w:r>
      <w:r w:rsidR="00434FC4" w:rsidRPr="000B14CC">
        <w:rPr>
          <w:rFonts w:asciiTheme="minorHAnsi" w:eastAsiaTheme="minorHAnsi" w:hAnsiTheme="minorHAnsi" w:cstheme="minorHAnsi"/>
          <w:color w:val="auto"/>
        </w:rPr>
        <w:t>r</w:t>
      </w:r>
      <w:r w:rsidRPr="000B14CC">
        <w:rPr>
          <w:rFonts w:asciiTheme="minorHAnsi" w:eastAsiaTheme="minorHAnsi" w:hAnsiTheme="minorHAnsi" w:cstheme="minorHAnsi"/>
          <w:color w:val="auto"/>
        </w:rPr>
        <w:t>esponse products that are available in the ERCOT Region.</w:t>
      </w:r>
      <w:r w:rsidR="00B438D8" w:rsidRPr="000B14CC">
        <w:rPr>
          <w:rStyle w:val="FootnoteReference"/>
          <w:rFonts w:asciiTheme="minorHAnsi" w:eastAsiaTheme="minorHAnsi" w:hAnsiTheme="minorHAnsi" w:cstheme="minorHAnsi"/>
          <w:color w:val="auto"/>
          <w:sz w:val="24"/>
        </w:rPr>
        <w:footnoteReference w:id="1"/>
      </w:r>
      <w:r w:rsidRPr="000B14CC">
        <w:rPr>
          <w:rFonts w:asciiTheme="minorHAnsi" w:eastAsiaTheme="minorHAnsi" w:hAnsiTheme="minorHAnsi" w:cstheme="minorHAnsi"/>
          <w:color w:val="auto"/>
        </w:rPr>
        <w:t xml:space="preserve"> Some of these, such as participation from Load Resources and Emergency Response Service, are directly administered by ERCOT, and therefore are easily quantifiable. The </w:t>
      </w:r>
      <w:r w:rsidR="00EC7B4E" w:rsidRPr="000B14CC">
        <w:rPr>
          <w:rFonts w:asciiTheme="minorHAnsi" w:eastAsiaTheme="minorHAnsi" w:hAnsiTheme="minorHAnsi" w:cstheme="minorHAnsi"/>
          <w:color w:val="auto"/>
        </w:rPr>
        <w:t>Transmission/Distribution Service Provider (</w:t>
      </w:r>
      <w:r w:rsidRPr="000B14CC">
        <w:rPr>
          <w:rFonts w:asciiTheme="minorHAnsi" w:eastAsiaTheme="minorHAnsi" w:hAnsiTheme="minorHAnsi" w:cstheme="minorHAnsi"/>
          <w:color w:val="auto"/>
        </w:rPr>
        <w:t>TDSP</w:t>
      </w:r>
      <w:r w:rsidR="00EC7B4E" w:rsidRPr="000B14CC">
        <w:rPr>
          <w:rFonts w:asciiTheme="minorHAnsi" w:eastAsiaTheme="minorHAnsi" w:hAnsiTheme="minorHAnsi" w:cstheme="minorHAnsi"/>
          <w:color w:val="auto"/>
        </w:rPr>
        <w:t>)</w:t>
      </w:r>
      <w:r w:rsidRPr="000B14CC">
        <w:rPr>
          <w:rFonts w:asciiTheme="minorHAnsi" w:eastAsiaTheme="minorHAnsi" w:hAnsiTheme="minorHAnsi" w:cstheme="minorHAnsi"/>
          <w:color w:val="auto"/>
        </w:rPr>
        <w:t xml:space="preserve"> </w:t>
      </w:r>
      <w:r w:rsidR="00153346" w:rsidRPr="000B14CC">
        <w:rPr>
          <w:rFonts w:asciiTheme="minorHAnsi" w:eastAsiaTheme="minorHAnsi" w:hAnsiTheme="minorHAnsi" w:cstheme="minorHAnsi"/>
          <w:color w:val="auto"/>
        </w:rPr>
        <w:t>L</w:t>
      </w:r>
      <w:r w:rsidRPr="000B14CC">
        <w:rPr>
          <w:rFonts w:asciiTheme="minorHAnsi" w:eastAsiaTheme="minorHAnsi" w:hAnsiTheme="minorHAnsi" w:cstheme="minorHAnsi"/>
          <w:color w:val="auto"/>
        </w:rPr>
        <w:t xml:space="preserve">oad Management Programs are administered by the various </w:t>
      </w:r>
      <w:r w:rsidR="00EC7B4E" w:rsidRPr="000B14CC">
        <w:rPr>
          <w:rFonts w:asciiTheme="minorHAnsi" w:eastAsiaTheme="minorHAnsi" w:hAnsiTheme="minorHAnsi" w:cstheme="minorHAnsi"/>
          <w:color w:val="auto"/>
        </w:rPr>
        <w:t>TDSPs</w:t>
      </w:r>
      <w:r w:rsidRPr="000B14CC">
        <w:rPr>
          <w:rFonts w:asciiTheme="minorHAnsi" w:eastAsiaTheme="minorHAnsi" w:hAnsiTheme="minorHAnsi" w:cstheme="minorHAnsi"/>
          <w:color w:val="auto"/>
        </w:rPr>
        <w:t xml:space="preserve"> in the competitive choice areas of the ERCOT </w:t>
      </w:r>
      <w:r w:rsidR="00671147">
        <w:rPr>
          <w:rFonts w:asciiTheme="minorHAnsi" w:eastAsiaTheme="minorHAnsi" w:hAnsiTheme="minorHAnsi" w:cstheme="minorHAnsi"/>
          <w:color w:val="auto"/>
        </w:rPr>
        <w:t>Region</w:t>
      </w:r>
      <w:r w:rsidRPr="000B14CC">
        <w:rPr>
          <w:rFonts w:asciiTheme="minorHAnsi" w:eastAsiaTheme="minorHAnsi" w:hAnsiTheme="minorHAnsi" w:cstheme="minorHAnsi"/>
          <w:color w:val="auto"/>
        </w:rPr>
        <w:t xml:space="preserve"> but are reported to ERCOT and are available to be deployed through an ERCOT</w:t>
      </w:r>
      <w:r w:rsidR="00EC7B4E" w:rsidRPr="000B14CC">
        <w:rPr>
          <w:rFonts w:asciiTheme="minorHAnsi" w:eastAsiaTheme="minorHAnsi" w:hAnsiTheme="minorHAnsi" w:cstheme="minorHAnsi"/>
          <w:color w:val="auto"/>
        </w:rPr>
        <w:t>-</w:t>
      </w:r>
      <w:r w:rsidRPr="000B14CC">
        <w:rPr>
          <w:rFonts w:asciiTheme="minorHAnsi" w:eastAsiaTheme="minorHAnsi" w:hAnsiTheme="minorHAnsi" w:cstheme="minorHAnsi"/>
          <w:color w:val="auto"/>
        </w:rPr>
        <w:t xml:space="preserve">issued instruction to the TDSPs. Participation from the remaining </w:t>
      </w:r>
      <w:r w:rsidR="00434FC4" w:rsidRPr="000B14CC">
        <w:rPr>
          <w:rFonts w:asciiTheme="minorHAnsi" w:eastAsiaTheme="minorHAnsi" w:hAnsiTheme="minorHAnsi" w:cstheme="minorHAnsi"/>
          <w:color w:val="auto"/>
        </w:rPr>
        <w:t>Demand response</w:t>
      </w:r>
      <w:r w:rsidRPr="000B14CC">
        <w:rPr>
          <w:rFonts w:asciiTheme="minorHAnsi" w:eastAsiaTheme="minorHAnsi" w:hAnsiTheme="minorHAnsi" w:cstheme="minorHAnsi"/>
          <w:color w:val="auto"/>
        </w:rPr>
        <w:t xml:space="preserve"> products included in this report are derived from detailed analysis of meter data associated with the ESIIDs provided through the annual Price Responsive Demand Response Survey</w:t>
      </w:r>
      <w:r w:rsidR="00A61D11" w:rsidRPr="000B14CC">
        <w:rPr>
          <w:rFonts w:asciiTheme="minorHAnsi" w:eastAsiaTheme="minorHAnsi" w:hAnsiTheme="minorHAnsi" w:cstheme="minorHAnsi"/>
          <w:color w:val="auto"/>
        </w:rPr>
        <w:t>,</w:t>
      </w:r>
      <w:r w:rsidRPr="000B14CC">
        <w:rPr>
          <w:rFonts w:asciiTheme="minorHAnsi" w:eastAsiaTheme="minorHAnsi" w:hAnsiTheme="minorHAnsi" w:cstheme="minorHAnsi"/>
          <w:color w:val="auto"/>
        </w:rPr>
        <w:t xml:space="preserve"> or through analysis of the boundary meter data available </w:t>
      </w:r>
      <w:r w:rsidR="002F57E2" w:rsidRPr="000B14CC">
        <w:rPr>
          <w:rFonts w:asciiTheme="minorHAnsi" w:eastAsiaTheme="minorHAnsi" w:hAnsiTheme="minorHAnsi" w:cstheme="minorHAnsi"/>
          <w:color w:val="auto"/>
        </w:rPr>
        <w:t>from Non-Opt-In Entities (</w:t>
      </w:r>
      <w:r w:rsidRPr="000B14CC">
        <w:rPr>
          <w:rFonts w:asciiTheme="minorHAnsi" w:eastAsiaTheme="minorHAnsi" w:hAnsiTheme="minorHAnsi" w:cstheme="minorHAnsi"/>
          <w:color w:val="auto"/>
        </w:rPr>
        <w:t>NOIEs</w:t>
      </w:r>
      <w:r w:rsidR="002F57E2" w:rsidRPr="000B14CC">
        <w:rPr>
          <w:rFonts w:asciiTheme="minorHAnsi" w:eastAsiaTheme="minorHAnsi" w:hAnsiTheme="minorHAnsi" w:cstheme="minorHAnsi"/>
          <w:color w:val="auto"/>
        </w:rPr>
        <w:t>)</w:t>
      </w:r>
      <w:r w:rsidRPr="000B14CC">
        <w:rPr>
          <w:rFonts w:asciiTheme="minorHAnsi" w:eastAsiaTheme="minorHAnsi" w:hAnsiTheme="minorHAnsi" w:cstheme="minorHAnsi"/>
          <w:color w:val="auto"/>
        </w:rPr>
        <w:t xml:space="preserve">. The </w:t>
      </w:r>
      <w:r w:rsidR="00434FC4" w:rsidRPr="000B14CC">
        <w:rPr>
          <w:rFonts w:asciiTheme="minorHAnsi" w:eastAsiaTheme="minorHAnsi" w:hAnsiTheme="minorHAnsi" w:cstheme="minorHAnsi"/>
          <w:color w:val="auto"/>
        </w:rPr>
        <w:t>Demand response</w:t>
      </w:r>
      <w:r w:rsidRPr="000B14CC">
        <w:rPr>
          <w:rFonts w:asciiTheme="minorHAnsi" w:eastAsiaTheme="minorHAnsi" w:hAnsiTheme="minorHAnsi" w:cstheme="minorHAnsi"/>
          <w:color w:val="auto"/>
        </w:rPr>
        <w:t xml:space="preserve"> products included in this report are:</w:t>
      </w:r>
    </w:p>
    <w:p w14:paraId="3742B672" w14:textId="77777777" w:rsidR="00F644D7" w:rsidRPr="000B14CC" w:rsidRDefault="00F644D7" w:rsidP="00F644D7">
      <w:pPr>
        <w:pStyle w:val="ListParagraph"/>
        <w:widowControl w:val="0"/>
        <w:numPr>
          <w:ilvl w:val="0"/>
          <w:numId w:val="21"/>
        </w:numPr>
        <w:rPr>
          <w:rFonts w:cstheme="minorHAnsi"/>
          <w:sz w:val="24"/>
          <w:szCs w:val="24"/>
        </w:rPr>
      </w:pPr>
      <w:r w:rsidRPr="000B14CC">
        <w:rPr>
          <w:rFonts w:cstheme="minorHAnsi"/>
          <w:sz w:val="24"/>
          <w:szCs w:val="24"/>
        </w:rPr>
        <w:t>Load Resource Participation in ERCOT’s Ancillary Services and Real</w:t>
      </w:r>
      <w:r w:rsidR="00B13B02" w:rsidRPr="000B14CC">
        <w:rPr>
          <w:rFonts w:cstheme="minorHAnsi"/>
          <w:sz w:val="24"/>
          <w:szCs w:val="24"/>
        </w:rPr>
        <w:t>-</w:t>
      </w:r>
      <w:r w:rsidRPr="000B14CC">
        <w:rPr>
          <w:rFonts w:cstheme="minorHAnsi"/>
          <w:sz w:val="24"/>
          <w:szCs w:val="24"/>
        </w:rPr>
        <w:t xml:space="preserve">Time </w:t>
      </w:r>
      <w:r w:rsidR="00B13B02" w:rsidRPr="000B14CC">
        <w:rPr>
          <w:rFonts w:cstheme="minorHAnsi"/>
          <w:sz w:val="24"/>
          <w:szCs w:val="24"/>
        </w:rPr>
        <w:t>e</w:t>
      </w:r>
      <w:r w:rsidRPr="000B14CC">
        <w:rPr>
          <w:rFonts w:cstheme="minorHAnsi"/>
          <w:sz w:val="24"/>
          <w:szCs w:val="24"/>
        </w:rPr>
        <w:t xml:space="preserve">nergy </w:t>
      </w:r>
      <w:r w:rsidR="00B13B02" w:rsidRPr="000B14CC">
        <w:rPr>
          <w:rFonts w:cstheme="minorHAnsi"/>
          <w:sz w:val="24"/>
          <w:szCs w:val="24"/>
        </w:rPr>
        <w:t>m</w:t>
      </w:r>
      <w:r w:rsidRPr="000B14CC">
        <w:rPr>
          <w:rFonts w:cstheme="minorHAnsi"/>
          <w:sz w:val="24"/>
          <w:szCs w:val="24"/>
        </w:rPr>
        <w:t>arket</w:t>
      </w:r>
    </w:p>
    <w:p w14:paraId="155DF3B5" w14:textId="78693457" w:rsidR="00F644D7" w:rsidRPr="000B14CC" w:rsidRDefault="00F644D7" w:rsidP="00F644D7">
      <w:pPr>
        <w:pStyle w:val="ListParagraph"/>
        <w:widowControl w:val="0"/>
        <w:numPr>
          <w:ilvl w:val="1"/>
          <w:numId w:val="21"/>
        </w:numPr>
        <w:rPr>
          <w:rFonts w:cstheme="minorHAnsi"/>
          <w:sz w:val="24"/>
          <w:szCs w:val="24"/>
        </w:rPr>
      </w:pPr>
      <w:r w:rsidRPr="000B14CC">
        <w:rPr>
          <w:rFonts w:cstheme="minorHAnsi"/>
          <w:sz w:val="24"/>
          <w:szCs w:val="24"/>
        </w:rPr>
        <w:t xml:space="preserve">Responsive Reserve </w:t>
      </w:r>
      <w:r w:rsidR="006E17E6" w:rsidRPr="000B14CC">
        <w:rPr>
          <w:rFonts w:cstheme="minorHAnsi"/>
          <w:sz w:val="24"/>
          <w:szCs w:val="24"/>
        </w:rPr>
        <w:t xml:space="preserve">Service </w:t>
      </w:r>
      <w:r w:rsidR="00B13B02" w:rsidRPr="000B14CC">
        <w:rPr>
          <w:rFonts w:cstheme="minorHAnsi"/>
          <w:sz w:val="24"/>
          <w:szCs w:val="24"/>
        </w:rPr>
        <w:t>(RRS)</w:t>
      </w:r>
    </w:p>
    <w:p w14:paraId="505B1462" w14:textId="77777777" w:rsidR="00F644D7" w:rsidRPr="000B14CC" w:rsidRDefault="00F644D7" w:rsidP="00F644D7">
      <w:pPr>
        <w:pStyle w:val="ListParagraph"/>
        <w:widowControl w:val="0"/>
        <w:numPr>
          <w:ilvl w:val="1"/>
          <w:numId w:val="21"/>
        </w:numPr>
        <w:rPr>
          <w:rFonts w:cstheme="minorHAnsi"/>
          <w:sz w:val="24"/>
          <w:szCs w:val="24"/>
        </w:rPr>
      </w:pPr>
      <w:r w:rsidRPr="000B14CC">
        <w:rPr>
          <w:rFonts w:cstheme="minorHAnsi"/>
          <w:sz w:val="24"/>
          <w:szCs w:val="24"/>
        </w:rPr>
        <w:t>Regulation Service</w:t>
      </w:r>
    </w:p>
    <w:p w14:paraId="5129E531" w14:textId="0D9716D0" w:rsidR="00F644D7" w:rsidRPr="0056254E" w:rsidRDefault="00F644D7" w:rsidP="00F644D7">
      <w:pPr>
        <w:pStyle w:val="ListParagraph"/>
        <w:widowControl w:val="0"/>
        <w:numPr>
          <w:ilvl w:val="1"/>
          <w:numId w:val="21"/>
        </w:numPr>
        <w:rPr>
          <w:rFonts w:cstheme="minorHAnsi"/>
          <w:sz w:val="24"/>
          <w:szCs w:val="24"/>
        </w:rPr>
      </w:pPr>
      <w:r w:rsidRPr="0056254E">
        <w:rPr>
          <w:rFonts w:cstheme="minorHAnsi"/>
          <w:sz w:val="24"/>
          <w:szCs w:val="24"/>
        </w:rPr>
        <w:t xml:space="preserve">Non-Spinning Reserve </w:t>
      </w:r>
      <w:r w:rsidR="00B13B02" w:rsidRPr="0056254E">
        <w:rPr>
          <w:rFonts w:cstheme="minorHAnsi"/>
          <w:sz w:val="24"/>
          <w:szCs w:val="24"/>
        </w:rPr>
        <w:t xml:space="preserve">(Non-Spin) </w:t>
      </w:r>
      <w:r w:rsidRPr="0056254E">
        <w:rPr>
          <w:rFonts w:cstheme="minorHAnsi"/>
          <w:sz w:val="24"/>
          <w:szCs w:val="24"/>
        </w:rPr>
        <w:t xml:space="preserve">and </w:t>
      </w:r>
      <w:r w:rsidR="00B13B02" w:rsidRPr="0056254E">
        <w:rPr>
          <w:rFonts w:cstheme="minorHAnsi"/>
          <w:sz w:val="24"/>
          <w:szCs w:val="24"/>
        </w:rPr>
        <w:t>Security-Constrained Economic Dispatch (</w:t>
      </w:r>
      <w:r w:rsidRPr="0056254E">
        <w:rPr>
          <w:rFonts w:cstheme="minorHAnsi"/>
          <w:sz w:val="24"/>
          <w:szCs w:val="24"/>
        </w:rPr>
        <w:t>SCED</w:t>
      </w:r>
      <w:r w:rsidR="00B13B02" w:rsidRPr="0056254E">
        <w:rPr>
          <w:rFonts w:cstheme="minorHAnsi"/>
          <w:sz w:val="24"/>
          <w:szCs w:val="24"/>
        </w:rPr>
        <w:t>)</w:t>
      </w:r>
    </w:p>
    <w:p w14:paraId="7852D205" w14:textId="5886AFEE" w:rsidR="0056254E" w:rsidRPr="0056254E" w:rsidRDefault="0056254E" w:rsidP="00F644D7">
      <w:pPr>
        <w:pStyle w:val="ListParagraph"/>
        <w:widowControl w:val="0"/>
        <w:numPr>
          <w:ilvl w:val="1"/>
          <w:numId w:val="21"/>
        </w:numPr>
        <w:rPr>
          <w:rFonts w:cstheme="minorHAnsi"/>
          <w:sz w:val="24"/>
          <w:szCs w:val="24"/>
        </w:rPr>
      </w:pPr>
      <w:r w:rsidRPr="0056254E">
        <w:rPr>
          <w:rFonts w:cstheme="minorHAnsi"/>
          <w:sz w:val="24"/>
          <w:szCs w:val="24"/>
        </w:rPr>
        <w:t>ERCOT Contingency Reserve Service (ECRS)</w:t>
      </w:r>
    </w:p>
    <w:p w14:paraId="421829BC" w14:textId="69759AE6" w:rsidR="0056254E" w:rsidRPr="0056254E" w:rsidRDefault="0056254E" w:rsidP="00F644D7">
      <w:pPr>
        <w:pStyle w:val="ListParagraph"/>
        <w:widowControl w:val="0"/>
        <w:numPr>
          <w:ilvl w:val="1"/>
          <w:numId w:val="21"/>
        </w:numPr>
        <w:rPr>
          <w:rFonts w:cstheme="minorHAnsi"/>
          <w:sz w:val="24"/>
          <w:szCs w:val="24"/>
        </w:rPr>
      </w:pPr>
      <w:r w:rsidRPr="0056254E">
        <w:rPr>
          <w:rFonts w:cstheme="minorHAnsi"/>
          <w:sz w:val="24"/>
          <w:szCs w:val="24"/>
        </w:rPr>
        <w:t>Controllable Load Resources</w:t>
      </w:r>
      <w:r w:rsidR="00671147">
        <w:rPr>
          <w:rFonts w:cstheme="minorHAnsi"/>
          <w:sz w:val="24"/>
          <w:szCs w:val="24"/>
        </w:rPr>
        <w:t xml:space="preserve"> (CLRs)</w:t>
      </w:r>
    </w:p>
    <w:p w14:paraId="00F29986" w14:textId="77777777" w:rsidR="0056254E" w:rsidRPr="0056254E" w:rsidRDefault="0056254E" w:rsidP="0056254E">
      <w:pPr>
        <w:pStyle w:val="ListParagraph"/>
        <w:numPr>
          <w:ilvl w:val="1"/>
          <w:numId w:val="21"/>
        </w:numPr>
        <w:spacing w:before="100" w:beforeAutospacing="1" w:after="100" w:afterAutospacing="1"/>
        <w:rPr>
          <w:rFonts w:asciiTheme="majorHAnsi" w:hAnsiTheme="majorHAnsi" w:cstheme="majorHAnsi"/>
          <w:color w:val="000000"/>
          <w:sz w:val="24"/>
          <w:szCs w:val="24"/>
        </w:rPr>
      </w:pPr>
      <w:r w:rsidRPr="0056254E">
        <w:rPr>
          <w:rFonts w:asciiTheme="majorHAnsi" w:hAnsiTheme="majorHAnsi" w:cstheme="majorHAnsi"/>
          <w:color w:val="000000"/>
          <w:sz w:val="24"/>
          <w:szCs w:val="24"/>
        </w:rPr>
        <w:t xml:space="preserve">Aggregate Distributed Energy Resource (ADER) Pilot Project </w:t>
      </w:r>
    </w:p>
    <w:p w14:paraId="4F4A70BA" w14:textId="401BAC3A" w:rsidR="00F644D7" w:rsidRPr="000B14CC" w:rsidRDefault="005F1A52" w:rsidP="00F644D7">
      <w:pPr>
        <w:pStyle w:val="ListParagraph"/>
        <w:widowControl w:val="0"/>
        <w:numPr>
          <w:ilvl w:val="0"/>
          <w:numId w:val="21"/>
        </w:numPr>
        <w:rPr>
          <w:rFonts w:cstheme="minorHAnsi"/>
          <w:sz w:val="24"/>
          <w:szCs w:val="24"/>
        </w:rPr>
      </w:pPr>
      <w:r w:rsidRPr="000B14CC">
        <w:rPr>
          <w:rFonts w:cstheme="minorHAnsi"/>
          <w:sz w:val="24"/>
          <w:szCs w:val="24"/>
        </w:rPr>
        <w:t>Emergency Response Service (</w:t>
      </w:r>
      <w:r w:rsidR="00434FC4" w:rsidRPr="000B14CC">
        <w:rPr>
          <w:rFonts w:cstheme="minorHAnsi"/>
          <w:sz w:val="24"/>
          <w:szCs w:val="24"/>
        </w:rPr>
        <w:t>ERS</w:t>
      </w:r>
      <w:r w:rsidRPr="000B14CC">
        <w:rPr>
          <w:rFonts w:cstheme="minorHAnsi"/>
          <w:sz w:val="24"/>
          <w:szCs w:val="24"/>
        </w:rPr>
        <w:t>)</w:t>
      </w:r>
    </w:p>
    <w:p w14:paraId="75D366EF" w14:textId="77777777" w:rsidR="00F644D7" w:rsidRPr="000B14CC" w:rsidRDefault="00F644D7" w:rsidP="00F644D7">
      <w:pPr>
        <w:pStyle w:val="ListParagraph"/>
        <w:widowControl w:val="0"/>
        <w:numPr>
          <w:ilvl w:val="0"/>
          <w:numId w:val="21"/>
        </w:numPr>
        <w:rPr>
          <w:rFonts w:cstheme="minorHAnsi"/>
          <w:sz w:val="24"/>
          <w:szCs w:val="24"/>
        </w:rPr>
      </w:pPr>
      <w:r w:rsidRPr="000B14CC">
        <w:rPr>
          <w:rFonts w:cstheme="minorHAnsi"/>
          <w:sz w:val="24"/>
          <w:szCs w:val="24"/>
        </w:rPr>
        <w:t>TDSP Load Management Programs</w:t>
      </w:r>
    </w:p>
    <w:p w14:paraId="4A20D715" w14:textId="77777777" w:rsidR="00F644D7" w:rsidRPr="000B14CC" w:rsidRDefault="00F644D7" w:rsidP="00F644D7">
      <w:pPr>
        <w:pStyle w:val="ListParagraph"/>
        <w:widowControl w:val="0"/>
        <w:numPr>
          <w:ilvl w:val="0"/>
          <w:numId w:val="21"/>
        </w:numPr>
        <w:rPr>
          <w:rFonts w:cstheme="minorHAnsi"/>
          <w:sz w:val="24"/>
          <w:szCs w:val="24"/>
        </w:rPr>
      </w:pPr>
      <w:r w:rsidRPr="000B14CC">
        <w:rPr>
          <w:rFonts w:cstheme="minorHAnsi"/>
          <w:sz w:val="24"/>
          <w:szCs w:val="24"/>
        </w:rPr>
        <w:t>4</w:t>
      </w:r>
      <w:r w:rsidR="00434FC4" w:rsidRPr="000B14CC">
        <w:rPr>
          <w:rFonts w:cstheme="minorHAnsi"/>
          <w:sz w:val="24"/>
          <w:szCs w:val="24"/>
        </w:rPr>
        <w:t>-Coincident Peak (</w:t>
      </w:r>
      <w:r w:rsidRPr="000B14CC">
        <w:rPr>
          <w:rFonts w:cstheme="minorHAnsi"/>
          <w:sz w:val="24"/>
          <w:szCs w:val="24"/>
        </w:rPr>
        <w:t>CP</w:t>
      </w:r>
      <w:r w:rsidR="00434FC4" w:rsidRPr="000B14CC">
        <w:rPr>
          <w:rFonts w:cstheme="minorHAnsi"/>
          <w:sz w:val="24"/>
          <w:szCs w:val="24"/>
        </w:rPr>
        <w:t>)</w:t>
      </w:r>
      <w:r w:rsidRPr="000B14CC">
        <w:rPr>
          <w:rFonts w:cstheme="minorHAnsi"/>
          <w:sz w:val="24"/>
          <w:szCs w:val="24"/>
        </w:rPr>
        <w:t xml:space="preserve"> Load Reduction</w:t>
      </w:r>
    </w:p>
    <w:p w14:paraId="2E5FDBD5" w14:textId="138CED47" w:rsidR="00CF68C8" w:rsidRPr="000B14CC" w:rsidRDefault="00F644D7" w:rsidP="00F53A21">
      <w:pPr>
        <w:pStyle w:val="ListParagraph"/>
        <w:widowControl w:val="0"/>
        <w:numPr>
          <w:ilvl w:val="0"/>
          <w:numId w:val="21"/>
        </w:numPr>
        <w:rPr>
          <w:rFonts w:cstheme="minorHAnsi"/>
          <w:sz w:val="24"/>
          <w:szCs w:val="24"/>
        </w:rPr>
      </w:pPr>
      <w:r w:rsidRPr="000B14CC">
        <w:rPr>
          <w:rFonts w:cstheme="minorHAnsi"/>
          <w:sz w:val="24"/>
          <w:szCs w:val="24"/>
        </w:rPr>
        <w:t>Price</w:t>
      </w:r>
      <w:r w:rsidR="00703504" w:rsidRPr="000B14CC">
        <w:rPr>
          <w:rFonts w:cstheme="minorHAnsi"/>
          <w:sz w:val="24"/>
          <w:szCs w:val="24"/>
        </w:rPr>
        <w:t>-R</w:t>
      </w:r>
      <w:r w:rsidRPr="000B14CC">
        <w:rPr>
          <w:rFonts w:cstheme="minorHAnsi"/>
          <w:sz w:val="24"/>
          <w:szCs w:val="24"/>
        </w:rPr>
        <w:t xml:space="preserve">esponsive </w:t>
      </w:r>
      <w:r w:rsidR="00703504" w:rsidRPr="000B14CC">
        <w:rPr>
          <w:rFonts w:cstheme="minorHAnsi"/>
          <w:sz w:val="24"/>
          <w:szCs w:val="24"/>
        </w:rPr>
        <w:t>Demand R</w:t>
      </w:r>
      <w:r w:rsidR="00434FC4" w:rsidRPr="000B14CC">
        <w:rPr>
          <w:rFonts w:cstheme="minorHAnsi"/>
          <w:sz w:val="24"/>
          <w:szCs w:val="24"/>
        </w:rPr>
        <w:t>esponse</w:t>
      </w:r>
    </w:p>
    <w:p w14:paraId="1C1846A4" w14:textId="0F2A5625" w:rsidR="00E25355" w:rsidRDefault="00E25355" w:rsidP="009F292E">
      <w:pPr>
        <w:jc w:val="both"/>
        <w:rPr>
          <w:rFonts w:cs="Arial"/>
          <w:color w:val="auto"/>
        </w:rPr>
      </w:pPr>
    </w:p>
    <w:p w14:paraId="18382A59" w14:textId="77777777" w:rsidR="00E25355" w:rsidRPr="00EF14A8" w:rsidRDefault="00E25355" w:rsidP="00E25355">
      <w:pPr>
        <w:widowControl w:val="0"/>
        <w:spacing w:after="120"/>
        <w:jc w:val="both"/>
        <w:rPr>
          <w:rFonts w:cs="Arial"/>
          <w:b/>
          <w:color w:val="000000" w:themeColor="text1"/>
          <w:sz w:val="28"/>
          <w:szCs w:val="28"/>
        </w:rPr>
      </w:pPr>
      <w:r w:rsidRPr="00EF14A8">
        <w:rPr>
          <w:rFonts w:cs="Arial"/>
          <w:b/>
          <w:color w:val="000000" w:themeColor="text1"/>
          <w:sz w:val="28"/>
          <w:szCs w:val="28"/>
        </w:rPr>
        <w:t>Load Resource Participation in ERCOT Ancillary Services</w:t>
      </w:r>
    </w:p>
    <w:p w14:paraId="7C9C7677" w14:textId="6046A726" w:rsidR="00F60B30" w:rsidRDefault="00E25355" w:rsidP="00F60B30">
      <w:pPr>
        <w:spacing w:line="360" w:lineRule="auto"/>
        <w:jc w:val="both"/>
        <w:rPr>
          <w:rFonts w:cs="Arial"/>
          <w:b/>
          <w:color w:val="000000" w:themeColor="text1"/>
        </w:rPr>
      </w:pPr>
      <w:r w:rsidRPr="0058082E">
        <w:rPr>
          <w:rFonts w:cs="Arial"/>
          <w:b/>
          <w:color w:val="000000" w:themeColor="text1"/>
        </w:rPr>
        <w:t>Responsive Reserve Service</w:t>
      </w:r>
      <w:r>
        <w:rPr>
          <w:rFonts w:cs="Arial"/>
          <w:b/>
          <w:color w:val="000000" w:themeColor="text1"/>
        </w:rPr>
        <w:t xml:space="preserve"> (RRS)</w:t>
      </w:r>
    </w:p>
    <w:p w14:paraId="4A83497E" w14:textId="12D54BAA" w:rsidR="00E25355" w:rsidRDefault="00E25355" w:rsidP="00E25355">
      <w:pPr>
        <w:jc w:val="both"/>
        <w:rPr>
          <w:rFonts w:cs="Arial"/>
          <w:color w:val="000000" w:themeColor="text1"/>
        </w:rPr>
      </w:pPr>
      <w:r>
        <w:rPr>
          <w:rFonts w:cs="Arial"/>
          <w:color w:val="000000" w:themeColor="text1"/>
        </w:rPr>
        <w:t xml:space="preserve">Most of the Demand response Resources, </w:t>
      </w:r>
      <w:r w:rsidR="00A05718">
        <w:rPr>
          <w:rFonts w:cs="Arial"/>
          <w:color w:val="000000" w:themeColor="text1"/>
        </w:rPr>
        <w:t xml:space="preserve">both </w:t>
      </w:r>
      <w:r>
        <w:rPr>
          <w:rFonts w:cs="Arial"/>
          <w:color w:val="000000" w:themeColor="text1"/>
        </w:rPr>
        <w:t xml:space="preserve">by number </w:t>
      </w:r>
      <w:r w:rsidR="00A05718">
        <w:rPr>
          <w:rFonts w:cs="Arial"/>
          <w:color w:val="000000" w:themeColor="text1"/>
        </w:rPr>
        <w:t xml:space="preserve">of units </w:t>
      </w:r>
      <w:r>
        <w:rPr>
          <w:rFonts w:cs="Arial"/>
          <w:color w:val="000000" w:themeColor="text1"/>
        </w:rPr>
        <w:t xml:space="preserve">and </w:t>
      </w:r>
      <w:r w:rsidR="00A05718">
        <w:rPr>
          <w:rFonts w:cs="Arial"/>
          <w:color w:val="000000" w:themeColor="text1"/>
        </w:rPr>
        <w:t xml:space="preserve">by </w:t>
      </w:r>
      <w:r>
        <w:rPr>
          <w:rFonts w:cs="Arial"/>
          <w:color w:val="000000" w:themeColor="text1"/>
        </w:rPr>
        <w:t xml:space="preserve">capacity volume, that participate in the ERCOT Ancillary Service markets are </w:t>
      </w:r>
      <w:r w:rsidRPr="0058082E">
        <w:rPr>
          <w:rFonts w:cs="Arial"/>
          <w:color w:val="000000" w:themeColor="text1"/>
        </w:rPr>
        <w:t xml:space="preserve">Load Resources controlled by high-set </w:t>
      </w:r>
      <w:r w:rsidR="00831917">
        <w:rPr>
          <w:rFonts w:cs="Arial"/>
          <w:color w:val="000000" w:themeColor="text1"/>
        </w:rPr>
        <w:t>U</w:t>
      </w:r>
      <w:r w:rsidRPr="0058082E">
        <w:rPr>
          <w:rFonts w:cs="Arial"/>
          <w:color w:val="000000" w:themeColor="text1"/>
        </w:rPr>
        <w:t>nder-</w:t>
      </w:r>
      <w:r w:rsidR="00831917">
        <w:rPr>
          <w:rFonts w:cs="Arial"/>
          <w:color w:val="000000" w:themeColor="text1"/>
        </w:rPr>
        <w:t>F</w:t>
      </w:r>
      <w:r w:rsidRPr="0058082E">
        <w:rPr>
          <w:rFonts w:cs="Arial"/>
          <w:color w:val="000000" w:themeColor="text1"/>
        </w:rPr>
        <w:t xml:space="preserve">requency </w:t>
      </w:r>
      <w:r w:rsidR="00831917">
        <w:rPr>
          <w:rFonts w:cs="Arial"/>
          <w:color w:val="000000" w:themeColor="text1"/>
        </w:rPr>
        <w:t>R</w:t>
      </w:r>
      <w:r w:rsidRPr="0058082E">
        <w:rPr>
          <w:rFonts w:cs="Arial"/>
          <w:color w:val="000000" w:themeColor="text1"/>
        </w:rPr>
        <w:t>elays</w:t>
      </w:r>
      <w:r>
        <w:rPr>
          <w:rFonts w:cs="Arial"/>
          <w:color w:val="000000" w:themeColor="text1"/>
        </w:rPr>
        <w:t xml:space="preserve"> (UFR). These Load Resources are commonly referred to as Non-Controllable Load Resources (NCLRs), and they </w:t>
      </w:r>
      <w:r w:rsidRPr="0058082E">
        <w:rPr>
          <w:rFonts w:cs="Arial"/>
          <w:color w:val="000000" w:themeColor="text1"/>
        </w:rPr>
        <w:t>participate in the</w:t>
      </w:r>
      <w:r>
        <w:rPr>
          <w:rFonts w:cs="Arial"/>
          <w:color w:val="000000" w:themeColor="text1"/>
        </w:rPr>
        <w:t xml:space="preserve"> RRS m</w:t>
      </w:r>
      <w:r w:rsidRPr="0058082E">
        <w:rPr>
          <w:rFonts w:cs="Arial"/>
          <w:color w:val="000000" w:themeColor="text1"/>
        </w:rPr>
        <w:t xml:space="preserve">arket.  </w:t>
      </w:r>
    </w:p>
    <w:p w14:paraId="29A73FA4" w14:textId="77777777" w:rsidR="00E25355" w:rsidRDefault="00E25355" w:rsidP="00E25355">
      <w:pPr>
        <w:jc w:val="both"/>
        <w:rPr>
          <w:rFonts w:cs="Arial"/>
          <w:color w:val="000000" w:themeColor="text1"/>
        </w:rPr>
      </w:pPr>
    </w:p>
    <w:p w14:paraId="3169D091" w14:textId="40CE36A5" w:rsidR="00E25355" w:rsidRPr="00CA5E96" w:rsidRDefault="00E25355" w:rsidP="009370FC">
      <w:pPr>
        <w:jc w:val="both"/>
        <w:rPr>
          <w:rFonts w:cs="Arial"/>
          <w:color w:val="auto"/>
        </w:rPr>
      </w:pPr>
      <w:r w:rsidRPr="0058082E">
        <w:rPr>
          <w:rFonts w:cs="Arial"/>
          <w:color w:val="000000" w:themeColor="text1"/>
        </w:rPr>
        <w:t>During 20</w:t>
      </w:r>
      <w:r>
        <w:rPr>
          <w:rFonts w:cs="Arial"/>
          <w:color w:val="000000" w:themeColor="text1"/>
        </w:rPr>
        <w:t>23</w:t>
      </w:r>
      <w:r w:rsidRPr="0058082E">
        <w:rPr>
          <w:rFonts w:cs="Arial"/>
          <w:color w:val="000000" w:themeColor="text1"/>
        </w:rPr>
        <w:t xml:space="preserve">, </w:t>
      </w:r>
      <w:r>
        <w:rPr>
          <w:rFonts w:cs="Arial"/>
          <w:color w:val="000000" w:themeColor="text1"/>
        </w:rPr>
        <w:t xml:space="preserve">Market Participants stopped and de-registered </w:t>
      </w:r>
      <w:r w:rsidR="00A05718">
        <w:rPr>
          <w:rFonts w:cs="Arial"/>
          <w:color w:val="000000" w:themeColor="text1"/>
        </w:rPr>
        <w:t xml:space="preserve">a net of </w:t>
      </w:r>
      <w:r>
        <w:rPr>
          <w:rFonts w:cs="Arial"/>
          <w:color w:val="000000" w:themeColor="text1"/>
        </w:rPr>
        <w:t>85 more NCLRs than they registered.</w:t>
      </w:r>
      <w:r w:rsidRPr="0058082E">
        <w:rPr>
          <w:rFonts w:cs="Arial"/>
          <w:color w:val="000000" w:themeColor="text1"/>
        </w:rPr>
        <w:t xml:space="preserve"> </w:t>
      </w:r>
      <w:r>
        <w:rPr>
          <w:rFonts w:cs="Arial"/>
          <w:color w:val="000000" w:themeColor="text1"/>
        </w:rPr>
        <w:t>As of the end of November 2023</w:t>
      </w:r>
      <w:r w:rsidRPr="0058082E">
        <w:rPr>
          <w:rFonts w:cs="Arial"/>
          <w:color w:val="000000" w:themeColor="text1"/>
        </w:rPr>
        <w:t xml:space="preserve">, there were </w:t>
      </w:r>
      <w:r>
        <w:rPr>
          <w:rFonts w:cs="Arial"/>
          <w:color w:val="000000" w:themeColor="text1"/>
        </w:rPr>
        <w:t>490</w:t>
      </w:r>
      <w:r w:rsidRPr="0058082E">
        <w:rPr>
          <w:rFonts w:cs="Arial"/>
          <w:color w:val="000000" w:themeColor="text1"/>
        </w:rPr>
        <w:t xml:space="preserve"> </w:t>
      </w:r>
      <w:r>
        <w:rPr>
          <w:rFonts w:cs="Arial"/>
          <w:color w:val="000000" w:themeColor="text1"/>
        </w:rPr>
        <w:t>registered NCLRs,</w:t>
      </w:r>
      <w:r w:rsidRPr="0058082E">
        <w:rPr>
          <w:rFonts w:cs="Arial"/>
          <w:color w:val="000000" w:themeColor="text1"/>
        </w:rPr>
        <w:t xml:space="preserve"> with an aggregate capacity of </w:t>
      </w:r>
      <w:r>
        <w:rPr>
          <w:rFonts w:cs="Arial"/>
          <w:color w:val="000000" w:themeColor="text1"/>
        </w:rPr>
        <w:t>8,690.2</w:t>
      </w:r>
      <w:r w:rsidRPr="0058082E">
        <w:rPr>
          <w:rFonts w:cs="Arial"/>
          <w:color w:val="000000" w:themeColor="text1"/>
        </w:rPr>
        <w:t xml:space="preserve"> </w:t>
      </w:r>
      <w:r w:rsidR="00A05718">
        <w:rPr>
          <w:rFonts w:cs="Arial"/>
          <w:color w:val="000000" w:themeColor="text1"/>
        </w:rPr>
        <w:t>megawatts (</w:t>
      </w:r>
      <w:r w:rsidRPr="0058082E">
        <w:rPr>
          <w:rFonts w:cs="Arial"/>
          <w:color w:val="000000" w:themeColor="text1"/>
        </w:rPr>
        <w:t>MW</w:t>
      </w:r>
      <w:r w:rsidR="00A05718">
        <w:rPr>
          <w:rFonts w:cs="Arial"/>
          <w:color w:val="000000" w:themeColor="text1"/>
        </w:rPr>
        <w:t>)</w:t>
      </w:r>
      <w:r w:rsidRPr="0058082E">
        <w:rPr>
          <w:rFonts w:cs="Arial"/>
          <w:color w:val="000000" w:themeColor="text1"/>
        </w:rPr>
        <w:t xml:space="preserve"> that were </w:t>
      </w:r>
      <w:r>
        <w:rPr>
          <w:rFonts w:cs="Arial"/>
          <w:color w:val="000000" w:themeColor="text1"/>
        </w:rPr>
        <w:t xml:space="preserve">qualified to provide </w:t>
      </w:r>
      <w:r w:rsidRPr="0058082E">
        <w:rPr>
          <w:rFonts w:cs="Arial"/>
          <w:color w:val="000000" w:themeColor="text1"/>
        </w:rPr>
        <w:t>RRS. It</w:t>
      </w:r>
      <w:r>
        <w:rPr>
          <w:rFonts w:cs="Arial"/>
          <w:color w:val="000000" w:themeColor="text1"/>
        </w:rPr>
        <w:t xml:space="preserve"> i</w:t>
      </w:r>
      <w:r w:rsidRPr="0058082E">
        <w:rPr>
          <w:rFonts w:cs="Arial"/>
          <w:color w:val="000000" w:themeColor="text1"/>
        </w:rPr>
        <w:t>s important to note that at any given time not all</w:t>
      </w:r>
      <w:r>
        <w:rPr>
          <w:rFonts w:cs="Arial"/>
          <w:color w:val="000000" w:themeColor="text1"/>
        </w:rPr>
        <w:t xml:space="preserve"> of these </w:t>
      </w:r>
      <w:r w:rsidRPr="0058082E">
        <w:rPr>
          <w:rFonts w:cs="Arial"/>
          <w:color w:val="000000" w:themeColor="text1"/>
        </w:rPr>
        <w:t xml:space="preserve">Load Resources are at their </w:t>
      </w:r>
      <w:r w:rsidRPr="00CA5E96">
        <w:rPr>
          <w:rFonts w:cs="Arial"/>
          <w:color w:val="auto"/>
        </w:rPr>
        <w:t xml:space="preserve">maximum Load value, nor are they all participating in the RRS market. Table 1 below </w:t>
      </w:r>
      <w:r w:rsidRPr="00CA5E96">
        <w:rPr>
          <w:rFonts w:cs="Arial"/>
          <w:color w:val="auto"/>
        </w:rPr>
        <w:lastRenderedPageBreak/>
        <w:t xml:space="preserve">shows the </w:t>
      </w:r>
      <w:r>
        <w:rPr>
          <w:rFonts w:cs="Arial"/>
          <w:color w:val="auto"/>
        </w:rPr>
        <w:t xml:space="preserve">monthly </w:t>
      </w:r>
      <w:r w:rsidRPr="00CA5E96">
        <w:rPr>
          <w:rFonts w:cs="Arial"/>
          <w:color w:val="auto"/>
        </w:rPr>
        <w:t xml:space="preserve">statistics for the </w:t>
      </w:r>
      <w:r>
        <w:rPr>
          <w:rFonts w:cs="Arial"/>
          <w:color w:val="auto"/>
        </w:rPr>
        <w:t xml:space="preserve">hourly </w:t>
      </w:r>
      <w:r w:rsidRPr="00CA5E96">
        <w:rPr>
          <w:rFonts w:cs="Arial"/>
          <w:color w:val="auto"/>
        </w:rPr>
        <w:t>offers and self-arranged capacity</w:t>
      </w:r>
      <w:r>
        <w:rPr>
          <w:rFonts w:cs="Arial"/>
          <w:color w:val="auto"/>
        </w:rPr>
        <w:t xml:space="preserve"> from all Load Resources</w:t>
      </w:r>
      <w:r w:rsidRPr="00CA5E96">
        <w:rPr>
          <w:rFonts w:cs="Arial"/>
          <w:color w:val="auto"/>
        </w:rPr>
        <w:t xml:space="preserve"> that were participating in RRS from December 202</w:t>
      </w:r>
      <w:r>
        <w:rPr>
          <w:rFonts w:cs="Arial"/>
          <w:color w:val="auto"/>
        </w:rPr>
        <w:t>2</w:t>
      </w:r>
      <w:r w:rsidRPr="00CA5E96">
        <w:rPr>
          <w:rFonts w:cs="Arial"/>
          <w:color w:val="auto"/>
        </w:rPr>
        <w:t xml:space="preserve"> through November 202</w:t>
      </w:r>
      <w:r>
        <w:rPr>
          <w:rFonts w:cs="Arial"/>
          <w:color w:val="auto"/>
        </w:rPr>
        <w:t>3</w:t>
      </w:r>
      <w:r w:rsidRPr="00CA5E96">
        <w:rPr>
          <w:rFonts w:cs="Arial"/>
          <w:color w:val="auto"/>
        </w:rPr>
        <w:t>.</w:t>
      </w:r>
    </w:p>
    <w:p w14:paraId="72A4419B" w14:textId="77777777" w:rsidR="00514C7B" w:rsidRDefault="00514C7B" w:rsidP="00E25355">
      <w:pPr>
        <w:jc w:val="both"/>
        <w:rPr>
          <w:rFonts w:cs="Arial"/>
          <w:i/>
          <w:iCs/>
          <w:color w:val="000000"/>
          <w:sz w:val="16"/>
          <w:szCs w:val="16"/>
        </w:rPr>
      </w:pPr>
    </w:p>
    <w:p w14:paraId="029FA49E" w14:textId="77777777" w:rsidR="00514C7B" w:rsidRDefault="00514C7B" w:rsidP="00E25355">
      <w:pPr>
        <w:jc w:val="both"/>
        <w:rPr>
          <w:rFonts w:cs="Arial"/>
          <w:i/>
          <w:iCs/>
          <w:color w:val="000000"/>
          <w:sz w:val="16"/>
          <w:szCs w:val="16"/>
        </w:rPr>
      </w:pPr>
    </w:p>
    <w:p w14:paraId="43731408" w14:textId="0B818388" w:rsidR="00E25355" w:rsidRPr="00550FB6" w:rsidRDefault="00E25355" w:rsidP="00E25355">
      <w:pPr>
        <w:jc w:val="both"/>
        <w:rPr>
          <w:rFonts w:cs="Arial"/>
          <w:i/>
          <w:iCs/>
          <w:color w:val="000000"/>
          <w:sz w:val="16"/>
          <w:szCs w:val="16"/>
        </w:rPr>
      </w:pPr>
      <w:r w:rsidRPr="00550FB6">
        <w:rPr>
          <w:rFonts w:cs="Arial"/>
          <w:i/>
          <w:iCs/>
          <w:color w:val="000000"/>
          <w:sz w:val="16"/>
          <w:szCs w:val="16"/>
        </w:rPr>
        <w:t xml:space="preserve">Table1:  RRS hourly offers including self-arranged amounts from NCLRs (MW) 12/22 through 11/23 </w:t>
      </w:r>
    </w:p>
    <w:tbl>
      <w:tblPr>
        <w:tblW w:w="0" w:type="auto"/>
        <w:tblLayout w:type="fixed"/>
        <w:tblLook w:val="04A0" w:firstRow="1" w:lastRow="0" w:firstColumn="1" w:lastColumn="0" w:noHBand="0" w:noVBand="1"/>
      </w:tblPr>
      <w:tblGrid>
        <w:gridCol w:w="2145"/>
        <w:gridCol w:w="2158"/>
        <w:gridCol w:w="2271"/>
        <w:gridCol w:w="2726"/>
      </w:tblGrid>
      <w:tr w:rsidR="00E25355" w:rsidRPr="00975F8D" w14:paraId="7B9C33CA" w14:textId="77777777" w:rsidTr="00837E04">
        <w:trPr>
          <w:trHeight w:val="259"/>
        </w:trPr>
        <w:tc>
          <w:tcPr>
            <w:tcW w:w="214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0D44A14" w14:textId="77777777" w:rsidR="00E25355" w:rsidRPr="00903D9E" w:rsidRDefault="00E25355" w:rsidP="0017768A">
            <w:pPr>
              <w:jc w:val="center"/>
              <w:rPr>
                <w:rFonts w:cs="Arial"/>
                <w:color w:val="auto"/>
                <w:sz w:val="20"/>
                <w:szCs w:val="20"/>
              </w:rPr>
            </w:pPr>
            <w:r w:rsidRPr="00903D9E">
              <w:rPr>
                <w:rFonts w:cs="Arial"/>
                <w:color w:val="auto"/>
                <w:sz w:val="20"/>
                <w:szCs w:val="20"/>
              </w:rPr>
              <w:t>Month</w:t>
            </w:r>
          </w:p>
        </w:tc>
        <w:tc>
          <w:tcPr>
            <w:tcW w:w="2158" w:type="dxa"/>
            <w:tcBorders>
              <w:top w:val="single" w:sz="8" w:space="0" w:color="auto"/>
              <w:left w:val="nil"/>
              <w:bottom w:val="single" w:sz="8" w:space="0" w:color="auto"/>
              <w:right w:val="single" w:sz="8" w:space="0" w:color="auto"/>
            </w:tcBorders>
            <w:shd w:val="clear" w:color="auto" w:fill="auto"/>
            <w:noWrap/>
            <w:vAlign w:val="center"/>
            <w:hideMark/>
          </w:tcPr>
          <w:p w14:paraId="5B2AAC91" w14:textId="77777777" w:rsidR="00E25355" w:rsidRPr="00903D9E" w:rsidRDefault="00E25355" w:rsidP="004D177E">
            <w:pPr>
              <w:jc w:val="center"/>
              <w:rPr>
                <w:rFonts w:cs="Arial"/>
                <w:color w:val="auto"/>
                <w:sz w:val="20"/>
                <w:szCs w:val="20"/>
              </w:rPr>
            </w:pPr>
            <w:r w:rsidRPr="00903D9E">
              <w:rPr>
                <w:rFonts w:cs="Arial"/>
                <w:color w:val="auto"/>
                <w:sz w:val="20"/>
                <w:szCs w:val="20"/>
              </w:rPr>
              <w:t>Minimum Hour</w:t>
            </w:r>
          </w:p>
        </w:tc>
        <w:tc>
          <w:tcPr>
            <w:tcW w:w="2271" w:type="dxa"/>
            <w:tcBorders>
              <w:top w:val="single" w:sz="8" w:space="0" w:color="auto"/>
              <w:left w:val="nil"/>
              <w:bottom w:val="single" w:sz="8" w:space="0" w:color="auto"/>
              <w:right w:val="single" w:sz="8" w:space="0" w:color="auto"/>
            </w:tcBorders>
            <w:shd w:val="clear" w:color="auto" w:fill="auto"/>
            <w:noWrap/>
            <w:vAlign w:val="center"/>
            <w:hideMark/>
          </w:tcPr>
          <w:p w14:paraId="0F2B2593" w14:textId="77777777" w:rsidR="00E25355" w:rsidRPr="00903D9E" w:rsidRDefault="00E25355" w:rsidP="004D177E">
            <w:pPr>
              <w:jc w:val="center"/>
              <w:rPr>
                <w:rFonts w:cs="Arial"/>
                <w:color w:val="auto"/>
                <w:sz w:val="20"/>
                <w:szCs w:val="20"/>
              </w:rPr>
            </w:pPr>
            <w:r w:rsidRPr="00903D9E">
              <w:rPr>
                <w:rFonts w:cs="Arial"/>
                <w:color w:val="auto"/>
                <w:sz w:val="20"/>
                <w:szCs w:val="20"/>
              </w:rPr>
              <w:t>Maximum Hour</w:t>
            </w:r>
          </w:p>
        </w:tc>
        <w:tc>
          <w:tcPr>
            <w:tcW w:w="2726" w:type="dxa"/>
            <w:tcBorders>
              <w:top w:val="single" w:sz="8" w:space="0" w:color="auto"/>
              <w:left w:val="nil"/>
              <w:bottom w:val="single" w:sz="8" w:space="0" w:color="auto"/>
              <w:right w:val="single" w:sz="8" w:space="0" w:color="auto"/>
            </w:tcBorders>
            <w:shd w:val="clear" w:color="auto" w:fill="auto"/>
            <w:noWrap/>
            <w:vAlign w:val="center"/>
            <w:hideMark/>
          </w:tcPr>
          <w:p w14:paraId="054D254A" w14:textId="77777777" w:rsidR="00E25355" w:rsidRPr="00903D9E" w:rsidRDefault="00E25355" w:rsidP="004D177E">
            <w:pPr>
              <w:jc w:val="center"/>
              <w:rPr>
                <w:rFonts w:cs="Arial"/>
                <w:color w:val="auto"/>
                <w:sz w:val="20"/>
                <w:szCs w:val="20"/>
              </w:rPr>
            </w:pPr>
            <w:r w:rsidRPr="00903D9E">
              <w:rPr>
                <w:rFonts w:cs="Arial"/>
                <w:color w:val="auto"/>
                <w:sz w:val="20"/>
                <w:szCs w:val="20"/>
              </w:rPr>
              <w:t>Average per Hour</w:t>
            </w:r>
          </w:p>
        </w:tc>
      </w:tr>
      <w:tr w:rsidR="00E25355" w:rsidRPr="00975F8D" w14:paraId="301263D4" w14:textId="77777777" w:rsidTr="00837E04">
        <w:trPr>
          <w:trHeight w:val="259"/>
        </w:trPr>
        <w:tc>
          <w:tcPr>
            <w:tcW w:w="2145" w:type="dxa"/>
            <w:tcBorders>
              <w:top w:val="nil"/>
              <w:left w:val="single" w:sz="8" w:space="0" w:color="auto"/>
              <w:bottom w:val="single" w:sz="8" w:space="0" w:color="auto"/>
              <w:right w:val="single" w:sz="8" w:space="0" w:color="auto"/>
            </w:tcBorders>
            <w:shd w:val="clear" w:color="auto" w:fill="auto"/>
            <w:noWrap/>
            <w:vAlign w:val="center"/>
            <w:hideMark/>
          </w:tcPr>
          <w:p w14:paraId="327BB728" w14:textId="77777777" w:rsidR="00E25355" w:rsidRPr="00903D9E" w:rsidRDefault="00E25355" w:rsidP="004D177E">
            <w:pPr>
              <w:rPr>
                <w:rFonts w:cs="Arial"/>
                <w:color w:val="auto"/>
                <w:sz w:val="20"/>
                <w:szCs w:val="20"/>
              </w:rPr>
            </w:pPr>
            <w:r w:rsidRPr="00903D9E">
              <w:rPr>
                <w:rFonts w:cs="Arial"/>
                <w:color w:val="auto"/>
                <w:sz w:val="20"/>
                <w:szCs w:val="20"/>
              </w:rPr>
              <w:t>December 22</w:t>
            </w:r>
          </w:p>
        </w:tc>
        <w:tc>
          <w:tcPr>
            <w:tcW w:w="2158" w:type="dxa"/>
            <w:tcBorders>
              <w:top w:val="nil"/>
              <w:left w:val="nil"/>
              <w:bottom w:val="single" w:sz="8" w:space="0" w:color="auto"/>
              <w:right w:val="single" w:sz="8" w:space="0" w:color="auto"/>
            </w:tcBorders>
            <w:shd w:val="clear" w:color="auto" w:fill="auto"/>
            <w:noWrap/>
            <w:vAlign w:val="center"/>
            <w:hideMark/>
          </w:tcPr>
          <w:p w14:paraId="4F2E4D3A" w14:textId="77777777" w:rsidR="00E25355" w:rsidRPr="00903D9E" w:rsidRDefault="00E25355" w:rsidP="004D177E">
            <w:pPr>
              <w:jc w:val="center"/>
              <w:rPr>
                <w:rFonts w:cs="Arial"/>
                <w:color w:val="auto"/>
                <w:sz w:val="20"/>
                <w:szCs w:val="20"/>
              </w:rPr>
            </w:pPr>
            <w:r w:rsidRPr="00903D9E">
              <w:rPr>
                <w:rFonts w:cs="Arial"/>
                <w:color w:val="auto"/>
                <w:sz w:val="20"/>
                <w:szCs w:val="20"/>
              </w:rPr>
              <w:t>980.6</w:t>
            </w:r>
          </w:p>
        </w:tc>
        <w:tc>
          <w:tcPr>
            <w:tcW w:w="2271" w:type="dxa"/>
            <w:tcBorders>
              <w:top w:val="nil"/>
              <w:left w:val="nil"/>
              <w:bottom w:val="single" w:sz="8" w:space="0" w:color="auto"/>
              <w:right w:val="single" w:sz="8" w:space="0" w:color="auto"/>
            </w:tcBorders>
            <w:shd w:val="clear" w:color="auto" w:fill="auto"/>
            <w:noWrap/>
            <w:vAlign w:val="center"/>
            <w:hideMark/>
          </w:tcPr>
          <w:p w14:paraId="3E557FCA" w14:textId="77777777" w:rsidR="00E25355" w:rsidRPr="00903D9E" w:rsidRDefault="00E25355" w:rsidP="004D177E">
            <w:pPr>
              <w:jc w:val="center"/>
              <w:rPr>
                <w:rFonts w:cs="Arial"/>
                <w:color w:val="auto"/>
                <w:sz w:val="20"/>
                <w:szCs w:val="20"/>
              </w:rPr>
            </w:pPr>
            <w:r w:rsidRPr="00903D9E">
              <w:rPr>
                <w:rFonts w:cs="Arial"/>
                <w:color w:val="auto"/>
                <w:sz w:val="20"/>
                <w:szCs w:val="20"/>
              </w:rPr>
              <w:t>2671.3</w:t>
            </w:r>
          </w:p>
        </w:tc>
        <w:tc>
          <w:tcPr>
            <w:tcW w:w="2726" w:type="dxa"/>
            <w:tcBorders>
              <w:top w:val="nil"/>
              <w:left w:val="nil"/>
              <w:bottom w:val="single" w:sz="8" w:space="0" w:color="auto"/>
              <w:right w:val="single" w:sz="8" w:space="0" w:color="auto"/>
            </w:tcBorders>
            <w:shd w:val="clear" w:color="auto" w:fill="auto"/>
            <w:noWrap/>
            <w:vAlign w:val="center"/>
            <w:hideMark/>
          </w:tcPr>
          <w:p w14:paraId="71143A6D" w14:textId="77777777" w:rsidR="00E25355" w:rsidRPr="00903D9E" w:rsidRDefault="00E25355" w:rsidP="004D177E">
            <w:pPr>
              <w:jc w:val="center"/>
              <w:rPr>
                <w:rFonts w:cs="Arial"/>
                <w:color w:val="auto"/>
                <w:sz w:val="20"/>
                <w:szCs w:val="20"/>
              </w:rPr>
            </w:pPr>
            <w:r w:rsidRPr="00903D9E">
              <w:rPr>
                <w:rFonts w:cs="Arial"/>
                <w:color w:val="auto"/>
                <w:sz w:val="20"/>
                <w:szCs w:val="20"/>
              </w:rPr>
              <w:t>2060.8</w:t>
            </w:r>
          </w:p>
        </w:tc>
      </w:tr>
      <w:tr w:rsidR="00E25355" w:rsidRPr="00975F8D" w14:paraId="0D0C6E7D" w14:textId="77777777" w:rsidTr="00837E04">
        <w:trPr>
          <w:trHeight w:val="259"/>
        </w:trPr>
        <w:tc>
          <w:tcPr>
            <w:tcW w:w="2145" w:type="dxa"/>
            <w:tcBorders>
              <w:top w:val="nil"/>
              <w:left w:val="single" w:sz="8" w:space="0" w:color="auto"/>
              <w:bottom w:val="single" w:sz="8" w:space="0" w:color="auto"/>
              <w:right w:val="single" w:sz="8" w:space="0" w:color="auto"/>
            </w:tcBorders>
            <w:shd w:val="clear" w:color="auto" w:fill="auto"/>
            <w:noWrap/>
            <w:vAlign w:val="center"/>
            <w:hideMark/>
          </w:tcPr>
          <w:p w14:paraId="4C8C9C26" w14:textId="77777777" w:rsidR="00E25355" w:rsidRPr="00903D9E" w:rsidRDefault="00E25355" w:rsidP="004D177E">
            <w:pPr>
              <w:rPr>
                <w:rFonts w:cs="Arial"/>
                <w:color w:val="auto"/>
                <w:sz w:val="20"/>
                <w:szCs w:val="20"/>
              </w:rPr>
            </w:pPr>
            <w:r w:rsidRPr="00903D9E">
              <w:rPr>
                <w:rFonts w:cs="Arial"/>
                <w:color w:val="auto"/>
                <w:sz w:val="20"/>
                <w:szCs w:val="20"/>
              </w:rPr>
              <w:t>January 23</w:t>
            </w:r>
          </w:p>
        </w:tc>
        <w:tc>
          <w:tcPr>
            <w:tcW w:w="2158" w:type="dxa"/>
            <w:tcBorders>
              <w:top w:val="nil"/>
              <w:left w:val="nil"/>
              <w:bottom w:val="single" w:sz="8" w:space="0" w:color="auto"/>
              <w:right w:val="single" w:sz="8" w:space="0" w:color="auto"/>
            </w:tcBorders>
            <w:shd w:val="clear" w:color="auto" w:fill="auto"/>
            <w:noWrap/>
            <w:vAlign w:val="center"/>
            <w:hideMark/>
          </w:tcPr>
          <w:p w14:paraId="494F395E" w14:textId="77777777" w:rsidR="00E25355" w:rsidRPr="00903D9E" w:rsidRDefault="00E25355" w:rsidP="004D177E">
            <w:pPr>
              <w:jc w:val="center"/>
              <w:rPr>
                <w:rFonts w:cs="Arial"/>
                <w:color w:val="auto"/>
                <w:sz w:val="20"/>
                <w:szCs w:val="20"/>
              </w:rPr>
            </w:pPr>
            <w:r w:rsidRPr="00903D9E">
              <w:rPr>
                <w:rFonts w:cs="Arial"/>
                <w:color w:val="auto"/>
                <w:sz w:val="20"/>
                <w:szCs w:val="20"/>
              </w:rPr>
              <w:t>1962.9</w:t>
            </w:r>
          </w:p>
        </w:tc>
        <w:tc>
          <w:tcPr>
            <w:tcW w:w="2271" w:type="dxa"/>
            <w:tcBorders>
              <w:top w:val="nil"/>
              <w:left w:val="nil"/>
              <w:bottom w:val="single" w:sz="8" w:space="0" w:color="auto"/>
              <w:right w:val="single" w:sz="8" w:space="0" w:color="auto"/>
            </w:tcBorders>
            <w:shd w:val="clear" w:color="auto" w:fill="auto"/>
            <w:noWrap/>
            <w:vAlign w:val="center"/>
            <w:hideMark/>
          </w:tcPr>
          <w:p w14:paraId="7F58A3A3" w14:textId="77777777" w:rsidR="00E25355" w:rsidRPr="00903D9E" w:rsidRDefault="00E25355" w:rsidP="004D177E">
            <w:pPr>
              <w:jc w:val="center"/>
              <w:rPr>
                <w:rFonts w:cs="Arial"/>
                <w:color w:val="auto"/>
                <w:sz w:val="20"/>
                <w:szCs w:val="20"/>
              </w:rPr>
            </w:pPr>
            <w:r w:rsidRPr="00903D9E">
              <w:rPr>
                <w:rFonts w:cs="Arial"/>
                <w:color w:val="auto"/>
                <w:sz w:val="20"/>
                <w:szCs w:val="20"/>
              </w:rPr>
              <w:t>2941.1</w:t>
            </w:r>
          </w:p>
        </w:tc>
        <w:tc>
          <w:tcPr>
            <w:tcW w:w="2726" w:type="dxa"/>
            <w:tcBorders>
              <w:top w:val="nil"/>
              <w:left w:val="nil"/>
              <w:bottom w:val="single" w:sz="8" w:space="0" w:color="auto"/>
              <w:right w:val="single" w:sz="8" w:space="0" w:color="auto"/>
            </w:tcBorders>
            <w:shd w:val="clear" w:color="auto" w:fill="auto"/>
            <w:noWrap/>
            <w:vAlign w:val="center"/>
            <w:hideMark/>
          </w:tcPr>
          <w:p w14:paraId="068A91EA" w14:textId="77777777" w:rsidR="00E25355" w:rsidRPr="00903D9E" w:rsidRDefault="00E25355" w:rsidP="004D177E">
            <w:pPr>
              <w:jc w:val="center"/>
              <w:rPr>
                <w:rFonts w:cs="Arial"/>
                <w:color w:val="auto"/>
                <w:sz w:val="20"/>
                <w:szCs w:val="20"/>
              </w:rPr>
            </w:pPr>
            <w:r w:rsidRPr="00903D9E">
              <w:rPr>
                <w:rFonts w:cs="Arial"/>
                <w:color w:val="auto"/>
                <w:sz w:val="20"/>
                <w:szCs w:val="20"/>
              </w:rPr>
              <w:t>2388.8</w:t>
            </w:r>
          </w:p>
        </w:tc>
      </w:tr>
      <w:tr w:rsidR="00E25355" w:rsidRPr="00975F8D" w14:paraId="6385A08B" w14:textId="77777777" w:rsidTr="00837E04">
        <w:trPr>
          <w:trHeight w:val="259"/>
        </w:trPr>
        <w:tc>
          <w:tcPr>
            <w:tcW w:w="2145" w:type="dxa"/>
            <w:tcBorders>
              <w:top w:val="nil"/>
              <w:left w:val="single" w:sz="8" w:space="0" w:color="auto"/>
              <w:bottom w:val="single" w:sz="8" w:space="0" w:color="auto"/>
              <w:right w:val="single" w:sz="8" w:space="0" w:color="auto"/>
            </w:tcBorders>
            <w:shd w:val="clear" w:color="auto" w:fill="auto"/>
            <w:noWrap/>
            <w:vAlign w:val="center"/>
            <w:hideMark/>
          </w:tcPr>
          <w:p w14:paraId="30F778E5" w14:textId="77777777" w:rsidR="00E25355" w:rsidRPr="00903D9E" w:rsidRDefault="00E25355" w:rsidP="004D177E">
            <w:pPr>
              <w:rPr>
                <w:rFonts w:cs="Arial"/>
                <w:color w:val="auto"/>
                <w:sz w:val="20"/>
                <w:szCs w:val="20"/>
              </w:rPr>
            </w:pPr>
            <w:r w:rsidRPr="00903D9E">
              <w:rPr>
                <w:rFonts w:cs="Arial"/>
                <w:color w:val="auto"/>
                <w:sz w:val="20"/>
                <w:szCs w:val="20"/>
              </w:rPr>
              <w:t>February 23</w:t>
            </w:r>
          </w:p>
        </w:tc>
        <w:tc>
          <w:tcPr>
            <w:tcW w:w="2158" w:type="dxa"/>
            <w:tcBorders>
              <w:top w:val="nil"/>
              <w:left w:val="nil"/>
              <w:bottom w:val="single" w:sz="8" w:space="0" w:color="auto"/>
              <w:right w:val="single" w:sz="8" w:space="0" w:color="auto"/>
            </w:tcBorders>
            <w:shd w:val="clear" w:color="auto" w:fill="auto"/>
            <w:noWrap/>
            <w:vAlign w:val="center"/>
            <w:hideMark/>
          </w:tcPr>
          <w:p w14:paraId="20E5A79C" w14:textId="77777777" w:rsidR="00E25355" w:rsidRPr="00903D9E" w:rsidRDefault="00E25355" w:rsidP="004D177E">
            <w:pPr>
              <w:jc w:val="center"/>
              <w:rPr>
                <w:rFonts w:cs="Arial"/>
                <w:color w:val="auto"/>
                <w:sz w:val="20"/>
                <w:szCs w:val="20"/>
              </w:rPr>
            </w:pPr>
            <w:r w:rsidRPr="00903D9E">
              <w:rPr>
                <w:rFonts w:cs="Arial"/>
                <w:color w:val="auto"/>
                <w:sz w:val="20"/>
                <w:szCs w:val="20"/>
              </w:rPr>
              <w:t>1601.9</w:t>
            </w:r>
          </w:p>
        </w:tc>
        <w:tc>
          <w:tcPr>
            <w:tcW w:w="2271" w:type="dxa"/>
            <w:tcBorders>
              <w:top w:val="nil"/>
              <w:left w:val="nil"/>
              <w:bottom w:val="single" w:sz="8" w:space="0" w:color="auto"/>
              <w:right w:val="single" w:sz="8" w:space="0" w:color="auto"/>
            </w:tcBorders>
            <w:shd w:val="clear" w:color="auto" w:fill="auto"/>
            <w:noWrap/>
            <w:vAlign w:val="center"/>
            <w:hideMark/>
          </w:tcPr>
          <w:p w14:paraId="255BCAEA" w14:textId="77777777" w:rsidR="00E25355" w:rsidRPr="00903D9E" w:rsidRDefault="00E25355" w:rsidP="004D177E">
            <w:pPr>
              <w:jc w:val="center"/>
              <w:rPr>
                <w:rFonts w:cs="Arial"/>
                <w:color w:val="auto"/>
                <w:sz w:val="20"/>
                <w:szCs w:val="20"/>
              </w:rPr>
            </w:pPr>
            <w:r w:rsidRPr="00903D9E">
              <w:rPr>
                <w:rFonts w:cs="Arial"/>
                <w:color w:val="auto"/>
                <w:sz w:val="20"/>
                <w:szCs w:val="20"/>
              </w:rPr>
              <w:t>3041.7</w:t>
            </w:r>
          </w:p>
        </w:tc>
        <w:tc>
          <w:tcPr>
            <w:tcW w:w="2726" w:type="dxa"/>
            <w:tcBorders>
              <w:top w:val="nil"/>
              <w:left w:val="nil"/>
              <w:bottom w:val="single" w:sz="8" w:space="0" w:color="auto"/>
              <w:right w:val="single" w:sz="8" w:space="0" w:color="auto"/>
            </w:tcBorders>
            <w:shd w:val="clear" w:color="auto" w:fill="auto"/>
            <w:noWrap/>
            <w:vAlign w:val="center"/>
            <w:hideMark/>
          </w:tcPr>
          <w:p w14:paraId="4D84322C" w14:textId="77777777" w:rsidR="00E25355" w:rsidRPr="00903D9E" w:rsidRDefault="00E25355" w:rsidP="004D177E">
            <w:pPr>
              <w:jc w:val="center"/>
              <w:rPr>
                <w:rFonts w:cs="Arial"/>
                <w:color w:val="auto"/>
                <w:sz w:val="20"/>
                <w:szCs w:val="20"/>
              </w:rPr>
            </w:pPr>
            <w:r w:rsidRPr="00903D9E">
              <w:rPr>
                <w:rFonts w:cs="Arial"/>
                <w:color w:val="auto"/>
                <w:sz w:val="20"/>
                <w:szCs w:val="20"/>
              </w:rPr>
              <w:t>2393.1</w:t>
            </w:r>
          </w:p>
        </w:tc>
      </w:tr>
      <w:tr w:rsidR="00E25355" w:rsidRPr="00975F8D" w14:paraId="6C10A273" w14:textId="77777777" w:rsidTr="00837E04">
        <w:trPr>
          <w:trHeight w:val="259"/>
        </w:trPr>
        <w:tc>
          <w:tcPr>
            <w:tcW w:w="2145" w:type="dxa"/>
            <w:tcBorders>
              <w:top w:val="nil"/>
              <w:left w:val="single" w:sz="8" w:space="0" w:color="auto"/>
              <w:bottom w:val="single" w:sz="8" w:space="0" w:color="auto"/>
              <w:right w:val="single" w:sz="8" w:space="0" w:color="auto"/>
            </w:tcBorders>
            <w:shd w:val="clear" w:color="auto" w:fill="auto"/>
            <w:noWrap/>
            <w:vAlign w:val="center"/>
            <w:hideMark/>
          </w:tcPr>
          <w:p w14:paraId="186CD72E" w14:textId="77777777" w:rsidR="00E25355" w:rsidRPr="00903D9E" w:rsidRDefault="00E25355" w:rsidP="004D177E">
            <w:pPr>
              <w:rPr>
                <w:rFonts w:cs="Arial"/>
                <w:color w:val="auto"/>
                <w:sz w:val="20"/>
                <w:szCs w:val="20"/>
              </w:rPr>
            </w:pPr>
            <w:r w:rsidRPr="00903D9E">
              <w:rPr>
                <w:rFonts w:cs="Arial"/>
                <w:color w:val="auto"/>
                <w:sz w:val="20"/>
                <w:szCs w:val="20"/>
              </w:rPr>
              <w:t>March 23</w:t>
            </w:r>
          </w:p>
        </w:tc>
        <w:tc>
          <w:tcPr>
            <w:tcW w:w="2158" w:type="dxa"/>
            <w:tcBorders>
              <w:top w:val="nil"/>
              <w:left w:val="nil"/>
              <w:bottom w:val="single" w:sz="8" w:space="0" w:color="auto"/>
              <w:right w:val="single" w:sz="8" w:space="0" w:color="auto"/>
            </w:tcBorders>
            <w:shd w:val="clear" w:color="auto" w:fill="auto"/>
            <w:noWrap/>
            <w:vAlign w:val="center"/>
            <w:hideMark/>
          </w:tcPr>
          <w:p w14:paraId="2287BBA8" w14:textId="77777777" w:rsidR="00E25355" w:rsidRPr="00903D9E" w:rsidRDefault="00E25355" w:rsidP="004D177E">
            <w:pPr>
              <w:jc w:val="center"/>
              <w:rPr>
                <w:rFonts w:cs="Arial"/>
                <w:color w:val="auto"/>
                <w:sz w:val="20"/>
                <w:szCs w:val="20"/>
              </w:rPr>
            </w:pPr>
            <w:r w:rsidRPr="00903D9E">
              <w:rPr>
                <w:rFonts w:cs="Arial"/>
                <w:color w:val="auto"/>
                <w:sz w:val="20"/>
                <w:szCs w:val="20"/>
              </w:rPr>
              <w:t>1974.8</w:t>
            </w:r>
          </w:p>
        </w:tc>
        <w:tc>
          <w:tcPr>
            <w:tcW w:w="2271" w:type="dxa"/>
            <w:tcBorders>
              <w:top w:val="nil"/>
              <w:left w:val="nil"/>
              <w:bottom w:val="single" w:sz="8" w:space="0" w:color="auto"/>
              <w:right w:val="single" w:sz="8" w:space="0" w:color="auto"/>
            </w:tcBorders>
            <w:shd w:val="clear" w:color="auto" w:fill="auto"/>
            <w:noWrap/>
            <w:vAlign w:val="center"/>
            <w:hideMark/>
          </w:tcPr>
          <w:p w14:paraId="4C36DB7F" w14:textId="77777777" w:rsidR="00E25355" w:rsidRPr="00903D9E" w:rsidRDefault="00E25355" w:rsidP="004D177E">
            <w:pPr>
              <w:jc w:val="center"/>
              <w:rPr>
                <w:rFonts w:cs="Arial"/>
                <w:color w:val="auto"/>
                <w:sz w:val="20"/>
                <w:szCs w:val="20"/>
              </w:rPr>
            </w:pPr>
            <w:r w:rsidRPr="00903D9E">
              <w:rPr>
                <w:rFonts w:cs="Arial"/>
                <w:color w:val="auto"/>
                <w:sz w:val="20"/>
                <w:szCs w:val="20"/>
              </w:rPr>
              <w:t>2834.9</w:t>
            </w:r>
          </w:p>
        </w:tc>
        <w:tc>
          <w:tcPr>
            <w:tcW w:w="2726" w:type="dxa"/>
            <w:tcBorders>
              <w:top w:val="nil"/>
              <w:left w:val="nil"/>
              <w:bottom w:val="single" w:sz="8" w:space="0" w:color="auto"/>
              <w:right w:val="single" w:sz="8" w:space="0" w:color="auto"/>
            </w:tcBorders>
            <w:shd w:val="clear" w:color="auto" w:fill="auto"/>
            <w:noWrap/>
            <w:vAlign w:val="center"/>
            <w:hideMark/>
          </w:tcPr>
          <w:p w14:paraId="6F8F6B34" w14:textId="77777777" w:rsidR="00E25355" w:rsidRPr="00903D9E" w:rsidRDefault="00E25355" w:rsidP="004D177E">
            <w:pPr>
              <w:jc w:val="center"/>
              <w:rPr>
                <w:rFonts w:cs="Arial"/>
                <w:color w:val="auto"/>
                <w:sz w:val="20"/>
                <w:szCs w:val="20"/>
              </w:rPr>
            </w:pPr>
            <w:r w:rsidRPr="00903D9E">
              <w:rPr>
                <w:rFonts w:cs="Arial"/>
                <w:color w:val="auto"/>
                <w:sz w:val="20"/>
                <w:szCs w:val="20"/>
              </w:rPr>
              <w:t>2231.9</w:t>
            </w:r>
          </w:p>
        </w:tc>
      </w:tr>
      <w:tr w:rsidR="00E25355" w:rsidRPr="00975F8D" w14:paraId="0B318C57" w14:textId="77777777" w:rsidTr="00837E04">
        <w:trPr>
          <w:trHeight w:val="259"/>
        </w:trPr>
        <w:tc>
          <w:tcPr>
            <w:tcW w:w="2145" w:type="dxa"/>
            <w:tcBorders>
              <w:top w:val="nil"/>
              <w:left w:val="single" w:sz="8" w:space="0" w:color="auto"/>
              <w:bottom w:val="single" w:sz="8" w:space="0" w:color="auto"/>
              <w:right w:val="single" w:sz="8" w:space="0" w:color="auto"/>
            </w:tcBorders>
            <w:shd w:val="clear" w:color="auto" w:fill="auto"/>
            <w:noWrap/>
            <w:vAlign w:val="center"/>
            <w:hideMark/>
          </w:tcPr>
          <w:p w14:paraId="5534F9A8" w14:textId="77777777" w:rsidR="00E25355" w:rsidRPr="00903D9E" w:rsidRDefault="00E25355" w:rsidP="004D177E">
            <w:pPr>
              <w:rPr>
                <w:rFonts w:cs="Arial"/>
                <w:color w:val="auto"/>
                <w:sz w:val="20"/>
                <w:szCs w:val="20"/>
              </w:rPr>
            </w:pPr>
            <w:r w:rsidRPr="00903D9E">
              <w:rPr>
                <w:rFonts w:cs="Arial"/>
                <w:color w:val="auto"/>
                <w:sz w:val="20"/>
                <w:szCs w:val="20"/>
              </w:rPr>
              <w:t>April 23</w:t>
            </w:r>
          </w:p>
        </w:tc>
        <w:tc>
          <w:tcPr>
            <w:tcW w:w="2158" w:type="dxa"/>
            <w:tcBorders>
              <w:top w:val="nil"/>
              <w:left w:val="nil"/>
              <w:bottom w:val="single" w:sz="8" w:space="0" w:color="auto"/>
              <w:right w:val="single" w:sz="8" w:space="0" w:color="auto"/>
            </w:tcBorders>
            <w:shd w:val="clear" w:color="auto" w:fill="auto"/>
            <w:noWrap/>
            <w:vAlign w:val="center"/>
            <w:hideMark/>
          </w:tcPr>
          <w:p w14:paraId="6C5A80D0" w14:textId="77777777" w:rsidR="00E25355" w:rsidRPr="00903D9E" w:rsidRDefault="00E25355" w:rsidP="004D177E">
            <w:pPr>
              <w:jc w:val="center"/>
              <w:rPr>
                <w:rFonts w:cs="Arial"/>
                <w:color w:val="auto"/>
                <w:sz w:val="20"/>
                <w:szCs w:val="20"/>
              </w:rPr>
            </w:pPr>
            <w:r w:rsidRPr="00903D9E">
              <w:rPr>
                <w:rFonts w:cs="Arial"/>
                <w:color w:val="auto"/>
                <w:sz w:val="20"/>
                <w:szCs w:val="20"/>
              </w:rPr>
              <w:t>1668.7</w:t>
            </w:r>
          </w:p>
        </w:tc>
        <w:tc>
          <w:tcPr>
            <w:tcW w:w="2271" w:type="dxa"/>
            <w:tcBorders>
              <w:top w:val="nil"/>
              <w:left w:val="nil"/>
              <w:bottom w:val="single" w:sz="8" w:space="0" w:color="auto"/>
              <w:right w:val="single" w:sz="8" w:space="0" w:color="auto"/>
            </w:tcBorders>
            <w:shd w:val="clear" w:color="auto" w:fill="auto"/>
            <w:noWrap/>
            <w:vAlign w:val="center"/>
            <w:hideMark/>
          </w:tcPr>
          <w:p w14:paraId="670CA325" w14:textId="77777777" w:rsidR="00E25355" w:rsidRPr="00903D9E" w:rsidRDefault="00E25355" w:rsidP="004D177E">
            <w:pPr>
              <w:jc w:val="center"/>
              <w:rPr>
                <w:rFonts w:cs="Arial"/>
                <w:color w:val="auto"/>
                <w:sz w:val="20"/>
                <w:szCs w:val="20"/>
              </w:rPr>
            </w:pPr>
            <w:r w:rsidRPr="00903D9E">
              <w:rPr>
                <w:rFonts w:cs="Arial"/>
                <w:color w:val="auto"/>
                <w:sz w:val="20"/>
                <w:szCs w:val="20"/>
              </w:rPr>
              <w:t>2258.2</w:t>
            </w:r>
          </w:p>
        </w:tc>
        <w:tc>
          <w:tcPr>
            <w:tcW w:w="2726" w:type="dxa"/>
            <w:tcBorders>
              <w:top w:val="nil"/>
              <w:left w:val="nil"/>
              <w:bottom w:val="single" w:sz="8" w:space="0" w:color="auto"/>
              <w:right w:val="single" w:sz="8" w:space="0" w:color="auto"/>
            </w:tcBorders>
            <w:shd w:val="clear" w:color="auto" w:fill="auto"/>
            <w:noWrap/>
            <w:vAlign w:val="center"/>
            <w:hideMark/>
          </w:tcPr>
          <w:p w14:paraId="6ADBBEBF" w14:textId="77777777" w:rsidR="00E25355" w:rsidRPr="00903D9E" w:rsidRDefault="00E25355" w:rsidP="004D177E">
            <w:pPr>
              <w:jc w:val="center"/>
              <w:rPr>
                <w:rFonts w:cs="Arial"/>
                <w:color w:val="auto"/>
                <w:sz w:val="20"/>
                <w:szCs w:val="20"/>
              </w:rPr>
            </w:pPr>
            <w:r w:rsidRPr="00903D9E">
              <w:rPr>
                <w:rFonts w:cs="Arial"/>
                <w:color w:val="auto"/>
                <w:sz w:val="20"/>
                <w:szCs w:val="20"/>
              </w:rPr>
              <w:t>1911.5</w:t>
            </w:r>
          </w:p>
        </w:tc>
      </w:tr>
      <w:tr w:rsidR="00E25355" w:rsidRPr="00975F8D" w14:paraId="5232C110" w14:textId="77777777" w:rsidTr="00837E04">
        <w:trPr>
          <w:trHeight w:val="259"/>
        </w:trPr>
        <w:tc>
          <w:tcPr>
            <w:tcW w:w="2145" w:type="dxa"/>
            <w:tcBorders>
              <w:top w:val="nil"/>
              <w:left w:val="single" w:sz="8" w:space="0" w:color="auto"/>
              <w:bottom w:val="single" w:sz="8" w:space="0" w:color="auto"/>
              <w:right w:val="single" w:sz="8" w:space="0" w:color="auto"/>
            </w:tcBorders>
            <w:shd w:val="clear" w:color="auto" w:fill="auto"/>
            <w:noWrap/>
            <w:vAlign w:val="center"/>
            <w:hideMark/>
          </w:tcPr>
          <w:p w14:paraId="06E1AF44" w14:textId="77777777" w:rsidR="00E25355" w:rsidRPr="00903D9E" w:rsidRDefault="00E25355" w:rsidP="004D177E">
            <w:pPr>
              <w:rPr>
                <w:rFonts w:cs="Arial"/>
                <w:color w:val="auto"/>
                <w:sz w:val="20"/>
                <w:szCs w:val="20"/>
              </w:rPr>
            </w:pPr>
            <w:r w:rsidRPr="00903D9E">
              <w:rPr>
                <w:rFonts w:cs="Arial"/>
                <w:color w:val="auto"/>
                <w:sz w:val="20"/>
                <w:szCs w:val="20"/>
              </w:rPr>
              <w:t>May 23</w:t>
            </w:r>
          </w:p>
        </w:tc>
        <w:tc>
          <w:tcPr>
            <w:tcW w:w="2158" w:type="dxa"/>
            <w:tcBorders>
              <w:top w:val="nil"/>
              <w:left w:val="nil"/>
              <w:bottom w:val="single" w:sz="8" w:space="0" w:color="auto"/>
              <w:right w:val="single" w:sz="8" w:space="0" w:color="auto"/>
            </w:tcBorders>
            <w:shd w:val="clear" w:color="auto" w:fill="auto"/>
            <w:noWrap/>
            <w:vAlign w:val="center"/>
            <w:hideMark/>
          </w:tcPr>
          <w:p w14:paraId="1B0D6606" w14:textId="77777777" w:rsidR="00E25355" w:rsidRPr="00903D9E" w:rsidRDefault="00E25355" w:rsidP="004D177E">
            <w:pPr>
              <w:jc w:val="center"/>
              <w:rPr>
                <w:rFonts w:cs="Arial"/>
                <w:color w:val="auto"/>
                <w:sz w:val="20"/>
                <w:szCs w:val="20"/>
              </w:rPr>
            </w:pPr>
            <w:r w:rsidRPr="00903D9E">
              <w:rPr>
                <w:rFonts w:cs="Arial"/>
                <w:color w:val="auto"/>
                <w:sz w:val="20"/>
                <w:szCs w:val="20"/>
              </w:rPr>
              <w:t>1715.9</w:t>
            </w:r>
          </w:p>
        </w:tc>
        <w:tc>
          <w:tcPr>
            <w:tcW w:w="2271" w:type="dxa"/>
            <w:tcBorders>
              <w:top w:val="nil"/>
              <w:left w:val="nil"/>
              <w:bottom w:val="single" w:sz="8" w:space="0" w:color="auto"/>
              <w:right w:val="single" w:sz="8" w:space="0" w:color="auto"/>
            </w:tcBorders>
            <w:shd w:val="clear" w:color="auto" w:fill="auto"/>
            <w:noWrap/>
            <w:vAlign w:val="center"/>
            <w:hideMark/>
          </w:tcPr>
          <w:p w14:paraId="6C0FAEFF" w14:textId="77777777" w:rsidR="00E25355" w:rsidRPr="00903D9E" w:rsidRDefault="00E25355" w:rsidP="004D177E">
            <w:pPr>
              <w:jc w:val="center"/>
              <w:rPr>
                <w:rFonts w:cs="Arial"/>
                <w:color w:val="auto"/>
                <w:sz w:val="20"/>
                <w:szCs w:val="20"/>
              </w:rPr>
            </w:pPr>
            <w:r w:rsidRPr="00903D9E">
              <w:rPr>
                <w:rFonts w:cs="Arial"/>
                <w:color w:val="auto"/>
                <w:sz w:val="20"/>
                <w:szCs w:val="20"/>
              </w:rPr>
              <w:t>2807.8</w:t>
            </w:r>
          </w:p>
        </w:tc>
        <w:tc>
          <w:tcPr>
            <w:tcW w:w="2726" w:type="dxa"/>
            <w:tcBorders>
              <w:top w:val="nil"/>
              <w:left w:val="nil"/>
              <w:bottom w:val="single" w:sz="8" w:space="0" w:color="auto"/>
              <w:right w:val="single" w:sz="8" w:space="0" w:color="auto"/>
            </w:tcBorders>
            <w:shd w:val="clear" w:color="auto" w:fill="auto"/>
            <w:noWrap/>
            <w:vAlign w:val="center"/>
            <w:hideMark/>
          </w:tcPr>
          <w:p w14:paraId="30B95D08" w14:textId="77777777" w:rsidR="00E25355" w:rsidRPr="00903D9E" w:rsidRDefault="00E25355" w:rsidP="004D177E">
            <w:pPr>
              <w:jc w:val="center"/>
              <w:rPr>
                <w:rFonts w:cs="Arial"/>
                <w:color w:val="auto"/>
                <w:sz w:val="20"/>
                <w:szCs w:val="20"/>
              </w:rPr>
            </w:pPr>
            <w:r w:rsidRPr="00903D9E">
              <w:rPr>
                <w:rFonts w:cs="Arial"/>
                <w:color w:val="auto"/>
                <w:sz w:val="20"/>
                <w:szCs w:val="20"/>
              </w:rPr>
              <w:t>2207.8</w:t>
            </w:r>
          </w:p>
        </w:tc>
      </w:tr>
      <w:tr w:rsidR="00E25355" w:rsidRPr="00975F8D" w14:paraId="061DDFD3" w14:textId="77777777" w:rsidTr="00837E04">
        <w:trPr>
          <w:trHeight w:val="259"/>
        </w:trPr>
        <w:tc>
          <w:tcPr>
            <w:tcW w:w="2145" w:type="dxa"/>
            <w:tcBorders>
              <w:top w:val="nil"/>
              <w:left w:val="single" w:sz="8" w:space="0" w:color="auto"/>
              <w:bottom w:val="single" w:sz="8" w:space="0" w:color="auto"/>
              <w:right w:val="single" w:sz="8" w:space="0" w:color="auto"/>
            </w:tcBorders>
            <w:shd w:val="clear" w:color="auto" w:fill="auto"/>
            <w:noWrap/>
            <w:vAlign w:val="center"/>
            <w:hideMark/>
          </w:tcPr>
          <w:p w14:paraId="002575C2" w14:textId="77777777" w:rsidR="00E25355" w:rsidRPr="00903D9E" w:rsidRDefault="00E25355" w:rsidP="004D177E">
            <w:pPr>
              <w:rPr>
                <w:rFonts w:cs="Arial"/>
                <w:color w:val="auto"/>
                <w:sz w:val="20"/>
                <w:szCs w:val="20"/>
              </w:rPr>
            </w:pPr>
            <w:r w:rsidRPr="00903D9E">
              <w:rPr>
                <w:rFonts w:cs="Arial"/>
                <w:color w:val="auto"/>
                <w:sz w:val="20"/>
                <w:szCs w:val="20"/>
              </w:rPr>
              <w:t>June 23</w:t>
            </w:r>
          </w:p>
        </w:tc>
        <w:tc>
          <w:tcPr>
            <w:tcW w:w="2158" w:type="dxa"/>
            <w:tcBorders>
              <w:top w:val="nil"/>
              <w:left w:val="nil"/>
              <w:bottom w:val="single" w:sz="8" w:space="0" w:color="auto"/>
              <w:right w:val="single" w:sz="8" w:space="0" w:color="auto"/>
            </w:tcBorders>
            <w:shd w:val="clear" w:color="auto" w:fill="auto"/>
            <w:noWrap/>
            <w:vAlign w:val="center"/>
            <w:hideMark/>
          </w:tcPr>
          <w:p w14:paraId="38233904" w14:textId="77777777" w:rsidR="00E25355" w:rsidRPr="00903D9E" w:rsidRDefault="00E25355" w:rsidP="004D177E">
            <w:pPr>
              <w:jc w:val="center"/>
              <w:rPr>
                <w:rFonts w:cs="Arial"/>
                <w:color w:val="auto"/>
                <w:sz w:val="20"/>
                <w:szCs w:val="20"/>
              </w:rPr>
            </w:pPr>
            <w:r w:rsidRPr="00903D9E">
              <w:rPr>
                <w:rFonts w:cs="Arial"/>
                <w:color w:val="auto"/>
                <w:sz w:val="20"/>
                <w:szCs w:val="20"/>
              </w:rPr>
              <w:t>1451</w:t>
            </w:r>
          </w:p>
        </w:tc>
        <w:tc>
          <w:tcPr>
            <w:tcW w:w="2271" w:type="dxa"/>
            <w:tcBorders>
              <w:top w:val="nil"/>
              <w:left w:val="nil"/>
              <w:bottom w:val="single" w:sz="8" w:space="0" w:color="auto"/>
              <w:right w:val="single" w:sz="8" w:space="0" w:color="auto"/>
            </w:tcBorders>
            <w:shd w:val="clear" w:color="auto" w:fill="auto"/>
            <w:noWrap/>
            <w:vAlign w:val="center"/>
            <w:hideMark/>
          </w:tcPr>
          <w:p w14:paraId="3A4F285F" w14:textId="77777777" w:rsidR="00E25355" w:rsidRPr="00903D9E" w:rsidRDefault="00E25355" w:rsidP="004D177E">
            <w:pPr>
              <w:jc w:val="center"/>
              <w:rPr>
                <w:rFonts w:cs="Arial"/>
                <w:color w:val="auto"/>
                <w:sz w:val="20"/>
                <w:szCs w:val="20"/>
              </w:rPr>
            </w:pPr>
            <w:r w:rsidRPr="00903D9E">
              <w:rPr>
                <w:rFonts w:cs="Arial"/>
                <w:color w:val="auto"/>
                <w:sz w:val="20"/>
                <w:szCs w:val="20"/>
              </w:rPr>
              <w:t>3042.3</w:t>
            </w:r>
          </w:p>
        </w:tc>
        <w:tc>
          <w:tcPr>
            <w:tcW w:w="2726" w:type="dxa"/>
            <w:tcBorders>
              <w:top w:val="nil"/>
              <w:left w:val="nil"/>
              <w:bottom w:val="single" w:sz="8" w:space="0" w:color="auto"/>
              <w:right w:val="single" w:sz="8" w:space="0" w:color="auto"/>
            </w:tcBorders>
            <w:shd w:val="clear" w:color="auto" w:fill="auto"/>
            <w:noWrap/>
            <w:vAlign w:val="center"/>
            <w:hideMark/>
          </w:tcPr>
          <w:p w14:paraId="09CC852E" w14:textId="77777777" w:rsidR="00E25355" w:rsidRPr="00903D9E" w:rsidRDefault="00E25355" w:rsidP="004D177E">
            <w:pPr>
              <w:jc w:val="center"/>
              <w:rPr>
                <w:rFonts w:cs="Arial"/>
                <w:color w:val="auto"/>
                <w:sz w:val="20"/>
                <w:szCs w:val="20"/>
              </w:rPr>
            </w:pPr>
            <w:r w:rsidRPr="00903D9E">
              <w:rPr>
                <w:rFonts w:cs="Arial"/>
                <w:color w:val="auto"/>
                <w:sz w:val="20"/>
                <w:szCs w:val="20"/>
              </w:rPr>
              <w:t>2477.5</w:t>
            </w:r>
          </w:p>
        </w:tc>
      </w:tr>
      <w:tr w:rsidR="00E25355" w:rsidRPr="00975F8D" w14:paraId="52FD6B23" w14:textId="77777777" w:rsidTr="00837E04">
        <w:trPr>
          <w:trHeight w:val="259"/>
        </w:trPr>
        <w:tc>
          <w:tcPr>
            <w:tcW w:w="2145" w:type="dxa"/>
            <w:tcBorders>
              <w:top w:val="nil"/>
              <w:left w:val="single" w:sz="8" w:space="0" w:color="auto"/>
              <w:bottom w:val="single" w:sz="8" w:space="0" w:color="auto"/>
              <w:right w:val="single" w:sz="8" w:space="0" w:color="auto"/>
            </w:tcBorders>
            <w:shd w:val="clear" w:color="auto" w:fill="auto"/>
            <w:noWrap/>
            <w:vAlign w:val="center"/>
            <w:hideMark/>
          </w:tcPr>
          <w:p w14:paraId="43205846" w14:textId="77777777" w:rsidR="00E25355" w:rsidRPr="00903D9E" w:rsidRDefault="00E25355" w:rsidP="004D177E">
            <w:pPr>
              <w:rPr>
                <w:rFonts w:cs="Arial"/>
                <w:color w:val="auto"/>
                <w:sz w:val="20"/>
                <w:szCs w:val="20"/>
              </w:rPr>
            </w:pPr>
            <w:r w:rsidRPr="00903D9E">
              <w:rPr>
                <w:rFonts w:cs="Arial"/>
                <w:color w:val="auto"/>
                <w:sz w:val="20"/>
                <w:szCs w:val="20"/>
              </w:rPr>
              <w:t>July 23</w:t>
            </w:r>
          </w:p>
        </w:tc>
        <w:tc>
          <w:tcPr>
            <w:tcW w:w="2158" w:type="dxa"/>
            <w:tcBorders>
              <w:top w:val="nil"/>
              <w:left w:val="nil"/>
              <w:bottom w:val="single" w:sz="8" w:space="0" w:color="auto"/>
              <w:right w:val="single" w:sz="8" w:space="0" w:color="auto"/>
            </w:tcBorders>
            <w:shd w:val="clear" w:color="auto" w:fill="auto"/>
            <w:noWrap/>
            <w:vAlign w:val="center"/>
            <w:hideMark/>
          </w:tcPr>
          <w:p w14:paraId="4AE75F3A" w14:textId="77777777" w:rsidR="00E25355" w:rsidRPr="00903D9E" w:rsidRDefault="00E25355" w:rsidP="004D177E">
            <w:pPr>
              <w:jc w:val="center"/>
              <w:rPr>
                <w:rFonts w:cs="Arial"/>
                <w:color w:val="auto"/>
                <w:sz w:val="20"/>
                <w:szCs w:val="20"/>
              </w:rPr>
            </w:pPr>
            <w:r w:rsidRPr="00903D9E">
              <w:rPr>
                <w:rFonts w:cs="Arial"/>
                <w:color w:val="auto"/>
                <w:sz w:val="20"/>
                <w:szCs w:val="20"/>
              </w:rPr>
              <w:t>1492.4</w:t>
            </w:r>
          </w:p>
        </w:tc>
        <w:tc>
          <w:tcPr>
            <w:tcW w:w="2271" w:type="dxa"/>
            <w:tcBorders>
              <w:top w:val="nil"/>
              <w:left w:val="nil"/>
              <w:bottom w:val="single" w:sz="8" w:space="0" w:color="auto"/>
              <w:right w:val="single" w:sz="8" w:space="0" w:color="auto"/>
            </w:tcBorders>
            <w:shd w:val="clear" w:color="auto" w:fill="auto"/>
            <w:noWrap/>
            <w:vAlign w:val="center"/>
            <w:hideMark/>
          </w:tcPr>
          <w:p w14:paraId="293D2032" w14:textId="77777777" w:rsidR="00E25355" w:rsidRPr="00903D9E" w:rsidRDefault="00E25355" w:rsidP="004D177E">
            <w:pPr>
              <w:jc w:val="center"/>
              <w:rPr>
                <w:rFonts w:cs="Arial"/>
                <w:color w:val="auto"/>
                <w:sz w:val="20"/>
                <w:szCs w:val="20"/>
              </w:rPr>
            </w:pPr>
            <w:r w:rsidRPr="00903D9E">
              <w:rPr>
                <w:rFonts w:cs="Arial"/>
                <w:color w:val="auto"/>
                <w:sz w:val="20"/>
                <w:szCs w:val="20"/>
              </w:rPr>
              <w:t>3435.2</w:t>
            </w:r>
          </w:p>
        </w:tc>
        <w:tc>
          <w:tcPr>
            <w:tcW w:w="2726" w:type="dxa"/>
            <w:tcBorders>
              <w:top w:val="nil"/>
              <w:left w:val="nil"/>
              <w:bottom w:val="single" w:sz="8" w:space="0" w:color="auto"/>
              <w:right w:val="single" w:sz="8" w:space="0" w:color="auto"/>
            </w:tcBorders>
            <w:shd w:val="clear" w:color="auto" w:fill="auto"/>
            <w:noWrap/>
            <w:vAlign w:val="center"/>
            <w:hideMark/>
          </w:tcPr>
          <w:p w14:paraId="2908D5C3" w14:textId="77777777" w:rsidR="00E25355" w:rsidRPr="00903D9E" w:rsidRDefault="00E25355" w:rsidP="004D177E">
            <w:pPr>
              <w:jc w:val="center"/>
              <w:rPr>
                <w:rFonts w:cs="Arial"/>
                <w:color w:val="auto"/>
                <w:sz w:val="20"/>
                <w:szCs w:val="20"/>
              </w:rPr>
            </w:pPr>
            <w:r w:rsidRPr="00903D9E">
              <w:rPr>
                <w:rFonts w:cs="Arial"/>
                <w:color w:val="auto"/>
                <w:sz w:val="20"/>
                <w:szCs w:val="20"/>
              </w:rPr>
              <w:t>2706.3</w:t>
            </w:r>
          </w:p>
        </w:tc>
      </w:tr>
      <w:tr w:rsidR="00E25355" w:rsidRPr="00975F8D" w14:paraId="63AE09D4" w14:textId="77777777" w:rsidTr="00837E04">
        <w:trPr>
          <w:trHeight w:val="259"/>
        </w:trPr>
        <w:tc>
          <w:tcPr>
            <w:tcW w:w="2145" w:type="dxa"/>
            <w:tcBorders>
              <w:top w:val="nil"/>
              <w:left w:val="single" w:sz="8" w:space="0" w:color="auto"/>
              <w:bottom w:val="single" w:sz="8" w:space="0" w:color="auto"/>
              <w:right w:val="single" w:sz="8" w:space="0" w:color="auto"/>
            </w:tcBorders>
            <w:shd w:val="clear" w:color="auto" w:fill="auto"/>
            <w:noWrap/>
            <w:vAlign w:val="center"/>
            <w:hideMark/>
          </w:tcPr>
          <w:p w14:paraId="5F03FAA0" w14:textId="77777777" w:rsidR="00E25355" w:rsidRPr="00903D9E" w:rsidRDefault="00E25355" w:rsidP="004D177E">
            <w:pPr>
              <w:rPr>
                <w:rFonts w:cs="Arial"/>
                <w:color w:val="auto"/>
                <w:sz w:val="20"/>
                <w:szCs w:val="20"/>
              </w:rPr>
            </w:pPr>
            <w:r w:rsidRPr="00903D9E">
              <w:rPr>
                <w:rFonts w:cs="Arial"/>
                <w:color w:val="auto"/>
                <w:sz w:val="20"/>
                <w:szCs w:val="20"/>
              </w:rPr>
              <w:t>August 23</w:t>
            </w:r>
          </w:p>
        </w:tc>
        <w:tc>
          <w:tcPr>
            <w:tcW w:w="2158" w:type="dxa"/>
            <w:tcBorders>
              <w:top w:val="nil"/>
              <w:left w:val="nil"/>
              <w:bottom w:val="single" w:sz="8" w:space="0" w:color="auto"/>
              <w:right w:val="single" w:sz="8" w:space="0" w:color="auto"/>
            </w:tcBorders>
            <w:shd w:val="clear" w:color="auto" w:fill="auto"/>
            <w:noWrap/>
            <w:vAlign w:val="center"/>
            <w:hideMark/>
          </w:tcPr>
          <w:p w14:paraId="36B2AEF5" w14:textId="77777777" w:rsidR="00E25355" w:rsidRPr="00903D9E" w:rsidRDefault="00E25355" w:rsidP="004D177E">
            <w:pPr>
              <w:jc w:val="center"/>
              <w:rPr>
                <w:rFonts w:cs="Arial"/>
                <w:color w:val="auto"/>
                <w:sz w:val="20"/>
                <w:szCs w:val="20"/>
              </w:rPr>
            </w:pPr>
            <w:r w:rsidRPr="00903D9E">
              <w:rPr>
                <w:rFonts w:cs="Arial"/>
                <w:color w:val="auto"/>
                <w:sz w:val="20"/>
                <w:szCs w:val="20"/>
              </w:rPr>
              <w:t>1434.5</w:t>
            </w:r>
          </w:p>
        </w:tc>
        <w:tc>
          <w:tcPr>
            <w:tcW w:w="2271" w:type="dxa"/>
            <w:tcBorders>
              <w:top w:val="nil"/>
              <w:left w:val="nil"/>
              <w:bottom w:val="single" w:sz="8" w:space="0" w:color="auto"/>
              <w:right w:val="single" w:sz="8" w:space="0" w:color="auto"/>
            </w:tcBorders>
            <w:shd w:val="clear" w:color="auto" w:fill="auto"/>
            <w:noWrap/>
            <w:vAlign w:val="center"/>
            <w:hideMark/>
          </w:tcPr>
          <w:p w14:paraId="7FEEB6E1" w14:textId="77777777" w:rsidR="00E25355" w:rsidRPr="00903D9E" w:rsidRDefault="00E25355" w:rsidP="004D177E">
            <w:pPr>
              <w:jc w:val="center"/>
              <w:rPr>
                <w:rFonts w:cs="Arial"/>
                <w:color w:val="auto"/>
                <w:sz w:val="20"/>
                <w:szCs w:val="20"/>
              </w:rPr>
            </w:pPr>
            <w:r w:rsidRPr="00903D9E">
              <w:rPr>
                <w:rFonts w:cs="Arial"/>
                <w:color w:val="auto"/>
                <w:sz w:val="20"/>
                <w:szCs w:val="20"/>
              </w:rPr>
              <w:t>3141.7</w:t>
            </w:r>
          </w:p>
        </w:tc>
        <w:tc>
          <w:tcPr>
            <w:tcW w:w="2726" w:type="dxa"/>
            <w:tcBorders>
              <w:top w:val="nil"/>
              <w:left w:val="nil"/>
              <w:bottom w:val="single" w:sz="8" w:space="0" w:color="auto"/>
              <w:right w:val="single" w:sz="8" w:space="0" w:color="auto"/>
            </w:tcBorders>
            <w:shd w:val="clear" w:color="auto" w:fill="auto"/>
            <w:noWrap/>
            <w:vAlign w:val="center"/>
            <w:hideMark/>
          </w:tcPr>
          <w:p w14:paraId="03EAD9B1" w14:textId="77777777" w:rsidR="00E25355" w:rsidRPr="00903D9E" w:rsidRDefault="00E25355" w:rsidP="004D177E">
            <w:pPr>
              <w:jc w:val="center"/>
              <w:rPr>
                <w:rFonts w:cs="Arial"/>
                <w:color w:val="auto"/>
                <w:sz w:val="20"/>
                <w:szCs w:val="20"/>
              </w:rPr>
            </w:pPr>
            <w:r w:rsidRPr="00903D9E">
              <w:rPr>
                <w:rFonts w:cs="Arial"/>
                <w:color w:val="auto"/>
                <w:sz w:val="20"/>
                <w:szCs w:val="20"/>
              </w:rPr>
              <w:t>2351.7</w:t>
            </w:r>
          </w:p>
        </w:tc>
      </w:tr>
      <w:tr w:rsidR="00E25355" w:rsidRPr="00975F8D" w14:paraId="603E877C" w14:textId="77777777" w:rsidTr="00837E04">
        <w:trPr>
          <w:trHeight w:val="259"/>
        </w:trPr>
        <w:tc>
          <w:tcPr>
            <w:tcW w:w="2145" w:type="dxa"/>
            <w:tcBorders>
              <w:top w:val="nil"/>
              <w:left w:val="single" w:sz="8" w:space="0" w:color="auto"/>
              <w:bottom w:val="single" w:sz="8" w:space="0" w:color="auto"/>
              <w:right w:val="single" w:sz="8" w:space="0" w:color="auto"/>
            </w:tcBorders>
            <w:shd w:val="clear" w:color="auto" w:fill="auto"/>
            <w:noWrap/>
            <w:vAlign w:val="center"/>
            <w:hideMark/>
          </w:tcPr>
          <w:p w14:paraId="26BC0281" w14:textId="77777777" w:rsidR="00E25355" w:rsidRPr="00903D9E" w:rsidRDefault="00E25355" w:rsidP="004D177E">
            <w:pPr>
              <w:rPr>
                <w:rFonts w:cs="Arial"/>
                <w:color w:val="auto"/>
                <w:sz w:val="20"/>
                <w:szCs w:val="20"/>
              </w:rPr>
            </w:pPr>
            <w:r w:rsidRPr="00903D9E">
              <w:rPr>
                <w:rFonts w:cs="Arial"/>
                <w:color w:val="auto"/>
                <w:sz w:val="20"/>
                <w:szCs w:val="20"/>
              </w:rPr>
              <w:t>September 23</w:t>
            </w:r>
          </w:p>
        </w:tc>
        <w:tc>
          <w:tcPr>
            <w:tcW w:w="2158" w:type="dxa"/>
            <w:tcBorders>
              <w:top w:val="nil"/>
              <w:left w:val="nil"/>
              <w:bottom w:val="single" w:sz="8" w:space="0" w:color="auto"/>
              <w:right w:val="single" w:sz="8" w:space="0" w:color="auto"/>
            </w:tcBorders>
            <w:shd w:val="clear" w:color="auto" w:fill="auto"/>
            <w:noWrap/>
            <w:vAlign w:val="center"/>
            <w:hideMark/>
          </w:tcPr>
          <w:p w14:paraId="15B8C557" w14:textId="77777777" w:rsidR="00E25355" w:rsidRPr="00903D9E" w:rsidRDefault="00E25355" w:rsidP="004D177E">
            <w:pPr>
              <w:jc w:val="center"/>
              <w:rPr>
                <w:rFonts w:cs="Arial"/>
                <w:color w:val="auto"/>
                <w:sz w:val="20"/>
                <w:szCs w:val="20"/>
              </w:rPr>
            </w:pPr>
            <w:r w:rsidRPr="00903D9E">
              <w:rPr>
                <w:rFonts w:cs="Arial"/>
                <w:color w:val="auto"/>
                <w:sz w:val="20"/>
                <w:szCs w:val="20"/>
              </w:rPr>
              <w:t>1257.6</w:t>
            </w:r>
          </w:p>
        </w:tc>
        <w:tc>
          <w:tcPr>
            <w:tcW w:w="2271" w:type="dxa"/>
            <w:tcBorders>
              <w:top w:val="nil"/>
              <w:left w:val="nil"/>
              <w:bottom w:val="single" w:sz="8" w:space="0" w:color="auto"/>
              <w:right w:val="single" w:sz="8" w:space="0" w:color="auto"/>
            </w:tcBorders>
            <w:shd w:val="clear" w:color="auto" w:fill="auto"/>
            <w:noWrap/>
            <w:vAlign w:val="center"/>
            <w:hideMark/>
          </w:tcPr>
          <w:p w14:paraId="6C77501A" w14:textId="77777777" w:rsidR="00E25355" w:rsidRPr="00903D9E" w:rsidRDefault="00E25355" w:rsidP="004D177E">
            <w:pPr>
              <w:jc w:val="center"/>
              <w:rPr>
                <w:rFonts w:cs="Arial"/>
                <w:color w:val="auto"/>
                <w:sz w:val="20"/>
                <w:szCs w:val="20"/>
              </w:rPr>
            </w:pPr>
            <w:r w:rsidRPr="00903D9E">
              <w:rPr>
                <w:rFonts w:cs="Arial"/>
                <w:color w:val="auto"/>
                <w:sz w:val="20"/>
                <w:szCs w:val="20"/>
              </w:rPr>
              <w:t>2971.6</w:t>
            </w:r>
          </w:p>
        </w:tc>
        <w:tc>
          <w:tcPr>
            <w:tcW w:w="2726" w:type="dxa"/>
            <w:tcBorders>
              <w:top w:val="nil"/>
              <w:left w:val="nil"/>
              <w:bottom w:val="single" w:sz="8" w:space="0" w:color="auto"/>
              <w:right w:val="single" w:sz="8" w:space="0" w:color="auto"/>
            </w:tcBorders>
            <w:shd w:val="clear" w:color="auto" w:fill="auto"/>
            <w:noWrap/>
            <w:vAlign w:val="center"/>
            <w:hideMark/>
          </w:tcPr>
          <w:p w14:paraId="3848E9CF" w14:textId="77777777" w:rsidR="00E25355" w:rsidRPr="00903D9E" w:rsidRDefault="00E25355" w:rsidP="004D177E">
            <w:pPr>
              <w:jc w:val="center"/>
              <w:rPr>
                <w:rFonts w:cs="Arial"/>
                <w:color w:val="auto"/>
                <w:sz w:val="20"/>
                <w:szCs w:val="20"/>
              </w:rPr>
            </w:pPr>
            <w:r w:rsidRPr="00903D9E">
              <w:rPr>
                <w:rFonts w:cs="Arial"/>
                <w:color w:val="auto"/>
                <w:sz w:val="20"/>
                <w:szCs w:val="20"/>
              </w:rPr>
              <w:t>2377.2</w:t>
            </w:r>
          </w:p>
        </w:tc>
      </w:tr>
      <w:tr w:rsidR="00E25355" w:rsidRPr="00975F8D" w14:paraId="2B5F9009" w14:textId="77777777" w:rsidTr="00837E04">
        <w:trPr>
          <w:trHeight w:val="259"/>
        </w:trPr>
        <w:tc>
          <w:tcPr>
            <w:tcW w:w="2145" w:type="dxa"/>
            <w:tcBorders>
              <w:top w:val="nil"/>
              <w:left w:val="single" w:sz="8" w:space="0" w:color="auto"/>
              <w:bottom w:val="single" w:sz="8" w:space="0" w:color="auto"/>
              <w:right w:val="single" w:sz="8" w:space="0" w:color="auto"/>
            </w:tcBorders>
            <w:shd w:val="clear" w:color="auto" w:fill="auto"/>
            <w:noWrap/>
            <w:vAlign w:val="center"/>
            <w:hideMark/>
          </w:tcPr>
          <w:p w14:paraId="59E07F5B" w14:textId="77777777" w:rsidR="00E25355" w:rsidRPr="00903D9E" w:rsidRDefault="00E25355" w:rsidP="004D177E">
            <w:pPr>
              <w:rPr>
                <w:rFonts w:cs="Arial"/>
                <w:color w:val="auto"/>
                <w:sz w:val="20"/>
                <w:szCs w:val="20"/>
              </w:rPr>
            </w:pPr>
            <w:r w:rsidRPr="00903D9E">
              <w:rPr>
                <w:rFonts w:cs="Arial"/>
                <w:color w:val="auto"/>
                <w:sz w:val="20"/>
                <w:szCs w:val="20"/>
              </w:rPr>
              <w:t>October 23</w:t>
            </w:r>
          </w:p>
        </w:tc>
        <w:tc>
          <w:tcPr>
            <w:tcW w:w="2158" w:type="dxa"/>
            <w:tcBorders>
              <w:top w:val="nil"/>
              <w:left w:val="nil"/>
              <w:bottom w:val="single" w:sz="8" w:space="0" w:color="auto"/>
              <w:right w:val="single" w:sz="8" w:space="0" w:color="auto"/>
            </w:tcBorders>
            <w:shd w:val="clear" w:color="auto" w:fill="auto"/>
            <w:noWrap/>
            <w:vAlign w:val="center"/>
            <w:hideMark/>
          </w:tcPr>
          <w:p w14:paraId="1482A1B3" w14:textId="77777777" w:rsidR="00E25355" w:rsidRPr="00903D9E" w:rsidRDefault="00E25355" w:rsidP="004D177E">
            <w:pPr>
              <w:jc w:val="center"/>
              <w:rPr>
                <w:rFonts w:cs="Arial"/>
                <w:color w:val="auto"/>
                <w:sz w:val="20"/>
                <w:szCs w:val="20"/>
              </w:rPr>
            </w:pPr>
            <w:r w:rsidRPr="00903D9E">
              <w:rPr>
                <w:rFonts w:cs="Arial"/>
                <w:color w:val="auto"/>
                <w:sz w:val="20"/>
                <w:szCs w:val="20"/>
              </w:rPr>
              <w:t>402.9</w:t>
            </w:r>
          </w:p>
        </w:tc>
        <w:tc>
          <w:tcPr>
            <w:tcW w:w="2271" w:type="dxa"/>
            <w:tcBorders>
              <w:top w:val="nil"/>
              <w:left w:val="nil"/>
              <w:bottom w:val="single" w:sz="8" w:space="0" w:color="auto"/>
              <w:right w:val="single" w:sz="8" w:space="0" w:color="auto"/>
            </w:tcBorders>
            <w:shd w:val="clear" w:color="auto" w:fill="auto"/>
            <w:noWrap/>
            <w:vAlign w:val="center"/>
            <w:hideMark/>
          </w:tcPr>
          <w:p w14:paraId="7282091F" w14:textId="77777777" w:rsidR="00E25355" w:rsidRPr="00903D9E" w:rsidRDefault="00E25355" w:rsidP="004D177E">
            <w:pPr>
              <w:jc w:val="center"/>
              <w:rPr>
                <w:rFonts w:cs="Arial"/>
                <w:color w:val="auto"/>
                <w:sz w:val="20"/>
                <w:szCs w:val="20"/>
              </w:rPr>
            </w:pPr>
            <w:r w:rsidRPr="00903D9E">
              <w:rPr>
                <w:rFonts w:cs="Arial"/>
                <w:color w:val="auto"/>
                <w:sz w:val="20"/>
                <w:szCs w:val="20"/>
              </w:rPr>
              <w:t>2772.5</w:t>
            </w:r>
          </w:p>
        </w:tc>
        <w:tc>
          <w:tcPr>
            <w:tcW w:w="2726" w:type="dxa"/>
            <w:tcBorders>
              <w:top w:val="nil"/>
              <w:left w:val="nil"/>
              <w:bottom w:val="single" w:sz="8" w:space="0" w:color="auto"/>
              <w:right w:val="single" w:sz="8" w:space="0" w:color="auto"/>
            </w:tcBorders>
            <w:shd w:val="clear" w:color="auto" w:fill="auto"/>
            <w:noWrap/>
            <w:vAlign w:val="center"/>
            <w:hideMark/>
          </w:tcPr>
          <w:p w14:paraId="01A4D3D7" w14:textId="77777777" w:rsidR="00E25355" w:rsidRPr="00903D9E" w:rsidRDefault="00E25355" w:rsidP="004D177E">
            <w:pPr>
              <w:jc w:val="center"/>
              <w:rPr>
                <w:rFonts w:cs="Arial"/>
                <w:color w:val="auto"/>
                <w:sz w:val="20"/>
                <w:szCs w:val="20"/>
              </w:rPr>
            </w:pPr>
            <w:r w:rsidRPr="00903D9E">
              <w:rPr>
                <w:rFonts w:cs="Arial"/>
                <w:color w:val="auto"/>
                <w:sz w:val="20"/>
                <w:szCs w:val="20"/>
              </w:rPr>
              <w:t>2166.5</w:t>
            </w:r>
          </w:p>
        </w:tc>
      </w:tr>
      <w:tr w:rsidR="00E25355" w:rsidRPr="00975F8D" w14:paraId="476F494A" w14:textId="77777777" w:rsidTr="00837E04">
        <w:trPr>
          <w:trHeight w:val="259"/>
        </w:trPr>
        <w:tc>
          <w:tcPr>
            <w:tcW w:w="2145" w:type="dxa"/>
            <w:tcBorders>
              <w:top w:val="nil"/>
              <w:left w:val="single" w:sz="8" w:space="0" w:color="auto"/>
              <w:bottom w:val="single" w:sz="8" w:space="0" w:color="auto"/>
              <w:right w:val="single" w:sz="8" w:space="0" w:color="auto"/>
            </w:tcBorders>
            <w:shd w:val="clear" w:color="auto" w:fill="auto"/>
            <w:noWrap/>
            <w:vAlign w:val="center"/>
            <w:hideMark/>
          </w:tcPr>
          <w:p w14:paraId="0C257434" w14:textId="77777777" w:rsidR="00E25355" w:rsidRPr="00903D9E" w:rsidRDefault="00E25355" w:rsidP="004D177E">
            <w:pPr>
              <w:rPr>
                <w:rFonts w:cs="Arial"/>
                <w:color w:val="auto"/>
                <w:sz w:val="20"/>
                <w:szCs w:val="20"/>
              </w:rPr>
            </w:pPr>
            <w:r w:rsidRPr="00903D9E">
              <w:rPr>
                <w:rFonts w:cs="Arial"/>
                <w:color w:val="auto"/>
                <w:sz w:val="20"/>
                <w:szCs w:val="20"/>
              </w:rPr>
              <w:t>November 23</w:t>
            </w:r>
          </w:p>
        </w:tc>
        <w:tc>
          <w:tcPr>
            <w:tcW w:w="2158" w:type="dxa"/>
            <w:tcBorders>
              <w:top w:val="nil"/>
              <w:left w:val="nil"/>
              <w:bottom w:val="single" w:sz="8" w:space="0" w:color="auto"/>
              <w:right w:val="single" w:sz="8" w:space="0" w:color="auto"/>
            </w:tcBorders>
            <w:shd w:val="clear" w:color="auto" w:fill="auto"/>
            <w:noWrap/>
            <w:vAlign w:val="center"/>
            <w:hideMark/>
          </w:tcPr>
          <w:p w14:paraId="13E7A016" w14:textId="77777777" w:rsidR="00E25355" w:rsidRPr="00903D9E" w:rsidRDefault="00E25355" w:rsidP="004D177E">
            <w:pPr>
              <w:jc w:val="center"/>
              <w:rPr>
                <w:rFonts w:cs="Arial"/>
                <w:color w:val="auto"/>
                <w:sz w:val="20"/>
                <w:szCs w:val="20"/>
              </w:rPr>
            </w:pPr>
            <w:r w:rsidRPr="00903D9E">
              <w:rPr>
                <w:rFonts w:cs="Arial"/>
                <w:color w:val="auto"/>
                <w:sz w:val="20"/>
                <w:szCs w:val="20"/>
              </w:rPr>
              <w:t>1456.7</w:t>
            </w:r>
          </w:p>
        </w:tc>
        <w:tc>
          <w:tcPr>
            <w:tcW w:w="2271" w:type="dxa"/>
            <w:tcBorders>
              <w:top w:val="nil"/>
              <w:left w:val="nil"/>
              <w:bottom w:val="single" w:sz="8" w:space="0" w:color="auto"/>
              <w:right w:val="single" w:sz="8" w:space="0" w:color="auto"/>
            </w:tcBorders>
            <w:shd w:val="clear" w:color="auto" w:fill="auto"/>
            <w:noWrap/>
            <w:vAlign w:val="center"/>
            <w:hideMark/>
          </w:tcPr>
          <w:p w14:paraId="37F515C4" w14:textId="77777777" w:rsidR="00E25355" w:rsidRPr="00903D9E" w:rsidRDefault="00E25355" w:rsidP="004D177E">
            <w:pPr>
              <w:jc w:val="center"/>
              <w:rPr>
                <w:rFonts w:cs="Arial"/>
                <w:color w:val="auto"/>
                <w:sz w:val="20"/>
                <w:szCs w:val="20"/>
              </w:rPr>
            </w:pPr>
            <w:r w:rsidRPr="00903D9E">
              <w:rPr>
                <w:rFonts w:cs="Arial"/>
                <w:color w:val="auto"/>
                <w:sz w:val="20"/>
                <w:szCs w:val="20"/>
              </w:rPr>
              <w:t>2067.8</w:t>
            </w:r>
          </w:p>
        </w:tc>
        <w:tc>
          <w:tcPr>
            <w:tcW w:w="2726" w:type="dxa"/>
            <w:tcBorders>
              <w:top w:val="nil"/>
              <w:left w:val="nil"/>
              <w:bottom w:val="single" w:sz="8" w:space="0" w:color="auto"/>
              <w:right w:val="single" w:sz="8" w:space="0" w:color="auto"/>
            </w:tcBorders>
            <w:shd w:val="clear" w:color="auto" w:fill="auto"/>
            <w:noWrap/>
            <w:vAlign w:val="center"/>
            <w:hideMark/>
          </w:tcPr>
          <w:p w14:paraId="5050D103" w14:textId="77777777" w:rsidR="00E25355" w:rsidRPr="00903D9E" w:rsidRDefault="00E25355" w:rsidP="004D177E">
            <w:pPr>
              <w:jc w:val="center"/>
              <w:rPr>
                <w:rFonts w:cs="Arial"/>
                <w:color w:val="auto"/>
                <w:sz w:val="20"/>
                <w:szCs w:val="20"/>
              </w:rPr>
            </w:pPr>
            <w:r w:rsidRPr="00903D9E">
              <w:rPr>
                <w:rFonts w:cs="Arial"/>
                <w:color w:val="auto"/>
                <w:sz w:val="20"/>
                <w:szCs w:val="20"/>
              </w:rPr>
              <w:t>1782.4</w:t>
            </w:r>
          </w:p>
        </w:tc>
      </w:tr>
    </w:tbl>
    <w:p w14:paraId="36E28A54" w14:textId="77777777" w:rsidR="00E25355" w:rsidRDefault="00E25355" w:rsidP="00E25355">
      <w:pPr>
        <w:jc w:val="both"/>
        <w:rPr>
          <w:rFonts w:cs="Arial"/>
          <w:color w:val="auto"/>
        </w:rPr>
      </w:pPr>
    </w:p>
    <w:p w14:paraId="2BE186D1" w14:textId="7848D5CF" w:rsidR="00E25355" w:rsidRPr="00CA5E96" w:rsidRDefault="00E25355" w:rsidP="00E25355">
      <w:pPr>
        <w:jc w:val="both"/>
        <w:rPr>
          <w:rFonts w:cs="Arial"/>
          <w:color w:val="auto"/>
        </w:rPr>
      </w:pPr>
      <w:r w:rsidRPr="00E4002F">
        <w:rPr>
          <w:rFonts w:cs="Arial"/>
          <w:color w:val="auto"/>
        </w:rPr>
        <w:t xml:space="preserve">The expected amount of RRS that is required for any given hour is shown in the Ancillary Service Plan, and the required amount with any updates for the next day are communicated to each Load Serving Entity (LSE) at </w:t>
      </w:r>
      <w:r>
        <w:rPr>
          <w:rFonts w:cs="Arial"/>
          <w:color w:val="auto"/>
        </w:rPr>
        <w:t>0600</w:t>
      </w:r>
      <w:r w:rsidRPr="00E4002F">
        <w:rPr>
          <w:rFonts w:cs="Arial"/>
          <w:color w:val="auto"/>
        </w:rPr>
        <w:t xml:space="preserve"> in the Day-Ahead Market (DAM). </w:t>
      </w:r>
      <w:r w:rsidRPr="00FC4983">
        <w:rPr>
          <w:rFonts w:cs="Arial"/>
          <w:color w:val="auto"/>
        </w:rPr>
        <w:t>For 2023, the amounts varied from 2</w:t>
      </w:r>
      <w:r w:rsidR="00586932">
        <w:rPr>
          <w:rFonts w:cs="Arial"/>
          <w:color w:val="auto"/>
        </w:rPr>
        <w:t>,</w:t>
      </w:r>
      <w:r w:rsidRPr="00FC4983">
        <w:rPr>
          <w:rFonts w:cs="Arial"/>
          <w:color w:val="auto"/>
        </w:rPr>
        <w:t>300 MW for Hours Ending 1100 – 1400 during July and August to 3</w:t>
      </w:r>
      <w:r w:rsidR="00586932">
        <w:rPr>
          <w:rFonts w:cs="Arial"/>
          <w:color w:val="auto"/>
        </w:rPr>
        <w:t>,</w:t>
      </w:r>
      <w:r w:rsidRPr="00FC4983">
        <w:rPr>
          <w:rFonts w:cs="Arial"/>
          <w:color w:val="auto"/>
        </w:rPr>
        <w:t>335 MW for Off-Peak hours in March. There</w:t>
      </w:r>
      <w:r w:rsidRPr="00E4002F">
        <w:rPr>
          <w:rFonts w:cs="Arial"/>
          <w:color w:val="auto"/>
        </w:rPr>
        <w:t xml:space="preserve"> is a constraint that limits participation to 60% of the total required RRS capacity to be provided by NCLRs, subject to a second constraint that requires at least 1</w:t>
      </w:r>
      <w:r w:rsidR="00586932">
        <w:rPr>
          <w:rFonts w:cs="Arial"/>
          <w:color w:val="auto"/>
        </w:rPr>
        <w:t>,</w:t>
      </w:r>
      <w:r w:rsidRPr="00E4002F">
        <w:rPr>
          <w:rFonts w:cs="Arial"/>
          <w:color w:val="auto"/>
        </w:rPr>
        <w:t>390 MW of RRS capacity to come from Resources providing Primary Frequency Response (PFR). That constraint is based on the Interconnection Frequency Response Obligation (IFRO) that is established by NERC. The IFRO that will go into effect on January 1, 2024, will decrease that constraint to 1</w:t>
      </w:r>
      <w:r w:rsidR="00586932">
        <w:rPr>
          <w:rFonts w:cs="Arial"/>
          <w:color w:val="auto"/>
        </w:rPr>
        <w:t>,</w:t>
      </w:r>
      <w:r w:rsidRPr="00E4002F">
        <w:rPr>
          <w:rFonts w:cs="Arial"/>
          <w:color w:val="auto"/>
        </w:rPr>
        <w:t>185 MW. ERCOT’s Ancillary Service methodology is being revised to reflect that change for 2024.</w:t>
      </w:r>
    </w:p>
    <w:p w14:paraId="05FDD2A7" w14:textId="77777777" w:rsidR="00E25355" w:rsidRPr="00CA5E96" w:rsidRDefault="00E25355" w:rsidP="00E25355">
      <w:pPr>
        <w:jc w:val="both"/>
        <w:rPr>
          <w:rFonts w:cs="Arial"/>
          <w:color w:val="auto"/>
        </w:rPr>
      </w:pPr>
    </w:p>
    <w:p w14:paraId="7586F228" w14:textId="77777777" w:rsidR="00E25355" w:rsidRDefault="00E25355" w:rsidP="00E25355">
      <w:pPr>
        <w:jc w:val="both"/>
        <w:rPr>
          <w:rFonts w:cs="Arial"/>
          <w:color w:val="auto"/>
        </w:rPr>
      </w:pPr>
      <w:r w:rsidRPr="00CA5E96">
        <w:rPr>
          <w:rFonts w:cs="Arial"/>
          <w:color w:val="auto"/>
        </w:rPr>
        <w:t>Table 2 below shows the statistics for awards and self-arranged capacity for NCLRs participating in the RRS market during each month from December 202</w:t>
      </w:r>
      <w:r>
        <w:rPr>
          <w:rFonts w:cs="Arial"/>
          <w:color w:val="auto"/>
        </w:rPr>
        <w:t>2</w:t>
      </w:r>
      <w:r w:rsidRPr="00CA5E96">
        <w:rPr>
          <w:rFonts w:cs="Arial"/>
          <w:color w:val="auto"/>
        </w:rPr>
        <w:t xml:space="preserve"> through November 202</w:t>
      </w:r>
      <w:r>
        <w:rPr>
          <w:rFonts w:cs="Arial"/>
          <w:color w:val="auto"/>
        </w:rPr>
        <w:t>3</w:t>
      </w:r>
      <w:r w:rsidRPr="00CA5E96">
        <w:rPr>
          <w:rFonts w:cs="Arial"/>
          <w:color w:val="auto"/>
        </w:rPr>
        <w:t>.</w:t>
      </w:r>
    </w:p>
    <w:p w14:paraId="5504F027" w14:textId="77777777" w:rsidR="00E25355" w:rsidRDefault="00E25355" w:rsidP="00E25355">
      <w:pPr>
        <w:jc w:val="both"/>
        <w:rPr>
          <w:rFonts w:cs="Arial"/>
          <w:b/>
          <w:color w:val="auto"/>
        </w:rPr>
      </w:pPr>
    </w:p>
    <w:p w14:paraId="397DD951" w14:textId="77777777" w:rsidR="00E25355" w:rsidRPr="00550FB6" w:rsidRDefault="00E25355" w:rsidP="0017768A">
      <w:pPr>
        <w:keepNext/>
        <w:jc w:val="both"/>
        <w:rPr>
          <w:rFonts w:cs="Arial"/>
          <w:i/>
          <w:iCs/>
          <w:color w:val="000000"/>
          <w:sz w:val="16"/>
          <w:szCs w:val="16"/>
        </w:rPr>
      </w:pPr>
      <w:r w:rsidRPr="00550FB6">
        <w:rPr>
          <w:rFonts w:cs="Arial"/>
          <w:i/>
          <w:iCs/>
          <w:color w:val="000000"/>
          <w:sz w:val="16"/>
          <w:szCs w:val="16"/>
        </w:rPr>
        <w:lastRenderedPageBreak/>
        <w:t xml:space="preserve">Table 2:  RRS hourly awards including self-arranged amounts from NCLRs (MW) 12/22 through 11/23 </w:t>
      </w:r>
    </w:p>
    <w:tbl>
      <w:tblPr>
        <w:tblW w:w="9360" w:type="dxa"/>
        <w:tblLayout w:type="fixed"/>
        <w:tblLook w:val="04A0" w:firstRow="1" w:lastRow="0" w:firstColumn="1" w:lastColumn="0" w:noHBand="0" w:noVBand="1"/>
      </w:tblPr>
      <w:tblGrid>
        <w:gridCol w:w="2339"/>
        <w:gridCol w:w="2341"/>
        <w:gridCol w:w="2339"/>
        <w:gridCol w:w="2341"/>
      </w:tblGrid>
      <w:tr w:rsidR="00E25355" w:rsidRPr="00975F8D" w14:paraId="59E557B5" w14:textId="77777777" w:rsidTr="00837E04">
        <w:trPr>
          <w:trHeight w:val="310"/>
        </w:trPr>
        <w:tc>
          <w:tcPr>
            <w:tcW w:w="233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C06C767" w14:textId="77777777" w:rsidR="00E25355" w:rsidRPr="00975F8D" w:rsidRDefault="00E25355" w:rsidP="0017768A">
            <w:pPr>
              <w:keepNext/>
              <w:jc w:val="center"/>
              <w:rPr>
                <w:rFonts w:cs="Arial"/>
                <w:color w:val="auto"/>
                <w:sz w:val="20"/>
                <w:szCs w:val="20"/>
              </w:rPr>
            </w:pPr>
            <w:r w:rsidRPr="00975F8D">
              <w:rPr>
                <w:rFonts w:cs="Arial"/>
                <w:color w:val="auto"/>
                <w:sz w:val="20"/>
                <w:szCs w:val="20"/>
              </w:rPr>
              <w:t>Month</w:t>
            </w:r>
          </w:p>
        </w:tc>
        <w:tc>
          <w:tcPr>
            <w:tcW w:w="2341" w:type="dxa"/>
            <w:tcBorders>
              <w:top w:val="single" w:sz="8" w:space="0" w:color="auto"/>
              <w:left w:val="nil"/>
              <w:bottom w:val="single" w:sz="8" w:space="0" w:color="auto"/>
              <w:right w:val="single" w:sz="8" w:space="0" w:color="auto"/>
            </w:tcBorders>
            <w:shd w:val="clear" w:color="auto" w:fill="auto"/>
            <w:noWrap/>
            <w:vAlign w:val="center"/>
            <w:hideMark/>
          </w:tcPr>
          <w:p w14:paraId="1B1C7F21" w14:textId="77777777" w:rsidR="00E25355" w:rsidRPr="00975F8D" w:rsidRDefault="00E25355" w:rsidP="0017768A">
            <w:pPr>
              <w:keepNext/>
              <w:jc w:val="center"/>
              <w:rPr>
                <w:rFonts w:cs="Arial"/>
                <w:color w:val="auto"/>
                <w:sz w:val="20"/>
                <w:szCs w:val="20"/>
              </w:rPr>
            </w:pPr>
            <w:r w:rsidRPr="00975F8D">
              <w:rPr>
                <w:rFonts w:cs="Arial"/>
                <w:color w:val="auto"/>
                <w:sz w:val="20"/>
                <w:szCs w:val="20"/>
              </w:rPr>
              <w:t>Minimum Hour</w:t>
            </w:r>
          </w:p>
        </w:tc>
        <w:tc>
          <w:tcPr>
            <w:tcW w:w="2339" w:type="dxa"/>
            <w:tcBorders>
              <w:top w:val="single" w:sz="8" w:space="0" w:color="auto"/>
              <w:left w:val="nil"/>
              <w:bottom w:val="single" w:sz="8" w:space="0" w:color="auto"/>
              <w:right w:val="single" w:sz="8" w:space="0" w:color="auto"/>
            </w:tcBorders>
            <w:shd w:val="clear" w:color="auto" w:fill="auto"/>
            <w:noWrap/>
            <w:vAlign w:val="center"/>
            <w:hideMark/>
          </w:tcPr>
          <w:p w14:paraId="2F45DE1F" w14:textId="77777777" w:rsidR="00E25355" w:rsidRPr="00975F8D" w:rsidRDefault="00E25355" w:rsidP="0017768A">
            <w:pPr>
              <w:keepNext/>
              <w:jc w:val="center"/>
              <w:rPr>
                <w:rFonts w:cs="Arial"/>
                <w:color w:val="auto"/>
                <w:sz w:val="20"/>
                <w:szCs w:val="20"/>
              </w:rPr>
            </w:pPr>
            <w:r w:rsidRPr="00975F8D">
              <w:rPr>
                <w:rFonts w:cs="Arial"/>
                <w:color w:val="auto"/>
                <w:sz w:val="20"/>
                <w:szCs w:val="20"/>
              </w:rPr>
              <w:t>Maximum Hour</w:t>
            </w:r>
          </w:p>
        </w:tc>
        <w:tc>
          <w:tcPr>
            <w:tcW w:w="2341" w:type="dxa"/>
            <w:tcBorders>
              <w:top w:val="single" w:sz="8" w:space="0" w:color="auto"/>
              <w:left w:val="nil"/>
              <w:bottom w:val="single" w:sz="8" w:space="0" w:color="auto"/>
              <w:right w:val="single" w:sz="8" w:space="0" w:color="auto"/>
            </w:tcBorders>
            <w:shd w:val="clear" w:color="auto" w:fill="auto"/>
            <w:noWrap/>
            <w:vAlign w:val="center"/>
            <w:hideMark/>
          </w:tcPr>
          <w:p w14:paraId="26670987" w14:textId="77777777" w:rsidR="00E25355" w:rsidRPr="00975F8D" w:rsidRDefault="00E25355" w:rsidP="0017768A">
            <w:pPr>
              <w:keepNext/>
              <w:jc w:val="center"/>
              <w:rPr>
                <w:rFonts w:cs="Arial"/>
                <w:color w:val="auto"/>
                <w:sz w:val="20"/>
                <w:szCs w:val="20"/>
              </w:rPr>
            </w:pPr>
            <w:r w:rsidRPr="00975F8D">
              <w:rPr>
                <w:rFonts w:cs="Arial"/>
                <w:color w:val="auto"/>
                <w:sz w:val="20"/>
                <w:szCs w:val="20"/>
              </w:rPr>
              <w:t>Average per Hour</w:t>
            </w:r>
          </w:p>
        </w:tc>
      </w:tr>
      <w:tr w:rsidR="00E25355" w:rsidRPr="00975F8D" w14:paraId="4AB88EF2" w14:textId="77777777" w:rsidTr="00837E04">
        <w:trPr>
          <w:trHeight w:val="233"/>
        </w:trPr>
        <w:tc>
          <w:tcPr>
            <w:tcW w:w="2339" w:type="dxa"/>
            <w:tcBorders>
              <w:top w:val="nil"/>
              <w:left w:val="single" w:sz="8" w:space="0" w:color="auto"/>
              <w:bottom w:val="single" w:sz="8" w:space="0" w:color="auto"/>
              <w:right w:val="single" w:sz="8" w:space="0" w:color="auto"/>
            </w:tcBorders>
            <w:shd w:val="clear" w:color="auto" w:fill="auto"/>
            <w:noWrap/>
            <w:vAlign w:val="center"/>
            <w:hideMark/>
          </w:tcPr>
          <w:p w14:paraId="4E62A886" w14:textId="77777777" w:rsidR="00E25355" w:rsidRPr="00975F8D" w:rsidRDefault="00E25355" w:rsidP="0017768A">
            <w:pPr>
              <w:keepNext/>
              <w:rPr>
                <w:rFonts w:cs="Arial"/>
                <w:color w:val="auto"/>
                <w:sz w:val="20"/>
                <w:szCs w:val="20"/>
              </w:rPr>
            </w:pPr>
            <w:r w:rsidRPr="00975F8D">
              <w:rPr>
                <w:rFonts w:cs="Arial"/>
                <w:color w:val="auto"/>
                <w:sz w:val="20"/>
                <w:szCs w:val="20"/>
              </w:rPr>
              <w:t>December 22</w:t>
            </w:r>
          </w:p>
        </w:tc>
        <w:tc>
          <w:tcPr>
            <w:tcW w:w="2341" w:type="dxa"/>
            <w:tcBorders>
              <w:top w:val="nil"/>
              <w:left w:val="nil"/>
              <w:bottom w:val="single" w:sz="8" w:space="0" w:color="auto"/>
              <w:right w:val="single" w:sz="8" w:space="0" w:color="auto"/>
            </w:tcBorders>
            <w:shd w:val="clear" w:color="auto" w:fill="auto"/>
            <w:noWrap/>
            <w:vAlign w:val="center"/>
            <w:hideMark/>
          </w:tcPr>
          <w:p w14:paraId="39E7FA7E" w14:textId="77777777" w:rsidR="00E25355" w:rsidRPr="00975F8D" w:rsidRDefault="00E25355" w:rsidP="0017768A">
            <w:pPr>
              <w:keepNext/>
              <w:jc w:val="center"/>
              <w:rPr>
                <w:rFonts w:cs="Arial"/>
                <w:color w:val="auto"/>
                <w:sz w:val="20"/>
                <w:szCs w:val="20"/>
              </w:rPr>
            </w:pPr>
            <w:r w:rsidRPr="00975F8D">
              <w:rPr>
                <w:rFonts w:cs="Arial"/>
                <w:color w:val="auto"/>
                <w:sz w:val="20"/>
                <w:szCs w:val="20"/>
              </w:rPr>
              <w:t>980.6</w:t>
            </w:r>
          </w:p>
        </w:tc>
        <w:tc>
          <w:tcPr>
            <w:tcW w:w="2339" w:type="dxa"/>
            <w:tcBorders>
              <w:top w:val="nil"/>
              <w:left w:val="nil"/>
              <w:bottom w:val="single" w:sz="8" w:space="0" w:color="auto"/>
              <w:right w:val="single" w:sz="8" w:space="0" w:color="auto"/>
            </w:tcBorders>
            <w:shd w:val="clear" w:color="auto" w:fill="auto"/>
            <w:noWrap/>
            <w:vAlign w:val="center"/>
            <w:hideMark/>
          </w:tcPr>
          <w:p w14:paraId="13817723" w14:textId="77777777" w:rsidR="00E25355" w:rsidRPr="00975F8D" w:rsidRDefault="00E25355" w:rsidP="0017768A">
            <w:pPr>
              <w:keepNext/>
              <w:jc w:val="center"/>
              <w:rPr>
                <w:rFonts w:cs="Arial"/>
                <w:color w:val="auto"/>
                <w:sz w:val="20"/>
                <w:szCs w:val="20"/>
              </w:rPr>
            </w:pPr>
            <w:r w:rsidRPr="00975F8D">
              <w:rPr>
                <w:rFonts w:cs="Arial"/>
                <w:color w:val="auto"/>
                <w:sz w:val="20"/>
                <w:szCs w:val="20"/>
              </w:rPr>
              <w:t>2086.7</w:t>
            </w:r>
          </w:p>
        </w:tc>
        <w:tc>
          <w:tcPr>
            <w:tcW w:w="2341" w:type="dxa"/>
            <w:tcBorders>
              <w:top w:val="nil"/>
              <w:left w:val="nil"/>
              <w:bottom w:val="single" w:sz="8" w:space="0" w:color="auto"/>
              <w:right w:val="single" w:sz="8" w:space="0" w:color="auto"/>
            </w:tcBorders>
            <w:shd w:val="clear" w:color="auto" w:fill="auto"/>
            <w:noWrap/>
            <w:vAlign w:val="center"/>
            <w:hideMark/>
          </w:tcPr>
          <w:p w14:paraId="68C43881" w14:textId="77777777" w:rsidR="00E25355" w:rsidRPr="00975F8D" w:rsidRDefault="00E25355" w:rsidP="0017768A">
            <w:pPr>
              <w:keepNext/>
              <w:jc w:val="center"/>
              <w:rPr>
                <w:rFonts w:cs="Arial"/>
                <w:color w:val="auto"/>
                <w:sz w:val="20"/>
                <w:szCs w:val="20"/>
              </w:rPr>
            </w:pPr>
            <w:r w:rsidRPr="00975F8D">
              <w:rPr>
                <w:rFonts w:cs="Arial"/>
                <w:color w:val="auto"/>
                <w:sz w:val="20"/>
                <w:szCs w:val="20"/>
              </w:rPr>
              <w:t>1786.8</w:t>
            </w:r>
          </w:p>
        </w:tc>
      </w:tr>
      <w:tr w:rsidR="00E25355" w:rsidRPr="00975F8D" w14:paraId="6B65995A" w14:textId="77777777" w:rsidTr="00837E04">
        <w:trPr>
          <w:trHeight w:val="233"/>
        </w:trPr>
        <w:tc>
          <w:tcPr>
            <w:tcW w:w="2339" w:type="dxa"/>
            <w:tcBorders>
              <w:top w:val="nil"/>
              <w:left w:val="single" w:sz="8" w:space="0" w:color="auto"/>
              <w:bottom w:val="single" w:sz="8" w:space="0" w:color="auto"/>
              <w:right w:val="single" w:sz="8" w:space="0" w:color="auto"/>
            </w:tcBorders>
            <w:shd w:val="clear" w:color="auto" w:fill="auto"/>
            <w:noWrap/>
            <w:vAlign w:val="center"/>
            <w:hideMark/>
          </w:tcPr>
          <w:p w14:paraId="2550AAD7" w14:textId="77777777" w:rsidR="00E25355" w:rsidRPr="00975F8D" w:rsidRDefault="00E25355" w:rsidP="0017768A">
            <w:pPr>
              <w:keepNext/>
              <w:rPr>
                <w:rFonts w:cs="Arial"/>
                <w:color w:val="auto"/>
                <w:sz w:val="20"/>
                <w:szCs w:val="20"/>
              </w:rPr>
            </w:pPr>
            <w:r w:rsidRPr="00975F8D">
              <w:rPr>
                <w:rFonts w:cs="Arial"/>
                <w:color w:val="auto"/>
                <w:sz w:val="20"/>
                <w:szCs w:val="20"/>
              </w:rPr>
              <w:t>January 23</w:t>
            </w:r>
          </w:p>
        </w:tc>
        <w:tc>
          <w:tcPr>
            <w:tcW w:w="2341" w:type="dxa"/>
            <w:tcBorders>
              <w:top w:val="nil"/>
              <w:left w:val="nil"/>
              <w:bottom w:val="single" w:sz="8" w:space="0" w:color="auto"/>
              <w:right w:val="single" w:sz="8" w:space="0" w:color="auto"/>
            </w:tcBorders>
            <w:shd w:val="clear" w:color="auto" w:fill="auto"/>
            <w:noWrap/>
            <w:vAlign w:val="center"/>
            <w:hideMark/>
          </w:tcPr>
          <w:p w14:paraId="22B6B42D" w14:textId="77777777" w:rsidR="00E25355" w:rsidRPr="00975F8D" w:rsidRDefault="00E25355" w:rsidP="0017768A">
            <w:pPr>
              <w:keepNext/>
              <w:jc w:val="center"/>
              <w:rPr>
                <w:rFonts w:cs="Arial"/>
                <w:color w:val="auto"/>
                <w:sz w:val="20"/>
                <w:szCs w:val="20"/>
              </w:rPr>
            </w:pPr>
            <w:r w:rsidRPr="00975F8D">
              <w:rPr>
                <w:rFonts w:cs="Arial"/>
                <w:color w:val="auto"/>
                <w:sz w:val="20"/>
                <w:szCs w:val="20"/>
              </w:rPr>
              <w:t>1560.5</w:t>
            </w:r>
          </w:p>
        </w:tc>
        <w:tc>
          <w:tcPr>
            <w:tcW w:w="2339" w:type="dxa"/>
            <w:tcBorders>
              <w:top w:val="nil"/>
              <w:left w:val="nil"/>
              <w:bottom w:val="single" w:sz="8" w:space="0" w:color="auto"/>
              <w:right w:val="single" w:sz="8" w:space="0" w:color="auto"/>
            </w:tcBorders>
            <w:shd w:val="clear" w:color="auto" w:fill="auto"/>
            <w:noWrap/>
            <w:vAlign w:val="center"/>
            <w:hideMark/>
          </w:tcPr>
          <w:p w14:paraId="562AF36B" w14:textId="77777777" w:rsidR="00E25355" w:rsidRPr="00975F8D" w:rsidRDefault="00E25355" w:rsidP="0017768A">
            <w:pPr>
              <w:keepNext/>
              <w:jc w:val="center"/>
              <w:rPr>
                <w:rFonts w:cs="Arial"/>
                <w:color w:val="auto"/>
                <w:sz w:val="20"/>
                <w:szCs w:val="20"/>
              </w:rPr>
            </w:pPr>
            <w:r w:rsidRPr="00975F8D">
              <w:rPr>
                <w:rFonts w:cs="Arial"/>
                <w:color w:val="auto"/>
                <w:sz w:val="20"/>
                <w:szCs w:val="20"/>
              </w:rPr>
              <w:t>1914.8</w:t>
            </w:r>
          </w:p>
        </w:tc>
        <w:tc>
          <w:tcPr>
            <w:tcW w:w="2341" w:type="dxa"/>
            <w:tcBorders>
              <w:top w:val="nil"/>
              <w:left w:val="nil"/>
              <w:bottom w:val="single" w:sz="8" w:space="0" w:color="auto"/>
              <w:right w:val="single" w:sz="8" w:space="0" w:color="auto"/>
            </w:tcBorders>
            <w:shd w:val="clear" w:color="auto" w:fill="auto"/>
            <w:noWrap/>
            <w:vAlign w:val="center"/>
            <w:hideMark/>
          </w:tcPr>
          <w:p w14:paraId="48C93E3E" w14:textId="77777777" w:rsidR="00E25355" w:rsidRPr="00975F8D" w:rsidRDefault="00E25355" w:rsidP="0017768A">
            <w:pPr>
              <w:keepNext/>
              <w:jc w:val="center"/>
              <w:rPr>
                <w:rFonts w:cs="Arial"/>
                <w:color w:val="auto"/>
                <w:sz w:val="20"/>
                <w:szCs w:val="20"/>
              </w:rPr>
            </w:pPr>
            <w:r w:rsidRPr="00975F8D">
              <w:rPr>
                <w:rFonts w:cs="Arial"/>
                <w:color w:val="auto"/>
                <w:sz w:val="20"/>
                <w:szCs w:val="20"/>
              </w:rPr>
              <w:t>1759.8</w:t>
            </w:r>
          </w:p>
        </w:tc>
      </w:tr>
      <w:tr w:rsidR="00E25355" w:rsidRPr="00975F8D" w14:paraId="2C6BF58B" w14:textId="77777777" w:rsidTr="00837E04">
        <w:trPr>
          <w:trHeight w:val="233"/>
        </w:trPr>
        <w:tc>
          <w:tcPr>
            <w:tcW w:w="2339" w:type="dxa"/>
            <w:tcBorders>
              <w:top w:val="nil"/>
              <w:left w:val="single" w:sz="8" w:space="0" w:color="auto"/>
              <w:bottom w:val="single" w:sz="8" w:space="0" w:color="auto"/>
              <w:right w:val="single" w:sz="8" w:space="0" w:color="auto"/>
            </w:tcBorders>
            <w:shd w:val="clear" w:color="auto" w:fill="auto"/>
            <w:noWrap/>
            <w:vAlign w:val="center"/>
            <w:hideMark/>
          </w:tcPr>
          <w:p w14:paraId="33B900D1" w14:textId="77777777" w:rsidR="00E25355" w:rsidRPr="00975F8D" w:rsidRDefault="00E25355" w:rsidP="0017768A">
            <w:pPr>
              <w:keepNext/>
              <w:rPr>
                <w:rFonts w:cs="Arial"/>
                <w:color w:val="auto"/>
                <w:sz w:val="20"/>
                <w:szCs w:val="20"/>
              </w:rPr>
            </w:pPr>
            <w:r w:rsidRPr="00975F8D">
              <w:rPr>
                <w:rFonts w:cs="Arial"/>
                <w:color w:val="auto"/>
                <w:sz w:val="20"/>
                <w:szCs w:val="20"/>
              </w:rPr>
              <w:t>February 23</w:t>
            </w:r>
          </w:p>
        </w:tc>
        <w:tc>
          <w:tcPr>
            <w:tcW w:w="2341" w:type="dxa"/>
            <w:tcBorders>
              <w:top w:val="nil"/>
              <w:left w:val="nil"/>
              <w:bottom w:val="single" w:sz="8" w:space="0" w:color="auto"/>
              <w:right w:val="single" w:sz="8" w:space="0" w:color="auto"/>
            </w:tcBorders>
            <w:shd w:val="clear" w:color="auto" w:fill="auto"/>
            <w:noWrap/>
            <w:vAlign w:val="center"/>
            <w:hideMark/>
          </w:tcPr>
          <w:p w14:paraId="5B6113C9" w14:textId="77777777" w:rsidR="00E25355" w:rsidRPr="00975F8D" w:rsidRDefault="00E25355" w:rsidP="0017768A">
            <w:pPr>
              <w:keepNext/>
              <w:jc w:val="center"/>
              <w:rPr>
                <w:rFonts w:cs="Arial"/>
                <w:color w:val="auto"/>
                <w:sz w:val="20"/>
                <w:szCs w:val="20"/>
              </w:rPr>
            </w:pPr>
            <w:r w:rsidRPr="00975F8D">
              <w:rPr>
                <w:rFonts w:cs="Arial"/>
                <w:color w:val="auto"/>
                <w:sz w:val="20"/>
                <w:szCs w:val="20"/>
              </w:rPr>
              <w:t>1560.9</w:t>
            </w:r>
          </w:p>
        </w:tc>
        <w:tc>
          <w:tcPr>
            <w:tcW w:w="2339" w:type="dxa"/>
            <w:tcBorders>
              <w:top w:val="nil"/>
              <w:left w:val="nil"/>
              <w:bottom w:val="single" w:sz="8" w:space="0" w:color="auto"/>
              <w:right w:val="single" w:sz="8" w:space="0" w:color="auto"/>
            </w:tcBorders>
            <w:shd w:val="clear" w:color="auto" w:fill="auto"/>
            <w:noWrap/>
            <w:vAlign w:val="center"/>
            <w:hideMark/>
          </w:tcPr>
          <w:p w14:paraId="3640F943" w14:textId="77777777" w:rsidR="00E25355" w:rsidRPr="00975F8D" w:rsidRDefault="00E25355" w:rsidP="0017768A">
            <w:pPr>
              <w:keepNext/>
              <w:jc w:val="center"/>
              <w:rPr>
                <w:rFonts w:cs="Arial"/>
                <w:color w:val="auto"/>
                <w:sz w:val="20"/>
                <w:szCs w:val="20"/>
              </w:rPr>
            </w:pPr>
            <w:r w:rsidRPr="00975F8D">
              <w:rPr>
                <w:rFonts w:cs="Arial"/>
                <w:color w:val="auto"/>
                <w:sz w:val="20"/>
                <w:szCs w:val="20"/>
              </w:rPr>
              <w:t>1945.2</w:t>
            </w:r>
          </w:p>
        </w:tc>
        <w:tc>
          <w:tcPr>
            <w:tcW w:w="2341" w:type="dxa"/>
            <w:tcBorders>
              <w:top w:val="nil"/>
              <w:left w:val="nil"/>
              <w:bottom w:val="single" w:sz="8" w:space="0" w:color="auto"/>
              <w:right w:val="single" w:sz="8" w:space="0" w:color="auto"/>
            </w:tcBorders>
            <w:shd w:val="clear" w:color="auto" w:fill="auto"/>
            <w:noWrap/>
            <w:vAlign w:val="center"/>
            <w:hideMark/>
          </w:tcPr>
          <w:p w14:paraId="75A740C0" w14:textId="77777777" w:rsidR="00E25355" w:rsidRPr="00975F8D" w:rsidRDefault="00E25355" w:rsidP="0017768A">
            <w:pPr>
              <w:keepNext/>
              <w:jc w:val="center"/>
              <w:rPr>
                <w:rFonts w:cs="Arial"/>
                <w:color w:val="auto"/>
                <w:sz w:val="20"/>
                <w:szCs w:val="20"/>
              </w:rPr>
            </w:pPr>
            <w:r w:rsidRPr="00975F8D">
              <w:rPr>
                <w:rFonts w:cs="Arial"/>
                <w:color w:val="auto"/>
                <w:sz w:val="20"/>
                <w:szCs w:val="20"/>
              </w:rPr>
              <w:t>1795.6</w:t>
            </w:r>
          </w:p>
        </w:tc>
      </w:tr>
      <w:tr w:rsidR="00E25355" w:rsidRPr="00975F8D" w14:paraId="62196B62" w14:textId="77777777" w:rsidTr="00837E04">
        <w:trPr>
          <w:trHeight w:val="233"/>
        </w:trPr>
        <w:tc>
          <w:tcPr>
            <w:tcW w:w="2339" w:type="dxa"/>
            <w:tcBorders>
              <w:top w:val="nil"/>
              <w:left w:val="single" w:sz="8" w:space="0" w:color="auto"/>
              <w:bottom w:val="single" w:sz="8" w:space="0" w:color="auto"/>
              <w:right w:val="single" w:sz="8" w:space="0" w:color="auto"/>
            </w:tcBorders>
            <w:shd w:val="clear" w:color="auto" w:fill="auto"/>
            <w:noWrap/>
            <w:vAlign w:val="center"/>
            <w:hideMark/>
          </w:tcPr>
          <w:p w14:paraId="44B7AFA3" w14:textId="77777777" w:rsidR="00E25355" w:rsidRPr="00975F8D" w:rsidRDefault="00E25355" w:rsidP="0017768A">
            <w:pPr>
              <w:keepNext/>
              <w:rPr>
                <w:rFonts w:cs="Arial"/>
                <w:color w:val="auto"/>
                <w:sz w:val="20"/>
                <w:szCs w:val="20"/>
              </w:rPr>
            </w:pPr>
            <w:r w:rsidRPr="00975F8D">
              <w:rPr>
                <w:rFonts w:cs="Arial"/>
                <w:color w:val="auto"/>
                <w:sz w:val="20"/>
                <w:szCs w:val="20"/>
              </w:rPr>
              <w:t>March 23</w:t>
            </w:r>
          </w:p>
        </w:tc>
        <w:tc>
          <w:tcPr>
            <w:tcW w:w="2341" w:type="dxa"/>
            <w:tcBorders>
              <w:top w:val="nil"/>
              <w:left w:val="nil"/>
              <w:bottom w:val="single" w:sz="8" w:space="0" w:color="auto"/>
              <w:right w:val="single" w:sz="8" w:space="0" w:color="auto"/>
            </w:tcBorders>
            <w:shd w:val="clear" w:color="auto" w:fill="auto"/>
            <w:noWrap/>
            <w:vAlign w:val="center"/>
            <w:hideMark/>
          </w:tcPr>
          <w:p w14:paraId="55D9C765" w14:textId="77777777" w:rsidR="00E25355" w:rsidRPr="00975F8D" w:rsidRDefault="00E25355" w:rsidP="0017768A">
            <w:pPr>
              <w:keepNext/>
              <w:jc w:val="center"/>
              <w:rPr>
                <w:rFonts w:cs="Arial"/>
                <w:color w:val="auto"/>
                <w:sz w:val="20"/>
                <w:szCs w:val="20"/>
              </w:rPr>
            </w:pPr>
            <w:r w:rsidRPr="00975F8D">
              <w:rPr>
                <w:rFonts w:cs="Arial"/>
                <w:color w:val="auto"/>
                <w:sz w:val="20"/>
                <w:szCs w:val="20"/>
              </w:rPr>
              <w:t>1870.3</w:t>
            </w:r>
          </w:p>
        </w:tc>
        <w:tc>
          <w:tcPr>
            <w:tcW w:w="2339" w:type="dxa"/>
            <w:tcBorders>
              <w:top w:val="nil"/>
              <w:left w:val="nil"/>
              <w:bottom w:val="single" w:sz="8" w:space="0" w:color="auto"/>
              <w:right w:val="single" w:sz="8" w:space="0" w:color="auto"/>
            </w:tcBorders>
            <w:shd w:val="clear" w:color="auto" w:fill="auto"/>
            <w:noWrap/>
            <w:vAlign w:val="center"/>
            <w:hideMark/>
          </w:tcPr>
          <w:p w14:paraId="1EC35CF6" w14:textId="77777777" w:rsidR="00E25355" w:rsidRPr="00975F8D" w:rsidRDefault="00E25355" w:rsidP="0017768A">
            <w:pPr>
              <w:keepNext/>
              <w:jc w:val="center"/>
              <w:rPr>
                <w:rFonts w:cs="Arial"/>
                <w:color w:val="auto"/>
                <w:sz w:val="20"/>
                <w:szCs w:val="20"/>
              </w:rPr>
            </w:pPr>
            <w:r w:rsidRPr="00975F8D">
              <w:rPr>
                <w:rFonts w:cs="Arial"/>
                <w:color w:val="auto"/>
                <w:sz w:val="20"/>
                <w:szCs w:val="20"/>
              </w:rPr>
              <w:t>2156.8</w:t>
            </w:r>
          </w:p>
        </w:tc>
        <w:tc>
          <w:tcPr>
            <w:tcW w:w="2341" w:type="dxa"/>
            <w:tcBorders>
              <w:top w:val="nil"/>
              <w:left w:val="nil"/>
              <w:bottom w:val="single" w:sz="8" w:space="0" w:color="auto"/>
              <w:right w:val="single" w:sz="8" w:space="0" w:color="auto"/>
            </w:tcBorders>
            <w:shd w:val="clear" w:color="auto" w:fill="auto"/>
            <w:noWrap/>
            <w:vAlign w:val="center"/>
            <w:hideMark/>
          </w:tcPr>
          <w:p w14:paraId="47D21917" w14:textId="77777777" w:rsidR="00E25355" w:rsidRPr="00975F8D" w:rsidRDefault="00E25355" w:rsidP="0017768A">
            <w:pPr>
              <w:keepNext/>
              <w:jc w:val="center"/>
              <w:rPr>
                <w:rFonts w:cs="Arial"/>
                <w:color w:val="auto"/>
                <w:sz w:val="20"/>
                <w:szCs w:val="20"/>
              </w:rPr>
            </w:pPr>
            <w:r w:rsidRPr="00975F8D">
              <w:rPr>
                <w:rFonts w:cs="Arial"/>
                <w:color w:val="auto"/>
                <w:sz w:val="20"/>
                <w:szCs w:val="20"/>
              </w:rPr>
              <w:t>2014.4</w:t>
            </w:r>
          </w:p>
        </w:tc>
      </w:tr>
      <w:tr w:rsidR="00E25355" w:rsidRPr="00975F8D" w14:paraId="0A8B3393" w14:textId="77777777" w:rsidTr="00837E04">
        <w:trPr>
          <w:trHeight w:val="233"/>
        </w:trPr>
        <w:tc>
          <w:tcPr>
            <w:tcW w:w="2339" w:type="dxa"/>
            <w:tcBorders>
              <w:top w:val="nil"/>
              <w:left w:val="single" w:sz="8" w:space="0" w:color="auto"/>
              <w:bottom w:val="single" w:sz="8" w:space="0" w:color="auto"/>
              <w:right w:val="single" w:sz="8" w:space="0" w:color="auto"/>
            </w:tcBorders>
            <w:shd w:val="clear" w:color="auto" w:fill="auto"/>
            <w:noWrap/>
            <w:vAlign w:val="center"/>
            <w:hideMark/>
          </w:tcPr>
          <w:p w14:paraId="04397B40" w14:textId="77777777" w:rsidR="00E25355" w:rsidRPr="00975F8D" w:rsidRDefault="00E25355" w:rsidP="0017768A">
            <w:pPr>
              <w:keepNext/>
              <w:rPr>
                <w:rFonts w:cs="Arial"/>
                <w:color w:val="auto"/>
                <w:sz w:val="20"/>
                <w:szCs w:val="20"/>
              </w:rPr>
            </w:pPr>
            <w:r w:rsidRPr="00975F8D">
              <w:rPr>
                <w:rFonts w:cs="Arial"/>
                <w:color w:val="auto"/>
                <w:sz w:val="20"/>
                <w:szCs w:val="20"/>
              </w:rPr>
              <w:t>April 23</w:t>
            </w:r>
          </w:p>
        </w:tc>
        <w:tc>
          <w:tcPr>
            <w:tcW w:w="2341" w:type="dxa"/>
            <w:tcBorders>
              <w:top w:val="nil"/>
              <w:left w:val="nil"/>
              <w:bottom w:val="single" w:sz="8" w:space="0" w:color="auto"/>
              <w:right w:val="single" w:sz="8" w:space="0" w:color="auto"/>
            </w:tcBorders>
            <w:shd w:val="clear" w:color="auto" w:fill="auto"/>
            <w:noWrap/>
            <w:vAlign w:val="center"/>
            <w:hideMark/>
          </w:tcPr>
          <w:p w14:paraId="2C3A0843" w14:textId="77777777" w:rsidR="00E25355" w:rsidRPr="00975F8D" w:rsidRDefault="00E25355" w:rsidP="0017768A">
            <w:pPr>
              <w:keepNext/>
              <w:jc w:val="center"/>
              <w:rPr>
                <w:rFonts w:cs="Arial"/>
                <w:color w:val="auto"/>
                <w:sz w:val="20"/>
                <w:szCs w:val="20"/>
              </w:rPr>
            </w:pPr>
            <w:r w:rsidRPr="00975F8D">
              <w:rPr>
                <w:rFonts w:cs="Arial"/>
                <w:color w:val="auto"/>
                <w:sz w:val="20"/>
                <w:szCs w:val="20"/>
              </w:rPr>
              <w:t>1649.6</w:t>
            </w:r>
          </w:p>
        </w:tc>
        <w:tc>
          <w:tcPr>
            <w:tcW w:w="2339" w:type="dxa"/>
            <w:tcBorders>
              <w:top w:val="nil"/>
              <w:left w:val="nil"/>
              <w:bottom w:val="single" w:sz="8" w:space="0" w:color="auto"/>
              <w:right w:val="single" w:sz="8" w:space="0" w:color="auto"/>
            </w:tcBorders>
            <w:shd w:val="clear" w:color="auto" w:fill="auto"/>
            <w:noWrap/>
            <w:vAlign w:val="center"/>
            <w:hideMark/>
          </w:tcPr>
          <w:p w14:paraId="495BCD27" w14:textId="77777777" w:rsidR="00E25355" w:rsidRPr="00975F8D" w:rsidRDefault="00E25355" w:rsidP="0017768A">
            <w:pPr>
              <w:keepNext/>
              <w:jc w:val="center"/>
              <w:rPr>
                <w:rFonts w:cs="Arial"/>
                <w:color w:val="auto"/>
                <w:sz w:val="20"/>
                <w:szCs w:val="20"/>
              </w:rPr>
            </w:pPr>
            <w:r w:rsidRPr="00975F8D">
              <w:rPr>
                <w:rFonts w:cs="Arial"/>
                <w:color w:val="auto"/>
                <w:sz w:val="20"/>
                <w:szCs w:val="20"/>
              </w:rPr>
              <w:t>1995.7</w:t>
            </w:r>
          </w:p>
        </w:tc>
        <w:tc>
          <w:tcPr>
            <w:tcW w:w="2341" w:type="dxa"/>
            <w:tcBorders>
              <w:top w:val="nil"/>
              <w:left w:val="nil"/>
              <w:bottom w:val="single" w:sz="8" w:space="0" w:color="auto"/>
              <w:right w:val="single" w:sz="8" w:space="0" w:color="auto"/>
            </w:tcBorders>
            <w:shd w:val="clear" w:color="auto" w:fill="auto"/>
            <w:noWrap/>
            <w:vAlign w:val="center"/>
            <w:hideMark/>
          </w:tcPr>
          <w:p w14:paraId="61DA30B3" w14:textId="77777777" w:rsidR="00E25355" w:rsidRPr="00975F8D" w:rsidRDefault="00E25355" w:rsidP="0017768A">
            <w:pPr>
              <w:keepNext/>
              <w:jc w:val="center"/>
              <w:rPr>
                <w:rFonts w:cs="Arial"/>
                <w:color w:val="auto"/>
                <w:sz w:val="20"/>
                <w:szCs w:val="20"/>
              </w:rPr>
            </w:pPr>
            <w:r w:rsidRPr="00975F8D">
              <w:rPr>
                <w:rFonts w:cs="Arial"/>
                <w:color w:val="auto"/>
                <w:sz w:val="20"/>
                <w:szCs w:val="20"/>
              </w:rPr>
              <w:t>1798.9</w:t>
            </w:r>
          </w:p>
        </w:tc>
      </w:tr>
      <w:tr w:rsidR="00E25355" w:rsidRPr="00975F8D" w14:paraId="7745E72D" w14:textId="77777777" w:rsidTr="00837E04">
        <w:trPr>
          <w:trHeight w:val="233"/>
        </w:trPr>
        <w:tc>
          <w:tcPr>
            <w:tcW w:w="2339" w:type="dxa"/>
            <w:tcBorders>
              <w:top w:val="nil"/>
              <w:left w:val="single" w:sz="8" w:space="0" w:color="auto"/>
              <w:bottom w:val="single" w:sz="8" w:space="0" w:color="auto"/>
              <w:right w:val="single" w:sz="8" w:space="0" w:color="auto"/>
            </w:tcBorders>
            <w:shd w:val="clear" w:color="auto" w:fill="auto"/>
            <w:noWrap/>
            <w:vAlign w:val="center"/>
            <w:hideMark/>
          </w:tcPr>
          <w:p w14:paraId="19463B23" w14:textId="77777777" w:rsidR="00E25355" w:rsidRPr="00975F8D" w:rsidRDefault="00E25355" w:rsidP="0017768A">
            <w:pPr>
              <w:keepNext/>
              <w:rPr>
                <w:rFonts w:cs="Arial"/>
                <w:color w:val="auto"/>
                <w:sz w:val="20"/>
                <w:szCs w:val="20"/>
              </w:rPr>
            </w:pPr>
            <w:r w:rsidRPr="00975F8D">
              <w:rPr>
                <w:rFonts w:cs="Arial"/>
                <w:color w:val="auto"/>
                <w:sz w:val="20"/>
                <w:szCs w:val="20"/>
              </w:rPr>
              <w:t>May 23</w:t>
            </w:r>
          </w:p>
        </w:tc>
        <w:tc>
          <w:tcPr>
            <w:tcW w:w="2341" w:type="dxa"/>
            <w:tcBorders>
              <w:top w:val="nil"/>
              <w:left w:val="nil"/>
              <w:bottom w:val="single" w:sz="8" w:space="0" w:color="auto"/>
              <w:right w:val="single" w:sz="8" w:space="0" w:color="auto"/>
            </w:tcBorders>
            <w:shd w:val="clear" w:color="auto" w:fill="auto"/>
            <w:noWrap/>
            <w:vAlign w:val="center"/>
            <w:hideMark/>
          </w:tcPr>
          <w:p w14:paraId="3657720D" w14:textId="77777777" w:rsidR="00E25355" w:rsidRPr="00975F8D" w:rsidRDefault="00E25355" w:rsidP="0017768A">
            <w:pPr>
              <w:keepNext/>
              <w:jc w:val="center"/>
              <w:rPr>
                <w:rFonts w:cs="Arial"/>
                <w:color w:val="auto"/>
                <w:sz w:val="20"/>
                <w:szCs w:val="20"/>
              </w:rPr>
            </w:pPr>
            <w:r w:rsidRPr="00975F8D">
              <w:rPr>
                <w:rFonts w:cs="Arial"/>
                <w:color w:val="auto"/>
                <w:sz w:val="20"/>
                <w:szCs w:val="20"/>
              </w:rPr>
              <w:t>1405.7</w:t>
            </w:r>
          </w:p>
        </w:tc>
        <w:tc>
          <w:tcPr>
            <w:tcW w:w="2339" w:type="dxa"/>
            <w:tcBorders>
              <w:top w:val="nil"/>
              <w:left w:val="nil"/>
              <w:bottom w:val="single" w:sz="8" w:space="0" w:color="auto"/>
              <w:right w:val="single" w:sz="8" w:space="0" w:color="auto"/>
            </w:tcBorders>
            <w:shd w:val="clear" w:color="auto" w:fill="auto"/>
            <w:noWrap/>
            <w:vAlign w:val="center"/>
            <w:hideMark/>
          </w:tcPr>
          <w:p w14:paraId="53BF2960" w14:textId="77777777" w:rsidR="00E25355" w:rsidRPr="00975F8D" w:rsidRDefault="00E25355" w:rsidP="0017768A">
            <w:pPr>
              <w:keepNext/>
              <w:jc w:val="center"/>
              <w:rPr>
                <w:rFonts w:cs="Arial"/>
                <w:color w:val="auto"/>
                <w:sz w:val="20"/>
                <w:szCs w:val="20"/>
              </w:rPr>
            </w:pPr>
            <w:r w:rsidRPr="00975F8D">
              <w:rPr>
                <w:rFonts w:cs="Arial"/>
                <w:color w:val="auto"/>
                <w:sz w:val="20"/>
                <w:szCs w:val="20"/>
              </w:rPr>
              <w:t>1901</w:t>
            </w:r>
          </w:p>
        </w:tc>
        <w:tc>
          <w:tcPr>
            <w:tcW w:w="2341" w:type="dxa"/>
            <w:tcBorders>
              <w:top w:val="nil"/>
              <w:left w:val="nil"/>
              <w:bottom w:val="single" w:sz="8" w:space="0" w:color="auto"/>
              <w:right w:val="single" w:sz="8" w:space="0" w:color="auto"/>
            </w:tcBorders>
            <w:shd w:val="clear" w:color="auto" w:fill="auto"/>
            <w:noWrap/>
            <w:vAlign w:val="center"/>
            <w:hideMark/>
          </w:tcPr>
          <w:p w14:paraId="67A31ABE" w14:textId="77777777" w:rsidR="00E25355" w:rsidRPr="00975F8D" w:rsidRDefault="00E25355" w:rsidP="0017768A">
            <w:pPr>
              <w:keepNext/>
              <w:jc w:val="center"/>
              <w:rPr>
                <w:rFonts w:cs="Arial"/>
                <w:color w:val="auto"/>
                <w:sz w:val="20"/>
                <w:szCs w:val="20"/>
              </w:rPr>
            </w:pPr>
            <w:r w:rsidRPr="00975F8D">
              <w:rPr>
                <w:rFonts w:cs="Arial"/>
                <w:color w:val="auto"/>
                <w:sz w:val="20"/>
                <w:szCs w:val="20"/>
              </w:rPr>
              <w:t>1628.0</w:t>
            </w:r>
          </w:p>
        </w:tc>
      </w:tr>
      <w:tr w:rsidR="00E25355" w:rsidRPr="00975F8D" w14:paraId="77B4F47E" w14:textId="77777777" w:rsidTr="00837E04">
        <w:trPr>
          <w:trHeight w:val="233"/>
        </w:trPr>
        <w:tc>
          <w:tcPr>
            <w:tcW w:w="2339" w:type="dxa"/>
            <w:tcBorders>
              <w:top w:val="nil"/>
              <w:left w:val="single" w:sz="8" w:space="0" w:color="auto"/>
              <w:bottom w:val="single" w:sz="8" w:space="0" w:color="auto"/>
              <w:right w:val="single" w:sz="8" w:space="0" w:color="auto"/>
            </w:tcBorders>
            <w:shd w:val="clear" w:color="auto" w:fill="auto"/>
            <w:noWrap/>
            <w:vAlign w:val="center"/>
            <w:hideMark/>
          </w:tcPr>
          <w:p w14:paraId="4FC2A8BA" w14:textId="77777777" w:rsidR="00E25355" w:rsidRPr="00975F8D" w:rsidRDefault="00E25355" w:rsidP="0017768A">
            <w:pPr>
              <w:keepNext/>
              <w:rPr>
                <w:rFonts w:cs="Arial"/>
                <w:color w:val="auto"/>
                <w:sz w:val="20"/>
                <w:szCs w:val="20"/>
              </w:rPr>
            </w:pPr>
            <w:r w:rsidRPr="00975F8D">
              <w:rPr>
                <w:rFonts w:cs="Arial"/>
                <w:color w:val="auto"/>
                <w:sz w:val="20"/>
                <w:szCs w:val="20"/>
              </w:rPr>
              <w:t>June 23</w:t>
            </w:r>
          </w:p>
        </w:tc>
        <w:tc>
          <w:tcPr>
            <w:tcW w:w="2341" w:type="dxa"/>
            <w:tcBorders>
              <w:top w:val="nil"/>
              <w:left w:val="nil"/>
              <w:bottom w:val="single" w:sz="8" w:space="0" w:color="auto"/>
              <w:right w:val="single" w:sz="8" w:space="0" w:color="auto"/>
            </w:tcBorders>
            <w:shd w:val="clear" w:color="auto" w:fill="auto"/>
            <w:noWrap/>
            <w:vAlign w:val="center"/>
            <w:hideMark/>
          </w:tcPr>
          <w:p w14:paraId="79CFB950" w14:textId="77777777" w:rsidR="00E25355" w:rsidRPr="00975F8D" w:rsidRDefault="00E25355" w:rsidP="0017768A">
            <w:pPr>
              <w:keepNext/>
              <w:jc w:val="center"/>
              <w:rPr>
                <w:rFonts w:cs="Arial"/>
                <w:color w:val="auto"/>
                <w:sz w:val="20"/>
                <w:szCs w:val="20"/>
              </w:rPr>
            </w:pPr>
            <w:r w:rsidRPr="00975F8D">
              <w:rPr>
                <w:rFonts w:cs="Arial"/>
                <w:color w:val="auto"/>
                <w:sz w:val="20"/>
                <w:szCs w:val="20"/>
              </w:rPr>
              <w:t>1063.7</w:t>
            </w:r>
          </w:p>
        </w:tc>
        <w:tc>
          <w:tcPr>
            <w:tcW w:w="2339" w:type="dxa"/>
            <w:tcBorders>
              <w:top w:val="nil"/>
              <w:left w:val="nil"/>
              <w:bottom w:val="single" w:sz="8" w:space="0" w:color="auto"/>
              <w:right w:val="single" w:sz="8" w:space="0" w:color="auto"/>
            </w:tcBorders>
            <w:shd w:val="clear" w:color="auto" w:fill="auto"/>
            <w:noWrap/>
            <w:vAlign w:val="center"/>
            <w:hideMark/>
          </w:tcPr>
          <w:p w14:paraId="310538C9" w14:textId="77777777" w:rsidR="00E25355" w:rsidRPr="00975F8D" w:rsidRDefault="00E25355" w:rsidP="0017768A">
            <w:pPr>
              <w:keepNext/>
              <w:jc w:val="center"/>
              <w:rPr>
                <w:rFonts w:cs="Arial"/>
                <w:color w:val="auto"/>
                <w:sz w:val="20"/>
                <w:szCs w:val="20"/>
              </w:rPr>
            </w:pPr>
            <w:r w:rsidRPr="00975F8D">
              <w:rPr>
                <w:rFonts w:cs="Arial"/>
                <w:color w:val="auto"/>
                <w:sz w:val="20"/>
                <w:szCs w:val="20"/>
              </w:rPr>
              <w:t>1652.1</w:t>
            </w:r>
          </w:p>
        </w:tc>
        <w:tc>
          <w:tcPr>
            <w:tcW w:w="2341" w:type="dxa"/>
            <w:tcBorders>
              <w:top w:val="nil"/>
              <w:left w:val="nil"/>
              <w:bottom w:val="single" w:sz="8" w:space="0" w:color="auto"/>
              <w:right w:val="single" w:sz="8" w:space="0" w:color="auto"/>
            </w:tcBorders>
            <w:shd w:val="clear" w:color="auto" w:fill="auto"/>
            <w:noWrap/>
            <w:vAlign w:val="center"/>
            <w:hideMark/>
          </w:tcPr>
          <w:p w14:paraId="30604146" w14:textId="77777777" w:rsidR="00E25355" w:rsidRPr="00975F8D" w:rsidRDefault="00E25355" w:rsidP="0017768A">
            <w:pPr>
              <w:keepNext/>
              <w:jc w:val="center"/>
              <w:rPr>
                <w:rFonts w:cs="Arial"/>
                <w:color w:val="auto"/>
                <w:sz w:val="20"/>
                <w:szCs w:val="20"/>
              </w:rPr>
            </w:pPr>
            <w:r w:rsidRPr="00975F8D">
              <w:rPr>
                <w:rFonts w:cs="Arial"/>
                <w:color w:val="auto"/>
                <w:sz w:val="20"/>
                <w:szCs w:val="20"/>
              </w:rPr>
              <w:t>1436.1</w:t>
            </w:r>
          </w:p>
        </w:tc>
      </w:tr>
      <w:tr w:rsidR="00E25355" w:rsidRPr="00975F8D" w14:paraId="69F047B2" w14:textId="77777777" w:rsidTr="00837E04">
        <w:trPr>
          <w:trHeight w:val="233"/>
        </w:trPr>
        <w:tc>
          <w:tcPr>
            <w:tcW w:w="2339" w:type="dxa"/>
            <w:tcBorders>
              <w:top w:val="nil"/>
              <w:left w:val="single" w:sz="8" w:space="0" w:color="auto"/>
              <w:bottom w:val="single" w:sz="8" w:space="0" w:color="auto"/>
              <w:right w:val="single" w:sz="8" w:space="0" w:color="auto"/>
            </w:tcBorders>
            <w:shd w:val="clear" w:color="auto" w:fill="auto"/>
            <w:noWrap/>
            <w:vAlign w:val="center"/>
            <w:hideMark/>
          </w:tcPr>
          <w:p w14:paraId="74146C59" w14:textId="77777777" w:rsidR="00E25355" w:rsidRPr="00975F8D" w:rsidRDefault="00E25355" w:rsidP="0017768A">
            <w:pPr>
              <w:keepNext/>
              <w:rPr>
                <w:rFonts w:cs="Arial"/>
                <w:color w:val="auto"/>
                <w:sz w:val="20"/>
                <w:szCs w:val="20"/>
              </w:rPr>
            </w:pPr>
            <w:r w:rsidRPr="00975F8D">
              <w:rPr>
                <w:rFonts w:cs="Arial"/>
                <w:color w:val="auto"/>
                <w:sz w:val="20"/>
                <w:szCs w:val="20"/>
              </w:rPr>
              <w:t>July 23</w:t>
            </w:r>
          </w:p>
        </w:tc>
        <w:tc>
          <w:tcPr>
            <w:tcW w:w="2341" w:type="dxa"/>
            <w:tcBorders>
              <w:top w:val="nil"/>
              <w:left w:val="nil"/>
              <w:bottom w:val="single" w:sz="8" w:space="0" w:color="auto"/>
              <w:right w:val="single" w:sz="8" w:space="0" w:color="auto"/>
            </w:tcBorders>
            <w:shd w:val="clear" w:color="auto" w:fill="auto"/>
            <w:noWrap/>
            <w:vAlign w:val="center"/>
            <w:hideMark/>
          </w:tcPr>
          <w:p w14:paraId="4E8D85CC" w14:textId="77777777" w:rsidR="00E25355" w:rsidRPr="00975F8D" w:rsidRDefault="00E25355" w:rsidP="0017768A">
            <w:pPr>
              <w:keepNext/>
              <w:jc w:val="center"/>
              <w:rPr>
                <w:rFonts w:cs="Arial"/>
                <w:color w:val="auto"/>
                <w:sz w:val="20"/>
                <w:szCs w:val="20"/>
              </w:rPr>
            </w:pPr>
            <w:r w:rsidRPr="00975F8D">
              <w:rPr>
                <w:rFonts w:cs="Arial"/>
                <w:color w:val="auto"/>
                <w:sz w:val="20"/>
                <w:szCs w:val="20"/>
              </w:rPr>
              <w:t>1017.4</w:t>
            </w:r>
          </w:p>
        </w:tc>
        <w:tc>
          <w:tcPr>
            <w:tcW w:w="2339" w:type="dxa"/>
            <w:tcBorders>
              <w:top w:val="nil"/>
              <w:left w:val="nil"/>
              <w:bottom w:val="single" w:sz="8" w:space="0" w:color="auto"/>
              <w:right w:val="single" w:sz="8" w:space="0" w:color="auto"/>
            </w:tcBorders>
            <w:shd w:val="clear" w:color="auto" w:fill="auto"/>
            <w:noWrap/>
            <w:vAlign w:val="center"/>
            <w:hideMark/>
          </w:tcPr>
          <w:p w14:paraId="2652B981" w14:textId="77777777" w:rsidR="00E25355" w:rsidRPr="00975F8D" w:rsidRDefault="00E25355" w:rsidP="0017768A">
            <w:pPr>
              <w:keepNext/>
              <w:jc w:val="center"/>
              <w:rPr>
                <w:rFonts w:cs="Arial"/>
                <w:color w:val="auto"/>
                <w:sz w:val="20"/>
                <w:szCs w:val="20"/>
              </w:rPr>
            </w:pPr>
            <w:r w:rsidRPr="00975F8D">
              <w:rPr>
                <w:rFonts w:cs="Arial"/>
                <w:color w:val="auto"/>
                <w:sz w:val="20"/>
                <w:szCs w:val="20"/>
              </w:rPr>
              <w:t>1613.1</w:t>
            </w:r>
          </w:p>
        </w:tc>
        <w:tc>
          <w:tcPr>
            <w:tcW w:w="2341" w:type="dxa"/>
            <w:tcBorders>
              <w:top w:val="nil"/>
              <w:left w:val="nil"/>
              <w:bottom w:val="single" w:sz="8" w:space="0" w:color="auto"/>
              <w:right w:val="single" w:sz="8" w:space="0" w:color="auto"/>
            </w:tcBorders>
            <w:shd w:val="clear" w:color="auto" w:fill="auto"/>
            <w:noWrap/>
            <w:vAlign w:val="center"/>
            <w:hideMark/>
          </w:tcPr>
          <w:p w14:paraId="4EA34DE6" w14:textId="77777777" w:rsidR="00E25355" w:rsidRPr="00975F8D" w:rsidRDefault="00E25355" w:rsidP="0017768A">
            <w:pPr>
              <w:keepNext/>
              <w:jc w:val="center"/>
              <w:rPr>
                <w:rFonts w:cs="Arial"/>
                <w:color w:val="auto"/>
                <w:sz w:val="20"/>
                <w:szCs w:val="20"/>
              </w:rPr>
            </w:pPr>
            <w:r w:rsidRPr="00975F8D">
              <w:rPr>
                <w:rFonts w:cs="Arial"/>
                <w:color w:val="auto"/>
                <w:sz w:val="20"/>
                <w:szCs w:val="20"/>
              </w:rPr>
              <w:t>1350.8</w:t>
            </w:r>
          </w:p>
        </w:tc>
      </w:tr>
      <w:tr w:rsidR="00E25355" w:rsidRPr="00975F8D" w14:paraId="6EB797E0" w14:textId="77777777" w:rsidTr="00837E04">
        <w:trPr>
          <w:trHeight w:val="233"/>
        </w:trPr>
        <w:tc>
          <w:tcPr>
            <w:tcW w:w="2339" w:type="dxa"/>
            <w:tcBorders>
              <w:top w:val="nil"/>
              <w:left w:val="single" w:sz="8" w:space="0" w:color="auto"/>
              <w:bottom w:val="single" w:sz="8" w:space="0" w:color="auto"/>
              <w:right w:val="single" w:sz="8" w:space="0" w:color="auto"/>
            </w:tcBorders>
            <w:shd w:val="clear" w:color="auto" w:fill="auto"/>
            <w:noWrap/>
            <w:vAlign w:val="center"/>
            <w:hideMark/>
          </w:tcPr>
          <w:p w14:paraId="41FB5B05" w14:textId="77777777" w:rsidR="00E25355" w:rsidRPr="00975F8D" w:rsidRDefault="00E25355" w:rsidP="0017768A">
            <w:pPr>
              <w:keepNext/>
              <w:rPr>
                <w:rFonts w:cs="Arial"/>
                <w:color w:val="auto"/>
                <w:sz w:val="20"/>
                <w:szCs w:val="20"/>
              </w:rPr>
            </w:pPr>
            <w:r w:rsidRPr="00975F8D">
              <w:rPr>
                <w:rFonts w:cs="Arial"/>
                <w:color w:val="auto"/>
                <w:sz w:val="20"/>
                <w:szCs w:val="20"/>
              </w:rPr>
              <w:t>August 23</w:t>
            </w:r>
          </w:p>
        </w:tc>
        <w:tc>
          <w:tcPr>
            <w:tcW w:w="2341" w:type="dxa"/>
            <w:tcBorders>
              <w:top w:val="nil"/>
              <w:left w:val="nil"/>
              <w:bottom w:val="single" w:sz="8" w:space="0" w:color="auto"/>
              <w:right w:val="single" w:sz="8" w:space="0" w:color="auto"/>
            </w:tcBorders>
            <w:shd w:val="clear" w:color="auto" w:fill="auto"/>
            <w:noWrap/>
            <w:vAlign w:val="center"/>
            <w:hideMark/>
          </w:tcPr>
          <w:p w14:paraId="62DFA31C" w14:textId="77777777" w:rsidR="00E25355" w:rsidRPr="00975F8D" w:rsidRDefault="00E25355" w:rsidP="0017768A">
            <w:pPr>
              <w:keepNext/>
              <w:jc w:val="center"/>
              <w:rPr>
                <w:rFonts w:cs="Arial"/>
                <w:color w:val="auto"/>
                <w:sz w:val="20"/>
                <w:szCs w:val="20"/>
              </w:rPr>
            </w:pPr>
            <w:r w:rsidRPr="00975F8D">
              <w:rPr>
                <w:rFonts w:cs="Arial"/>
                <w:color w:val="auto"/>
                <w:sz w:val="20"/>
                <w:szCs w:val="20"/>
              </w:rPr>
              <w:t>908</w:t>
            </w:r>
          </w:p>
        </w:tc>
        <w:tc>
          <w:tcPr>
            <w:tcW w:w="2339" w:type="dxa"/>
            <w:tcBorders>
              <w:top w:val="nil"/>
              <w:left w:val="nil"/>
              <w:bottom w:val="single" w:sz="8" w:space="0" w:color="auto"/>
              <w:right w:val="single" w:sz="8" w:space="0" w:color="auto"/>
            </w:tcBorders>
            <w:shd w:val="clear" w:color="auto" w:fill="auto"/>
            <w:noWrap/>
            <w:vAlign w:val="center"/>
            <w:hideMark/>
          </w:tcPr>
          <w:p w14:paraId="38815046" w14:textId="77777777" w:rsidR="00E25355" w:rsidRPr="00975F8D" w:rsidRDefault="00E25355" w:rsidP="0017768A">
            <w:pPr>
              <w:keepNext/>
              <w:jc w:val="center"/>
              <w:rPr>
                <w:rFonts w:cs="Arial"/>
                <w:color w:val="auto"/>
                <w:sz w:val="20"/>
                <w:szCs w:val="20"/>
              </w:rPr>
            </w:pPr>
            <w:r w:rsidRPr="00975F8D">
              <w:rPr>
                <w:rFonts w:cs="Arial"/>
                <w:color w:val="auto"/>
                <w:sz w:val="20"/>
                <w:szCs w:val="20"/>
              </w:rPr>
              <w:t>1672.8</w:t>
            </w:r>
          </w:p>
        </w:tc>
        <w:tc>
          <w:tcPr>
            <w:tcW w:w="2341" w:type="dxa"/>
            <w:tcBorders>
              <w:top w:val="nil"/>
              <w:left w:val="nil"/>
              <w:bottom w:val="single" w:sz="8" w:space="0" w:color="auto"/>
              <w:right w:val="single" w:sz="8" w:space="0" w:color="auto"/>
            </w:tcBorders>
            <w:shd w:val="clear" w:color="auto" w:fill="auto"/>
            <w:noWrap/>
            <w:vAlign w:val="center"/>
            <w:hideMark/>
          </w:tcPr>
          <w:p w14:paraId="53F164DF" w14:textId="77777777" w:rsidR="00E25355" w:rsidRPr="00975F8D" w:rsidRDefault="00E25355" w:rsidP="0017768A">
            <w:pPr>
              <w:keepNext/>
              <w:jc w:val="center"/>
              <w:rPr>
                <w:rFonts w:cs="Arial"/>
                <w:color w:val="auto"/>
                <w:sz w:val="20"/>
                <w:szCs w:val="20"/>
              </w:rPr>
            </w:pPr>
            <w:r w:rsidRPr="00975F8D">
              <w:rPr>
                <w:rFonts w:cs="Arial"/>
                <w:color w:val="auto"/>
                <w:sz w:val="20"/>
                <w:szCs w:val="20"/>
              </w:rPr>
              <w:t>1323.1</w:t>
            </w:r>
          </w:p>
        </w:tc>
      </w:tr>
      <w:tr w:rsidR="00E25355" w:rsidRPr="00975F8D" w14:paraId="45DB903F" w14:textId="77777777" w:rsidTr="00837E04">
        <w:trPr>
          <w:trHeight w:val="233"/>
        </w:trPr>
        <w:tc>
          <w:tcPr>
            <w:tcW w:w="2339" w:type="dxa"/>
            <w:tcBorders>
              <w:top w:val="nil"/>
              <w:left w:val="single" w:sz="8" w:space="0" w:color="auto"/>
              <w:bottom w:val="single" w:sz="8" w:space="0" w:color="auto"/>
              <w:right w:val="single" w:sz="8" w:space="0" w:color="auto"/>
            </w:tcBorders>
            <w:shd w:val="clear" w:color="auto" w:fill="auto"/>
            <w:noWrap/>
            <w:vAlign w:val="center"/>
            <w:hideMark/>
          </w:tcPr>
          <w:p w14:paraId="144A568D" w14:textId="77777777" w:rsidR="00E25355" w:rsidRPr="00975F8D" w:rsidRDefault="00E25355" w:rsidP="0017768A">
            <w:pPr>
              <w:keepNext/>
              <w:rPr>
                <w:rFonts w:cs="Arial"/>
                <w:color w:val="auto"/>
                <w:sz w:val="20"/>
                <w:szCs w:val="20"/>
              </w:rPr>
            </w:pPr>
            <w:r w:rsidRPr="00975F8D">
              <w:rPr>
                <w:rFonts w:cs="Arial"/>
                <w:color w:val="auto"/>
                <w:sz w:val="20"/>
                <w:szCs w:val="20"/>
              </w:rPr>
              <w:t>September 23</w:t>
            </w:r>
          </w:p>
        </w:tc>
        <w:tc>
          <w:tcPr>
            <w:tcW w:w="2341" w:type="dxa"/>
            <w:tcBorders>
              <w:top w:val="nil"/>
              <w:left w:val="nil"/>
              <w:bottom w:val="single" w:sz="8" w:space="0" w:color="auto"/>
              <w:right w:val="single" w:sz="8" w:space="0" w:color="auto"/>
            </w:tcBorders>
            <w:shd w:val="clear" w:color="auto" w:fill="auto"/>
            <w:noWrap/>
            <w:vAlign w:val="center"/>
            <w:hideMark/>
          </w:tcPr>
          <w:p w14:paraId="02E7218A" w14:textId="77777777" w:rsidR="00E25355" w:rsidRPr="00975F8D" w:rsidRDefault="00E25355" w:rsidP="0017768A">
            <w:pPr>
              <w:keepNext/>
              <w:jc w:val="center"/>
              <w:rPr>
                <w:rFonts w:cs="Arial"/>
                <w:color w:val="auto"/>
                <w:sz w:val="20"/>
                <w:szCs w:val="20"/>
              </w:rPr>
            </w:pPr>
            <w:r w:rsidRPr="00975F8D">
              <w:rPr>
                <w:rFonts w:cs="Arial"/>
                <w:color w:val="auto"/>
                <w:sz w:val="20"/>
                <w:szCs w:val="20"/>
              </w:rPr>
              <w:t>1002.1</w:t>
            </w:r>
          </w:p>
        </w:tc>
        <w:tc>
          <w:tcPr>
            <w:tcW w:w="2339" w:type="dxa"/>
            <w:tcBorders>
              <w:top w:val="nil"/>
              <w:left w:val="nil"/>
              <w:bottom w:val="single" w:sz="8" w:space="0" w:color="auto"/>
              <w:right w:val="single" w:sz="8" w:space="0" w:color="auto"/>
            </w:tcBorders>
            <w:shd w:val="clear" w:color="auto" w:fill="auto"/>
            <w:noWrap/>
            <w:vAlign w:val="center"/>
            <w:hideMark/>
          </w:tcPr>
          <w:p w14:paraId="77FE5517" w14:textId="77777777" w:rsidR="00E25355" w:rsidRPr="00975F8D" w:rsidRDefault="00E25355" w:rsidP="0017768A">
            <w:pPr>
              <w:keepNext/>
              <w:jc w:val="center"/>
              <w:rPr>
                <w:rFonts w:cs="Arial"/>
                <w:color w:val="auto"/>
                <w:sz w:val="20"/>
                <w:szCs w:val="20"/>
              </w:rPr>
            </w:pPr>
            <w:r w:rsidRPr="00975F8D">
              <w:rPr>
                <w:rFonts w:cs="Arial"/>
                <w:color w:val="auto"/>
                <w:sz w:val="20"/>
                <w:szCs w:val="20"/>
              </w:rPr>
              <w:t>1625.7</w:t>
            </w:r>
          </w:p>
        </w:tc>
        <w:tc>
          <w:tcPr>
            <w:tcW w:w="2341" w:type="dxa"/>
            <w:tcBorders>
              <w:top w:val="nil"/>
              <w:left w:val="nil"/>
              <w:bottom w:val="single" w:sz="8" w:space="0" w:color="auto"/>
              <w:right w:val="single" w:sz="8" w:space="0" w:color="auto"/>
            </w:tcBorders>
            <w:shd w:val="clear" w:color="auto" w:fill="auto"/>
            <w:noWrap/>
            <w:vAlign w:val="center"/>
            <w:hideMark/>
          </w:tcPr>
          <w:p w14:paraId="731348C5" w14:textId="77777777" w:rsidR="00E25355" w:rsidRPr="00975F8D" w:rsidRDefault="00E25355" w:rsidP="0017768A">
            <w:pPr>
              <w:keepNext/>
              <w:jc w:val="center"/>
              <w:rPr>
                <w:rFonts w:cs="Arial"/>
                <w:color w:val="auto"/>
                <w:sz w:val="20"/>
                <w:szCs w:val="20"/>
              </w:rPr>
            </w:pPr>
            <w:r w:rsidRPr="00975F8D">
              <w:rPr>
                <w:rFonts w:cs="Arial"/>
                <w:color w:val="auto"/>
                <w:sz w:val="20"/>
                <w:szCs w:val="20"/>
              </w:rPr>
              <w:t>1414.2</w:t>
            </w:r>
          </w:p>
        </w:tc>
      </w:tr>
      <w:tr w:rsidR="00E25355" w:rsidRPr="00975F8D" w14:paraId="177C5E9E" w14:textId="77777777" w:rsidTr="00837E04">
        <w:trPr>
          <w:trHeight w:val="233"/>
        </w:trPr>
        <w:tc>
          <w:tcPr>
            <w:tcW w:w="2339" w:type="dxa"/>
            <w:tcBorders>
              <w:top w:val="nil"/>
              <w:left w:val="single" w:sz="8" w:space="0" w:color="auto"/>
              <w:bottom w:val="single" w:sz="8" w:space="0" w:color="auto"/>
              <w:right w:val="single" w:sz="8" w:space="0" w:color="auto"/>
            </w:tcBorders>
            <w:shd w:val="clear" w:color="auto" w:fill="auto"/>
            <w:noWrap/>
            <w:vAlign w:val="center"/>
            <w:hideMark/>
          </w:tcPr>
          <w:p w14:paraId="1339A345" w14:textId="77777777" w:rsidR="00E25355" w:rsidRPr="00975F8D" w:rsidRDefault="00E25355" w:rsidP="0017768A">
            <w:pPr>
              <w:keepNext/>
              <w:rPr>
                <w:rFonts w:cs="Arial"/>
                <w:color w:val="auto"/>
                <w:sz w:val="20"/>
                <w:szCs w:val="20"/>
              </w:rPr>
            </w:pPr>
            <w:r w:rsidRPr="00975F8D">
              <w:rPr>
                <w:rFonts w:cs="Arial"/>
                <w:color w:val="auto"/>
                <w:sz w:val="20"/>
                <w:szCs w:val="20"/>
              </w:rPr>
              <w:t>October 23</w:t>
            </w:r>
          </w:p>
        </w:tc>
        <w:tc>
          <w:tcPr>
            <w:tcW w:w="2341" w:type="dxa"/>
            <w:tcBorders>
              <w:top w:val="nil"/>
              <w:left w:val="nil"/>
              <w:bottom w:val="single" w:sz="8" w:space="0" w:color="auto"/>
              <w:right w:val="single" w:sz="8" w:space="0" w:color="auto"/>
            </w:tcBorders>
            <w:shd w:val="clear" w:color="auto" w:fill="auto"/>
            <w:noWrap/>
            <w:vAlign w:val="center"/>
            <w:hideMark/>
          </w:tcPr>
          <w:p w14:paraId="25395480" w14:textId="77777777" w:rsidR="00E25355" w:rsidRPr="00975F8D" w:rsidRDefault="00E25355" w:rsidP="0017768A">
            <w:pPr>
              <w:keepNext/>
              <w:jc w:val="center"/>
              <w:rPr>
                <w:rFonts w:cs="Arial"/>
                <w:color w:val="auto"/>
                <w:sz w:val="20"/>
                <w:szCs w:val="20"/>
              </w:rPr>
            </w:pPr>
            <w:r w:rsidRPr="00975F8D">
              <w:rPr>
                <w:rFonts w:cs="Arial"/>
                <w:color w:val="auto"/>
                <w:sz w:val="20"/>
                <w:szCs w:val="20"/>
              </w:rPr>
              <w:t>592.6</w:t>
            </w:r>
          </w:p>
        </w:tc>
        <w:tc>
          <w:tcPr>
            <w:tcW w:w="2339" w:type="dxa"/>
            <w:tcBorders>
              <w:top w:val="nil"/>
              <w:left w:val="nil"/>
              <w:bottom w:val="single" w:sz="8" w:space="0" w:color="auto"/>
              <w:right w:val="single" w:sz="8" w:space="0" w:color="auto"/>
            </w:tcBorders>
            <w:shd w:val="clear" w:color="auto" w:fill="auto"/>
            <w:noWrap/>
            <w:vAlign w:val="center"/>
            <w:hideMark/>
          </w:tcPr>
          <w:p w14:paraId="236B8273" w14:textId="77777777" w:rsidR="00E25355" w:rsidRPr="00975F8D" w:rsidRDefault="00E25355" w:rsidP="0017768A">
            <w:pPr>
              <w:keepNext/>
              <w:jc w:val="center"/>
              <w:rPr>
                <w:rFonts w:cs="Arial"/>
                <w:color w:val="auto"/>
                <w:sz w:val="20"/>
                <w:szCs w:val="20"/>
              </w:rPr>
            </w:pPr>
            <w:r w:rsidRPr="00975F8D">
              <w:rPr>
                <w:rFonts w:cs="Arial"/>
                <w:color w:val="auto"/>
                <w:sz w:val="20"/>
                <w:szCs w:val="20"/>
              </w:rPr>
              <w:t>1880</w:t>
            </w:r>
          </w:p>
        </w:tc>
        <w:tc>
          <w:tcPr>
            <w:tcW w:w="2341" w:type="dxa"/>
            <w:tcBorders>
              <w:top w:val="nil"/>
              <w:left w:val="nil"/>
              <w:bottom w:val="single" w:sz="8" w:space="0" w:color="auto"/>
              <w:right w:val="single" w:sz="8" w:space="0" w:color="auto"/>
            </w:tcBorders>
            <w:shd w:val="clear" w:color="auto" w:fill="auto"/>
            <w:noWrap/>
            <w:vAlign w:val="center"/>
            <w:hideMark/>
          </w:tcPr>
          <w:p w14:paraId="6E784859" w14:textId="77777777" w:rsidR="00E25355" w:rsidRPr="00975F8D" w:rsidRDefault="00E25355" w:rsidP="0017768A">
            <w:pPr>
              <w:keepNext/>
              <w:jc w:val="center"/>
              <w:rPr>
                <w:rFonts w:cs="Arial"/>
                <w:color w:val="auto"/>
                <w:sz w:val="20"/>
                <w:szCs w:val="20"/>
              </w:rPr>
            </w:pPr>
            <w:r w:rsidRPr="00975F8D">
              <w:rPr>
                <w:rFonts w:cs="Arial"/>
                <w:color w:val="auto"/>
                <w:sz w:val="20"/>
                <w:szCs w:val="20"/>
              </w:rPr>
              <w:t>1513.6</w:t>
            </w:r>
          </w:p>
        </w:tc>
      </w:tr>
      <w:tr w:rsidR="00E25355" w:rsidRPr="00975F8D" w14:paraId="5F1D370F" w14:textId="77777777" w:rsidTr="00837E04">
        <w:trPr>
          <w:trHeight w:val="233"/>
        </w:trPr>
        <w:tc>
          <w:tcPr>
            <w:tcW w:w="2339" w:type="dxa"/>
            <w:tcBorders>
              <w:top w:val="nil"/>
              <w:left w:val="single" w:sz="8" w:space="0" w:color="auto"/>
              <w:bottom w:val="single" w:sz="8" w:space="0" w:color="auto"/>
              <w:right w:val="single" w:sz="8" w:space="0" w:color="auto"/>
            </w:tcBorders>
            <w:shd w:val="clear" w:color="auto" w:fill="auto"/>
            <w:noWrap/>
            <w:vAlign w:val="center"/>
            <w:hideMark/>
          </w:tcPr>
          <w:p w14:paraId="1946969D" w14:textId="77777777" w:rsidR="00E25355" w:rsidRPr="00975F8D" w:rsidRDefault="00E25355" w:rsidP="0017768A">
            <w:pPr>
              <w:keepNext/>
              <w:rPr>
                <w:rFonts w:cs="Arial"/>
                <w:color w:val="auto"/>
                <w:sz w:val="20"/>
                <w:szCs w:val="20"/>
              </w:rPr>
            </w:pPr>
            <w:r w:rsidRPr="00975F8D">
              <w:rPr>
                <w:rFonts w:cs="Arial"/>
                <w:color w:val="auto"/>
                <w:sz w:val="20"/>
                <w:szCs w:val="20"/>
              </w:rPr>
              <w:t>November 23</w:t>
            </w:r>
          </w:p>
        </w:tc>
        <w:tc>
          <w:tcPr>
            <w:tcW w:w="2341" w:type="dxa"/>
            <w:tcBorders>
              <w:top w:val="nil"/>
              <w:left w:val="nil"/>
              <w:bottom w:val="single" w:sz="8" w:space="0" w:color="auto"/>
              <w:right w:val="single" w:sz="8" w:space="0" w:color="auto"/>
            </w:tcBorders>
            <w:shd w:val="clear" w:color="auto" w:fill="auto"/>
            <w:noWrap/>
            <w:vAlign w:val="center"/>
            <w:hideMark/>
          </w:tcPr>
          <w:p w14:paraId="440CB5E3" w14:textId="77777777" w:rsidR="00E25355" w:rsidRPr="00975F8D" w:rsidRDefault="00E25355" w:rsidP="0017768A">
            <w:pPr>
              <w:keepNext/>
              <w:jc w:val="center"/>
              <w:rPr>
                <w:rFonts w:cs="Arial"/>
                <w:color w:val="auto"/>
                <w:sz w:val="20"/>
                <w:szCs w:val="20"/>
              </w:rPr>
            </w:pPr>
            <w:r w:rsidRPr="00975F8D">
              <w:rPr>
                <w:rFonts w:cs="Arial"/>
                <w:color w:val="auto"/>
                <w:sz w:val="20"/>
                <w:szCs w:val="20"/>
              </w:rPr>
              <w:t>1341.9</w:t>
            </w:r>
          </w:p>
        </w:tc>
        <w:tc>
          <w:tcPr>
            <w:tcW w:w="2339" w:type="dxa"/>
            <w:tcBorders>
              <w:top w:val="nil"/>
              <w:left w:val="nil"/>
              <w:bottom w:val="single" w:sz="8" w:space="0" w:color="auto"/>
              <w:right w:val="single" w:sz="8" w:space="0" w:color="auto"/>
            </w:tcBorders>
            <w:shd w:val="clear" w:color="auto" w:fill="auto"/>
            <w:noWrap/>
            <w:vAlign w:val="center"/>
            <w:hideMark/>
          </w:tcPr>
          <w:p w14:paraId="36AAAFCA" w14:textId="77777777" w:rsidR="00E25355" w:rsidRPr="00975F8D" w:rsidRDefault="00E25355" w:rsidP="0017768A">
            <w:pPr>
              <w:keepNext/>
              <w:jc w:val="center"/>
              <w:rPr>
                <w:rFonts w:cs="Arial"/>
                <w:color w:val="auto"/>
                <w:sz w:val="20"/>
                <w:szCs w:val="20"/>
              </w:rPr>
            </w:pPr>
            <w:r w:rsidRPr="00975F8D">
              <w:rPr>
                <w:rFonts w:cs="Arial"/>
                <w:color w:val="auto"/>
                <w:sz w:val="20"/>
                <w:szCs w:val="20"/>
              </w:rPr>
              <w:t>1871</w:t>
            </w:r>
          </w:p>
        </w:tc>
        <w:tc>
          <w:tcPr>
            <w:tcW w:w="2341" w:type="dxa"/>
            <w:tcBorders>
              <w:top w:val="nil"/>
              <w:left w:val="nil"/>
              <w:bottom w:val="single" w:sz="8" w:space="0" w:color="auto"/>
              <w:right w:val="single" w:sz="8" w:space="0" w:color="auto"/>
            </w:tcBorders>
            <w:shd w:val="clear" w:color="auto" w:fill="auto"/>
            <w:noWrap/>
            <w:vAlign w:val="center"/>
            <w:hideMark/>
          </w:tcPr>
          <w:p w14:paraId="4D26A88E" w14:textId="77777777" w:rsidR="00E25355" w:rsidRPr="00975F8D" w:rsidRDefault="00E25355" w:rsidP="0017768A">
            <w:pPr>
              <w:keepNext/>
              <w:jc w:val="center"/>
              <w:rPr>
                <w:rFonts w:cs="Arial"/>
                <w:color w:val="auto"/>
                <w:sz w:val="20"/>
                <w:szCs w:val="20"/>
              </w:rPr>
            </w:pPr>
            <w:r w:rsidRPr="00975F8D">
              <w:rPr>
                <w:rFonts w:cs="Arial"/>
                <w:color w:val="auto"/>
                <w:sz w:val="20"/>
                <w:szCs w:val="20"/>
              </w:rPr>
              <w:t>1586.4</w:t>
            </w:r>
          </w:p>
        </w:tc>
      </w:tr>
    </w:tbl>
    <w:p w14:paraId="133437B6" w14:textId="1DC086CB" w:rsidR="00E25355" w:rsidRDefault="00E25355" w:rsidP="00837E04">
      <w:pPr>
        <w:spacing w:before="240"/>
        <w:jc w:val="both"/>
        <w:rPr>
          <w:rFonts w:cs="Arial"/>
          <w:color w:val="auto"/>
        </w:rPr>
      </w:pPr>
      <w:r w:rsidRPr="00646BA1">
        <w:rPr>
          <w:rFonts w:cs="Arial"/>
          <w:color w:val="auto"/>
        </w:rPr>
        <w:t xml:space="preserve">During the 12 months from December 2022 through November 2023, offers from NCLRs were awarded, on average, 74.8% of the offered capacity. Proration was greatest in July and August when awards averaged 53.3% and 59.7%, respectively. </w:t>
      </w:r>
    </w:p>
    <w:p w14:paraId="7DFFDCA7" w14:textId="77777777" w:rsidR="00586932" w:rsidRDefault="00586932" w:rsidP="00586932">
      <w:pPr>
        <w:jc w:val="both"/>
        <w:rPr>
          <w:rFonts w:cs="Arial"/>
          <w:color w:val="auto"/>
        </w:rPr>
      </w:pPr>
    </w:p>
    <w:p w14:paraId="5549F8CA" w14:textId="3EEE22A7" w:rsidR="00E25355" w:rsidRPr="00CA5E96" w:rsidRDefault="00E25355" w:rsidP="00E25355">
      <w:pPr>
        <w:jc w:val="both"/>
        <w:rPr>
          <w:rFonts w:cs="Arial"/>
          <w:color w:val="auto"/>
        </w:rPr>
      </w:pPr>
      <w:r w:rsidRPr="00CA5E96">
        <w:rPr>
          <w:rFonts w:cs="Arial"/>
          <w:color w:val="auto"/>
        </w:rPr>
        <w:t xml:space="preserve">From a Demand response perspective, the average cost of RRS supplied by Load Resources from </w:t>
      </w:r>
      <w:r>
        <w:rPr>
          <w:rFonts w:cs="Arial"/>
          <w:color w:val="auto"/>
        </w:rPr>
        <w:t xml:space="preserve">January </w:t>
      </w:r>
      <w:r w:rsidRPr="00CA5E96">
        <w:rPr>
          <w:rFonts w:cs="Arial"/>
          <w:color w:val="auto"/>
        </w:rPr>
        <w:t>202</w:t>
      </w:r>
      <w:r>
        <w:rPr>
          <w:rFonts w:cs="Arial"/>
          <w:color w:val="auto"/>
        </w:rPr>
        <w:t>3</w:t>
      </w:r>
      <w:r w:rsidRPr="00CA5E96">
        <w:rPr>
          <w:rFonts w:cs="Arial"/>
          <w:color w:val="auto"/>
        </w:rPr>
        <w:t xml:space="preserve"> through November 202</w:t>
      </w:r>
      <w:r>
        <w:rPr>
          <w:rFonts w:cs="Arial"/>
          <w:color w:val="auto"/>
        </w:rPr>
        <w:t>3</w:t>
      </w:r>
      <w:r w:rsidRPr="00CA5E96">
        <w:rPr>
          <w:rFonts w:cs="Arial"/>
          <w:color w:val="auto"/>
        </w:rPr>
        <w:t xml:space="preserve"> was $</w:t>
      </w:r>
      <w:r>
        <w:rPr>
          <w:rFonts w:cs="Arial"/>
          <w:color w:val="auto"/>
        </w:rPr>
        <w:t>23.00</w:t>
      </w:r>
      <w:r w:rsidRPr="00CA5E96">
        <w:rPr>
          <w:rFonts w:cs="Arial"/>
          <w:color w:val="auto"/>
        </w:rPr>
        <w:t>, based on the clearing price and capacity provided by the Load Resource</w:t>
      </w:r>
      <w:r>
        <w:rPr>
          <w:rFonts w:cs="Arial"/>
          <w:color w:val="auto"/>
        </w:rPr>
        <w:t>s</w:t>
      </w:r>
      <w:r w:rsidRPr="00CA5E96">
        <w:rPr>
          <w:rFonts w:cs="Arial"/>
          <w:color w:val="auto"/>
        </w:rPr>
        <w:t xml:space="preserve"> participating in the market. This is an estimate that assumes the self-arranged capacity has a value equivalent to the amount awarded in the </w:t>
      </w:r>
      <w:r w:rsidR="00831917">
        <w:rPr>
          <w:rFonts w:cs="Arial"/>
          <w:color w:val="auto"/>
        </w:rPr>
        <w:t>DAM</w:t>
      </w:r>
      <w:r w:rsidRPr="00CA5E96">
        <w:rPr>
          <w:rFonts w:cs="Arial"/>
          <w:color w:val="auto"/>
        </w:rPr>
        <w:t xml:space="preserve"> process.</w:t>
      </w:r>
      <w:r>
        <w:rPr>
          <w:rFonts w:cs="Arial"/>
          <w:color w:val="auto"/>
        </w:rPr>
        <w:t xml:space="preserve"> </w:t>
      </w:r>
      <w:r w:rsidRPr="00030FF6">
        <w:rPr>
          <w:rFonts w:cs="Arial"/>
          <w:color w:val="000000" w:themeColor="text1"/>
        </w:rPr>
        <w:t xml:space="preserve">Table </w:t>
      </w:r>
      <w:r>
        <w:rPr>
          <w:rFonts w:cs="Arial"/>
          <w:color w:val="000000" w:themeColor="text1"/>
        </w:rPr>
        <w:t>3</w:t>
      </w:r>
      <w:r w:rsidRPr="00030FF6">
        <w:rPr>
          <w:rFonts w:cs="Arial"/>
          <w:color w:val="000000" w:themeColor="text1"/>
        </w:rPr>
        <w:t xml:space="preserve"> below reflects the 5-year historical average cost of Load Resources providing RRS, as well as the estimated total cost for each year.</w:t>
      </w:r>
    </w:p>
    <w:p w14:paraId="11DA35A7" w14:textId="77777777" w:rsidR="00E25355" w:rsidRDefault="00E25355" w:rsidP="00E25355"/>
    <w:tbl>
      <w:tblPr>
        <w:tblW w:w="9306" w:type="dxa"/>
        <w:tblLook w:val="04A0" w:firstRow="1" w:lastRow="0" w:firstColumn="1" w:lastColumn="0" w:noHBand="0" w:noVBand="1"/>
      </w:tblPr>
      <w:tblGrid>
        <w:gridCol w:w="2048"/>
        <w:gridCol w:w="4210"/>
        <w:gridCol w:w="3048"/>
      </w:tblGrid>
      <w:tr w:rsidR="00E25355" w:rsidRPr="007C2AA7" w14:paraId="39AF4DED" w14:textId="77777777" w:rsidTr="00952023">
        <w:trPr>
          <w:trHeight w:val="333"/>
        </w:trPr>
        <w:tc>
          <w:tcPr>
            <w:tcW w:w="0" w:type="auto"/>
            <w:gridSpan w:val="3"/>
            <w:tcBorders>
              <w:top w:val="nil"/>
              <w:left w:val="nil"/>
              <w:bottom w:val="nil"/>
              <w:right w:val="nil"/>
            </w:tcBorders>
            <w:shd w:val="clear" w:color="auto" w:fill="auto"/>
            <w:noWrap/>
            <w:vAlign w:val="center"/>
            <w:hideMark/>
          </w:tcPr>
          <w:p w14:paraId="7B48FA17" w14:textId="77777777" w:rsidR="00E25355" w:rsidRPr="007C2AA7" w:rsidRDefault="00E25355" w:rsidP="004D177E">
            <w:pPr>
              <w:rPr>
                <w:rFonts w:cs="Arial"/>
                <w:i/>
                <w:iCs/>
                <w:color w:val="auto"/>
                <w:sz w:val="16"/>
                <w:szCs w:val="16"/>
              </w:rPr>
            </w:pPr>
            <w:r w:rsidRPr="00550FB6">
              <w:rPr>
                <w:rFonts w:cs="Arial"/>
                <w:i/>
                <w:iCs/>
                <w:color w:val="auto"/>
                <w:sz w:val="16"/>
                <w:szCs w:val="16"/>
              </w:rPr>
              <w:t xml:space="preserve">Table </w:t>
            </w:r>
            <w:r>
              <w:rPr>
                <w:rFonts w:cs="Arial"/>
                <w:i/>
                <w:iCs/>
                <w:color w:val="auto"/>
                <w:sz w:val="16"/>
                <w:szCs w:val="16"/>
              </w:rPr>
              <w:t>3</w:t>
            </w:r>
            <w:r w:rsidRPr="00550FB6">
              <w:rPr>
                <w:rFonts w:cs="Arial"/>
                <w:i/>
                <w:iCs/>
                <w:color w:val="auto"/>
                <w:sz w:val="16"/>
                <w:szCs w:val="16"/>
              </w:rPr>
              <w:t xml:space="preserve">:  </w:t>
            </w:r>
            <w:r w:rsidRPr="007C2AA7">
              <w:rPr>
                <w:rFonts w:cs="Arial"/>
                <w:i/>
                <w:iCs/>
                <w:color w:val="auto"/>
                <w:sz w:val="16"/>
                <w:szCs w:val="16"/>
              </w:rPr>
              <w:t>5-year average cost of Load Resources providing RRS and total estimated annual cost</w:t>
            </w:r>
          </w:p>
        </w:tc>
      </w:tr>
      <w:tr w:rsidR="00E25355" w:rsidRPr="007C2AA7" w14:paraId="3AE9F992" w14:textId="77777777" w:rsidTr="00837E04">
        <w:trPr>
          <w:trHeight w:val="259"/>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D4375" w14:textId="77777777" w:rsidR="00E25355" w:rsidRPr="007C2AA7" w:rsidRDefault="00E25355" w:rsidP="0017768A">
            <w:pPr>
              <w:jc w:val="center"/>
              <w:rPr>
                <w:rFonts w:cs="Arial"/>
                <w:color w:val="auto"/>
                <w:sz w:val="20"/>
                <w:szCs w:val="20"/>
              </w:rPr>
            </w:pPr>
            <w:r w:rsidRPr="007C2AA7">
              <w:rPr>
                <w:rFonts w:cs="Arial"/>
                <w:color w:val="auto"/>
                <w:sz w:val="20"/>
                <w:szCs w:val="20"/>
              </w:rPr>
              <w:t>Calendar Year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021A87C" w14:textId="77777777" w:rsidR="00E25355" w:rsidRPr="007C2AA7" w:rsidRDefault="00E25355" w:rsidP="004D177E">
            <w:pPr>
              <w:jc w:val="center"/>
              <w:rPr>
                <w:rFonts w:cs="Arial"/>
                <w:color w:val="auto"/>
                <w:sz w:val="20"/>
                <w:szCs w:val="20"/>
              </w:rPr>
            </w:pPr>
            <w:r w:rsidRPr="007C2AA7">
              <w:rPr>
                <w:rFonts w:cs="Arial"/>
                <w:color w:val="auto"/>
                <w:sz w:val="20"/>
                <w:szCs w:val="20"/>
              </w:rPr>
              <w:t>Average RRS Payment $/MW/hr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64973BD" w14:textId="77777777" w:rsidR="00E25355" w:rsidRPr="007C2AA7" w:rsidRDefault="00E25355" w:rsidP="004D177E">
            <w:pPr>
              <w:jc w:val="center"/>
              <w:rPr>
                <w:rFonts w:cs="Arial"/>
                <w:color w:val="auto"/>
                <w:sz w:val="20"/>
                <w:szCs w:val="20"/>
              </w:rPr>
            </w:pPr>
            <w:r w:rsidRPr="007C2AA7">
              <w:rPr>
                <w:rFonts w:cs="Arial"/>
                <w:color w:val="auto"/>
                <w:sz w:val="20"/>
                <w:szCs w:val="20"/>
              </w:rPr>
              <w:t>Total Estimated Cost $</w:t>
            </w:r>
          </w:p>
        </w:tc>
      </w:tr>
      <w:tr w:rsidR="00E25355" w:rsidRPr="007C2AA7" w14:paraId="2330BF17" w14:textId="77777777" w:rsidTr="00837E04">
        <w:trPr>
          <w:trHeight w:val="25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181CB2" w14:textId="77777777" w:rsidR="00E25355" w:rsidRPr="007C2AA7" w:rsidRDefault="00E25355" w:rsidP="004D177E">
            <w:pPr>
              <w:rPr>
                <w:rFonts w:cs="Arial"/>
                <w:color w:val="auto"/>
                <w:sz w:val="20"/>
                <w:szCs w:val="20"/>
              </w:rPr>
            </w:pPr>
            <w:r w:rsidRPr="007C2AA7">
              <w:rPr>
                <w:rFonts w:cs="Arial"/>
                <w:color w:val="auto"/>
                <w:sz w:val="20"/>
                <w:szCs w:val="20"/>
              </w:rPr>
              <w:t>2019</w:t>
            </w:r>
          </w:p>
        </w:tc>
        <w:tc>
          <w:tcPr>
            <w:tcW w:w="0" w:type="auto"/>
            <w:tcBorders>
              <w:top w:val="nil"/>
              <w:left w:val="nil"/>
              <w:bottom w:val="single" w:sz="4" w:space="0" w:color="auto"/>
              <w:right w:val="single" w:sz="4" w:space="0" w:color="auto"/>
            </w:tcBorders>
            <w:shd w:val="clear" w:color="auto" w:fill="auto"/>
            <w:noWrap/>
            <w:vAlign w:val="center"/>
            <w:hideMark/>
          </w:tcPr>
          <w:p w14:paraId="6111BD84" w14:textId="77777777" w:rsidR="00E25355" w:rsidRPr="007C2AA7" w:rsidRDefault="00E25355" w:rsidP="004D177E">
            <w:pPr>
              <w:jc w:val="center"/>
              <w:rPr>
                <w:rFonts w:cs="Arial"/>
                <w:color w:val="auto"/>
                <w:sz w:val="20"/>
                <w:szCs w:val="20"/>
              </w:rPr>
            </w:pPr>
            <w:r w:rsidRPr="007C2AA7">
              <w:rPr>
                <w:rFonts w:cs="Arial"/>
                <w:color w:val="auto"/>
                <w:sz w:val="20"/>
                <w:szCs w:val="20"/>
              </w:rPr>
              <w:t>25.03</w:t>
            </w:r>
          </w:p>
        </w:tc>
        <w:tc>
          <w:tcPr>
            <w:tcW w:w="0" w:type="auto"/>
            <w:tcBorders>
              <w:top w:val="nil"/>
              <w:left w:val="nil"/>
              <w:bottom w:val="single" w:sz="4" w:space="0" w:color="auto"/>
              <w:right w:val="single" w:sz="4" w:space="0" w:color="auto"/>
            </w:tcBorders>
            <w:shd w:val="clear" w:color="auto" w:fill="auto"/>
            <w:noWrap/>
            <w:vAlign w:val="center"/>
            <w:hideMark/>
          </w:tcPr>
          <w:p w14:paraId="00A05D87" w14:textId="77777777" w:rsidR="00E25355" w:rsidRPr="007C2AA7" w:rsidRDefault="00E25355" w:rsidP="004D177E">
            <w:pPr>
              <w:jc w:val="center"/>
              <w:rPr>
                <w:rFonts w:cs="Arial"/>
                <w:color w:val="auto"/>
                <w:sz w:val="20"/>
                <w:szCs w:val="20"/>
              </w:rPr>
            </w:pPr>
            <w:r w:rsidRPr="007C2AA7">
              <w:rPr>
                <w:rFonts w:cs="Arial"/>
                <w:color w:val="auto"/>
                <w:sz w:val="20"/>
                <w:szCs w:val="20"/>
              </w:rPr>
              <w:t xml:space="preserve">               339,859,297 </w:t>
            </w:r>
          </w:p>
        </w:tc>
      </w:tr>
      <w:tr w:rsidR="00E25355" w:rsidRPr="007C2AA7" w14:paraId="5CBE1BE0" w14:textId="77777777" w:rsidTr="00837E04">
        <w:trPr>
          <w:trHeight w:val="25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01F8DEE" w14:textId="77777777" w:rsidR="00E25355" w:rsidRPr="007C2AA7" w:rsidRDefault="00E25355" w:rsidP="004D177E">
            <w:pPr>
              <w:rPr>
                <w:rFonts w:cs="Arial"/>
                <w:color w:val="auto"/>
                <w:sz w:val="20"/>
                <w:szCs w:val="20"/>
              </w:rPr>
            </w:pPr>
            <w:r w:rsidRPr="007C2AA7">
              <w:rPr>
                <w:rFonts w:cs="Arial"/>
                <w:color w:val="auto"/>
                <w:sz w:val="20"/>
                <w:szCs w:val="20"/>
              </w:rPr>
              <w:t>2020</w:t>
            </w:r>
          </w:p>
        </w:tc>
        <w:tc>
          <w:tcPr>
            <w:tcW w:w="0" w:type="auto"/>
            <w:tcBorders>
              <w:top w:val="nil"/>
              <w:left w:val="nil"/>
              <w:bottom w:val="single" w:sz="4" w:space="0" w:color="auto"/>
              <w:right w:val="single" w:sz="4" w:space="0" w:color="auto"/>
            </w:tcBorders>
            <w:shd w:val="clear" w:color="auto" w:fill="auto"/>
            <w:noWrap/>
            <w:vAlign w:val="center"/>
            <w:hideMark/>
          </w:tcPr>
          <w:p w14:paraId="7594A7C1" w14:textId="77777777" w:rsidR="00E25355" w:rsidRPr="007C2AA7" w:rsidRDefault="00E25355" w:rsidP="004D177E">
            <w:pPr>
              <w:jc w:val="center"/>
              <w:rPr>
                <w:rFonts w:cs="Arial"/>
                <w:color w:val="auto"/>
                <w:sz w:val="20"/>
                <w:szCs w:val="20"/>
              </w:rPr>
            </w:pPr>
            <w:r w:rsidRPr="007C2AA7">
              <w:rPr>
                <w:rFonts w:cs="Arial"/>
                <w:color w:val="auto"/>
                <w:sz w:val="20"/>
                <w:szCs w:val="20"/>
              </w:rPr>
              <w:t>11.27</w:t>
            </w:r>
          </w:p>
        </w:tc>
        <w:tc>
          <w:tcPr>
            <w:tcW w:w="0" w:type="auto"/>
            <w:tcBorders>
              <w:top w:val="nil"/>
              <w:left w:val="nil"/>
              <w:bottom w:val="single" w:sz="4" w:space="0" w:color="auto"/>
              <w:right w:val="single" w:sz="4" w:space="0" w:color="auto"/>
            </w:tcBorders>
            <w:shd w:val="clear" w:color="auto" w:fill="auto"/>
            <w:noWrap/>
            <w:vAlign w:val="center"/>
            <w:hideMark/>
          </w:tcPr>
          <w:p w14:paraId="62F499D3" w14:textId="77777777" w:rsidR="00E25355" w:rsidRPr="007C2AA7" w:rsidRDefault="00E25355" w:rsidP="004D177E">
            <w:pPr>
              <w:jc w:val="center"/>
              <w:rPr>
                <w:rFonts w:cs="Arial"/>
                <w:color w:val="auto"/>
                <w:sz w:val="20"/>
                <w:szCs w:val="20"/>
              </w:rPr>
            </w:pPr>
            <w:r w:rsidRPr="007C2AA7">
              <w:rPr>
                <w:rFonts w:cs="Arial"/>
                <w:color w:val="auto"/>
                <w:sz w:val="20"/>
                <w:szCs w:val="20"/>
              </w:rPr>
              <w:t xml:space="preserve">               154,402,176 </w:t>
            </w:r>
          </w:p>
        </w:tc>
      </w:tr>
      <w:tr w:rsidR="00E25355" w:rsidRPr="007C2AA7" w14:paraId="064C8B6B" w14:textId="77777777" w:rsidTr="00837E04">
        <w:trPr>
          <w:trHeight w:val="25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440539E" w14:textId="77777777" w:rsidR="00E25355" w:rsidRPr="007C2AA7" w:rsidRDefault="00E25355" w:rsidP="004D177E">
            <w:pPr>
              <w:rPr>
                <w:rFonts w:cs="Arial"/>
                <w:color w:val="auto"/>
                <w:sz w:val="20"/>
                <w:szCs w:val="20"/>
              </w:rPr>
            </w:pPr>
            <w:r w:rsidRPr="007C2AA7">
              <w:rPr>
                <w:rFonts w:cs="Arial"/>
                <w:color w:val="auto"/>
                <w:sz w:val="20"/>
                <w:szCs w:val="20"/>
              </w:rPr>
              <w:t>2021</w:t>
            </w:r>
          </w:p>
        </w:tc>
        <w:tc>
          <w:tcPr>
            <w:tcW w:w="0" w:type="auto"/>
            <w:tcBorders>
              <w:top w:val="nil"/>
              <w:left w:val="nil"/>
              <w:bottom w:val="single" w:sz="4" w:space="0" w:color="auto"/>
              <w:right w:val="single" w:sz="4" w:space="0" w:color="auto"/>
            </w:tcBorders>
            <w:shd w:val="clear" w:color="auto" w:fill="auto"/>
            <w:noWrap/>
            <w:vAlign w:val="center"/>
            <w:hideMark/>
          </w:tcPr>
          <w:p w14:paraId="32D495D0" w14:textId="77777777" w:rsidR="00E25355" w:rsidRPr="007C2AA7" w:rsidRDefault="00E25355" w:rsidP="004D177E">
            <w:pPr>
              <w:jc w:val="center"/>
              <w:rPr>
                <w:rFonts w:cs="Arial"/>
                <w:color w:val="auto"/>
                <w:sz w:val="20"/>
                <w:szCs w:val="20"/>
              </w:rPr>
            </w:pPr>
            <w:r w:rsidRPr="007C2AA7">
              <w:rPr>
                <w:rFonts w:cs="Arial"/>
                <w:color w:val="auto"/>
                <w:sz w:val="20"/>
                <w:szCs w:val="20"/>
              </w:rPr>
              <w:t>208.28</w:t>
            </w:r>
          </w:p>
        </w:tc>
        <w:tc>
          <w:tcPr>
            <w:tcW w:w="0" w:type="auto"/>
            <w:tcBorders>
              <w:top w:val="nil"/>
              <w:left w:val="nil"/>
              <w:bottom w:val="single" w:sz="4" w:space="0" w:color="auto"/>
              <w:right w:val="single" w:sz="4" w:space="0" w:color="auto"/>
            </w:tcBorders>
            <w:shd w:val="clear" w:color="auto" w:fill="auto"/>
            <w:noWrap/>
            <w:vAlign w:val="center"/>
            <w:hideMark/>
          </w:tcPr>
          <w:p w14:paraId="208415FF" w14:textId="77777777" w:rsidR="00E25355" w:rsidRPr="007C2AA7" w:rsidRDefault="00E25355" w:rsidP="004D177E">
            <w:pPr>
              <w:jc w:val="center"/>
              <w:rPr>
                <w:rFonts w:cs="Arial"/>
                <w:color w:val="auto"/>
                <w:sz w:val="20"/>
                <w:szCs w:val="20"/>
              </w:rPr>
            </w:pPr>
            <w:r w:rsidRPr="007C2AA7">
              <w:rPr>
                <w:rFonts w:cs="Arial"/>
                <w:color w:val="auto"/>
                <w:sz w:val="20"/>
                <w:szCs w:val="20"/>
              </w:rPr>
              <w:t xml:space="preserve">            2,599,331,343 </w:t>
            </w:r>
          </w:p>
        </w:tc>
      </w:tr>
      <w:tr w:rsidR="00E25355" w:rsidRPr="007C2AA7" w14:paraId="556DE9D9" w14:textId="77777777" w:rsidTr="00837E04">
        <w:trPr>
          <w:trHeight w:val="25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18D28B1" w14:textId="77777777" w:rsidR="00E25355" w:rsidRPr="007C2AA7" w:rsidRDefault="00E25355" w:rsidP="004D177E">
            <w:pPr>
              <w:rPr>
                <w:rFonts w:cs="Arial"/>
                <w:color w:val="auto"/>
                <w:sz w:val="20"/>
                <w:szCs w:val="20"/>
              </w:rPr>
            </w:pPr>
            <w:r w:rsidRPr="007C2AA7">
              <w:rPr>
                <w:rFonts w:cs="Arial"/>
                <w:color w:val="auto"/>
                <w:sz w:val="20"/>
                <w:szCs w:val="20"/>
              </w:rPr>
              <w:t>2022</w:t>
            </w:r>
          </w:p>
        </w:tc>
        <w:tc>
          <w:tcPr>
            <w:tcW w:w="0" w:type="auto"/>
            <w:tcBorders>
              <w:top w:val="nil"/>
              <w:left w:val="nil"/>
              <w:bottom w:val="single" w:sz="4" w:space="0" w:color="auto"/>
              <w:right w:val="single" w:sz="4" w:space="0" w:color="auto"/>
            </w:tcBorders>
            <w:shd w:val="clear" w:color="auto" w:fill="auto"/>
            <w:noWrap/>
            <w:vAlign w:val="center"/>
            <w:hideMark/>
          </w:tcPr>
          <w:p w14:paraId="5F5ED734" w14:textId="77777777" w:rsidR="00E25355" w:rsidRPr="007C2AA7" w:rsidRDefault="00E25355" w:rsidP="004D177E">
            <w:pPr>
              <w:jc w:val="center"/>
              <w:rPr>
                <w:rFonts w:cs="Arial"/>
                <w:color w:val="auto"/>
                <w:sz w:val="20"/>
                <w:szCs w:val="20"/>
              </w:rPr>
            </w:pPr>
            <w:r w:rsidRPr="007C2AA7">
              <w:rPr>
                <w:rFonts w:cs="Arial"/>
                <w:color w:val="auto"/>
                <w:sz w:val="20"/>
                <w:szCs w:val="20"/>
              </w:rPr>
              <w:t>22.68</w:t>
            </w:r>
          </w:p>
        </w:tc>
        <w:tc>
          <w:tcPr>
            <w:tcW w:w="0" w:type="auto"/>
            <w:tcBorders>
              <w:top w:val="nil"/>
              <w:left w:val="nil"/>
              <w:bottom w:val="single" w:sz="4" w:space="0" w:color="auto"/>
              <w:right w:val="single" w:sz="4" w:space="0" w:color="auto"/>
            </w:tcBorders>
            <w:shd w:val="clear" w:color="auto" w:fill="auto"/>
            <w:noWrap/>
            <w:vAlign w:val="center"/>
            <w:hideMark/>
          </w:tcPr>
          <w:p w14:paraId="5472DBFA" w14:textId="77777777" w:rsidR="00E25355" w:rsidRPr="007C2AA7" w:rsidRDefault="00E25355" w:rsidP="004D177E">
            <w:pPr>
              <w:jc w:val="center"/>
              <w:rPr>
                <w:rFonts w:cs="Arial"/>
                <w:color w:val="auto"/>
                <w:sz w:val="20"/>
                <w:szCs w:val="20"/>
              </w:rPr>
            </w:pPr>
            <w:r w:rsidRPr="007C2AA7">
              <w:rPr>
                <w:rFonts w:cs="Arial"/>
                <w:color w:val="auto"/>
                <w:sz w:val="20"/>
                <w:szCs w:val="20"/>
              </w:rPr>
              <w:t xml:space="preserve">               285,510,931 </w:t>
            </w:r>
          </w:p>
        </w:tc>
      </w:tr>
      <w:tr w:rsidR="00E25355" w:rsidRPr="007C2AA7" w14:paraId="3B1A30BA" w14:textId="77777777" w:rsidTr="00837E04">
        <w:trPr>
          <w:trHeight w:val="25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B1167A" w14:textId="77777777" w:rsidR="00E25355" w:rsidRPr="007C2AA7" w:rsidRDefault="00E25355" w:rsidP="004D177E">
            <w:pPr>
              <w:rPr>
                <w:rFonts w:cs="Arial"/>
                <w:color w:val="auto"/>
                <w:sz w:val="20"/>
                <w:szCs w:val="20"/>
              </w:rPr>
            </w:pPr>
            <w:r w:rsidRPr="007C2AA7">
              <w:rPr>
                <w:rFonts w:cs="Arial"/>
                <w:color w:val="auto"/>
                <w:sz w:val="20"/>
                <w:szCs w:val="20"/>
              </w:rPr>
              <w:t>2023*</w:t>
            </w:r>
          </w:p>
        </w:tc>
        <w:tc>
          <w:tcPr>
            <w:tcW w:w="0" w:type="auto"/>
            <w:tcBorders>
              <w:top w:val="nil"/>
              <w:left w:val="nil"/>
              <w:bottom w:val="single" w:sz="4" w:space="0" w:color="auto"/>
              <w:right w:val="single" w:sz="4" w:space="0" w:color="auto"/>
            </w:tcBorders>
            <w:shd w:val="clear" w:color="auto" w:fill="auto"/>
            <w:noWrap/>
            <w:vAlign w:val="center"/>
            <w:hideMark/>
          </w:tcPr>
          <w:p w14:paraId="48B82EB2" w14:textId="77777777" w:rsidR="00E25355" w:rsidRPr="007C2AA7" w:rsidRDefault="00E25355" w:rsidP="004D177E">
            <w:pPr>
              <w:jc w:val="center"/>
              <w:rPr>
                <w:rFonts w:cs="Arial"/>
                <w:color w:val="auto"/>
                <w:sz w:val="20"/>
                <w:szCs w:val="20"/>
              </w:rPr>
            </w:pPr>
            <w:r w:rsidRPr="007C2AA7">
              <w:rPr>
                <w:rFonts w:cs="Arial"/>
                <w:color w:val="auto"/>
                <w:sz w:val="20"/>
                <w:szCs w:val="20"/>
              </w:rPr>
              <w:t>23.00</w:t>
            </w:r>
          </w:p>
        </w:tc>
        <w:tc>
          <w:tcPr>
            <w:tcW w:w="0" w:type="auto"/>
            <w:tcBorders>
              <w:top w:val="nil"/>
              <w:left w:val="nil"/>
              <w:bottom w:val="single" w:sz="4" w:space="0" w:color="auto"/>
              <w:right w:val="single" w:sz="4" w:space="0" w:color="auto"/>
            </w:tcBorders>
            <w:shd w:val="clear" w:color="auto" w:fill="auto"/>
            <w:noWrap/>
            <w:vAlign w:val="center"/>
            <w:hideMark/>
          </w:tcPr>
          <w:p w14:paraId="5CE43D8D" w14:textId="77777777" w:rsidR="00E25355" w:rsidRPr="007C2AA7" w:rsidRDefault="00E25355" w:rsidP="004D177E">
            <w:pPr>
              <w:jc w:val="center"/>
              <w:rPr>
                <w:rFonts w:cs="Arial"/>
                <w:color w:val="auto"/>
                <w:sz w:val="20"/>
                <w:szCs w:val="20"/>
              </w:rPr>
            </w:pPr>
            <w:r w:rsidRPr="007C2AA7">
              <w:rPr>
                <w:rFonts w:cs="Arial"/>
                <w:color w:val="auto"/>
                <w:sz w:val="20"/>
                <w:szCs w:val="20"/>
              </w:rPr>
              <w:t xml:space="preserve">               160,230,389 </w:t>
            </w:r>
          </w:p>
        </w:tc>
      </w:tr>
      <w:tr w:rsidR="00E25355" w:rsidRPr="007C2AA7" w14:paraId="106D6255" w14:textId="77777777" w:rsidTr="00952023">
        <w:trPr>
          <w:trHeight w:val="333"/>
        </w:trPr>
        <w:tc>
          <w:tcPr>
            <w:tcW w:w="0" w:type="auto"/>
            <w:gridSpan w:val="2"/>
            <w:tcBorders>
              <w:top w:val="nil"/>
              <w:left w:val="nil"/>
              <w:bottom w:val="nil"/>
              <w:right w:val="nil"/>
            </w:tcBorders>
            <w:shd w:val="clear" w:color="auto" w:fill="auto"/>
            <w:noWrap/>
            <w:vAlign w:val="center"/>
            <w:hideMark/>
          </w:tcPr>
          <w:p w14:paraId="76CC15A0" w14:textId="77777777" w:rsidR="00E25355" w:rsidRPr="007C2AA7" w:rsidRDefault="00E25355" w:rsidP="004D177E">
            <w:pPr>
              <w:rPr>
                <w:rFonts w:cs="Arial"/>
                <w:color w:val="auto"/>
                <w:sz w:val="16"/>
                <w:szCs w:val="16"/>
              </w:rPr>
            </w:pPr>
            <w:r w:rsidRPr="007C2AA7">
              <w:rPr>
                <w:rFonts w:cs="Arial"/>
                <w:color w:val="auto"/>
                <w:sz w:val="16"/>
                <w:szCs w:val="16"/>
              </w:rPr>
              <w:t>*Data for January 1 to November 30, 2023</w:t>
            </w:r>
          </w:p>
        </w:tc>
        <w:tc>
          <w:tcPr>
            <w:tcW w:w="0" w:type="auto"/>
            <w:tcBorders>
              <w:top w:val="nil"/>
              <w:left w:val="nil"/>
              <w:bottom w:val="nil"/>
              <w:right w:val="nil"/>
            </w:tcBorders>
            <w:shd w:val="clear" w:color="auto" w:fill="auto"/>
            <w:noWrap/>
            <w:vAlign w:val="bottom"/>
            <w:hideMark/>
          </w:tcPr>
          <w:p w14:paraId="0E6694F6" w14:textId="77777777" w:rsidR="00E25355" w:rsidRPr="007C2AA7" w:rsidRDefault="00E25355" w:rsidP="004D177E">
            <w:pPr>
              <w:rPr>
                <w:rFonts w:cs="Arial"/>
                <w:color w:val="auto"/>
                <w:sz w:val="16"/>
                <w:szCs w:val="16"/>
              </w:rPr>
            </w:pPr>
          </w:p>
        </w:tc>
      </w:tr>
    </w:tbl>
    <w:p w14:paraId="01FA16CB" w14:textId="77777777" w:rsidR="00E25355" w:rsidRDefault="00E25355" w:rsidP="00E25355">
      <w:pPr>
        <w:jc w:val="both"/>
        <w:rPr>
          <w:rFonts w:cs="Arial"/>
          <w:b/>
          <w:color w:val="auto"/>
        </w:rPr>
      </w:pPr>
    </w:p>
    <w:p w14:paraId="4E7CAFB2" w14:textId="77777777" w:rsidR="00DE2FFE" w:rsidRDefault="00DE2FFE" w:rsidP="00DE2FFE">
      <w:pPr>
        <w:jc w:val="both"/>
        <w:rPr>
          <w:rFonts w:cs="Arial"/>
          <w:b/>
          <w:color w:val="auto"/>
        </w:rPr>
      </w:pPr>
      <w:r>
        <w:rPr>
          <w:rFonts w:cs="Arial"/>
          <w:b/>
          <w:color w:val="auto"/>
        </w:rPr>
        <w:t>Non-Spinning Reserve (Non-Spin)</w:t>
      </w:r>
    </w:p>
    <w:p w14:paraId="206D0D11" w14:textId="77777777" w:rsidR="00DE2FFE" w:rsidRDefault="00DE2FFE" w:rsidP="00DE2FFE">
      <w:pPr>
        <w:jc w:val="both"/>
        <w:rPr>
          <w:rFonts w:cs="Arial"/>
          <w:b/>
          <w:color w:val="auto"/>
        </w:rPr>
      </w:pPr>
    </w:p>
    <w:p w14:paraId="129B1102" w14:textId="1EFA7CF4" w:rsidR="00DE2FFE" w:rsidRDefault="00DE2FFE" w:rsidP="00DE2FFE">
      <w:pPr>
        <w:jc w:val="both"/>
        <w:rPr>
          <w:rFonts w:cs="Arial"/>
          <w:color w:val="auto"/>
        </w:rPr>
      </w:pPr>
      <w:r>
        <w:rPr>
          <w:rFonts w:cs="Arial"/>
          <w:color w:val="auto"/>
        </w:rPr>
        <w:t xml:space="preserve">NCLRs first began participating in Non-Spin in November 2022 after the implementation of </w:t>
      </w:r>
      <w:r w:rsidRPr="00CA5E96">
        <w:rPr>
          <w:rFonts w:cs="Arial"/>
          <w:color w:val="auto"/>
        </w:rPr>
        <w:t xml:space="preserve">Nodal Protocol Revision Request (NPRR) 1093, </w:t>
      </w:r>
      <w:r w:rsidRPr="00046FC2">
        <w:rPr>
          <w:rFonts w:cs="Arial"/>
          <w:i/>
          <w:iCs/>
          <w:color w:val="auto"/>
        </w:rPr>
        <w:t>Load Resource Participation in Non-Spinning Reserve</w:t>
      </w:r>
      <w:r w:rsidRPr="00CA5E96">
        <w:rPr>
          <w:rFonts w:cs="Arial"/>
          <w:color w:val="auto"/>
        </w:rPr>
        <w:t xml:space="preserve"> and its companion NPRR 1101, </w:t>
      </w:r>
      <w:r w:rsidRPr="00046FC2">
        <w:rPr>
          <w:rFonts w:cs="Arial"/>
          <w:i/>
          <w:iCs/>
          <w:color w:val="auto"/>
        </w:rPr>
        <w:t>Create Non-Spin Deployment Groups made up of Generation Resources Providing Off-Line Non-Spinning Reserve and Load Resources that are Not Controllable Load Resources Providing Non-Spinning Reserve</w:t>
      </w:r>
      <w:r w:rsidRPr="00CA5E96">
        <w:rPr>
          <w:rFonts w:cs="Arial"/>
          <w:color w:val="auto"/>
        </w:rPr>
        <w:t>.</w:t>
      </w:r>
      <w:r>
        <w:rPr>
          <w:rFonts w:cs="Arial"/>
          <w:color w:val="auto"/>
        </w:rPr>
        <w:t xml:space="preserve"> Tables 4 and 5 show Non-Spin hourly offers and awards. Table </w:t>
      </w:r>
      <w:r w:rsidR="00952023">
        <w:rPr>
          <w:rFonts w:cs="Arial"/>
          <w:color w:val="auto"/>
        </w:rPr>
        <w:t xml:space="preserve">6 </w:t>
      </w:r>
      <w:r>
        <w:rPr>
          <w:rFonts w:cs="Arial"/>
          <w:color w:val="auto"/>
        </w:rPr>
        <w:t xml:space="preserve">below shows the initial costs of NCLRs providing Non-Spin. </w:t>
      </w:r>
    </w:p>
    <w:p w14:paraId="22128176" w14:textId="77777777" w:rsidR="00DE2FFE" w:rsidRDefault="00DE2FFE" w:rsidP="00DE2FFE">
      <w:pPr>
        <w:jc w:val="both"/>
        <w:rPr>
          <w:rFonts w:cs="Arial"/>
          <w:color w:val="auto"/>
        </w:rPr>
      </w:pPr>
    </w:p>
    <w:p w14:paraId="3AFD60C3" w14:textId="77777777" w:rsidR="00DE2FFE" w:rsidRPr="00550FB6" w:rsidRDefault="00DE2FFE" w:rsidP="0017768A">
      <w:pPr>
        <w:keepNext/>
        <w:jc w:val="both"/>
        <w:rPr>
          <w:rFonts w:cs="Arial"/>
          <w:i/>
          <w:iCs/>
          <w:color w:val="000000"/>
          <w:sz w:val="16"/>
          <w:szCs w:val="16"/>
        </w:rPr>
      </w:pPr>
      <w:r w:rsidRPr="00550FB6">
        <w:rPr>
          <w:rFonts w:cs="Arial"/>
          <w:i/>
          <w:iCs/>
          <w:color w:val="000000"/>
          <w:sz w:val="16"/>
          <w:szCs w:val="16"/>
        </w:rPr>
        <w:lastRenderedPageBreak/>
        <w:t xml:space="preserve">Table </w:t>
      </w:r>
      <w:r>
        <w:rPr>
          <w:rFonts w:cs="Arial"/>
          <w:i/>
          <w:iCs/>
          <w:color w:val="000000"/>
          <w:sz w:val="16"/>
          <w:szCs w:val="16"/>
        </w:rPr>
        <w:t>4</w:t>
      </w:r>
      <w:r w:rsidRPr="00550FB6">
        <w:rPr>
          <w:rFonts w:cs="Arial"/>
          <w:i/>
          <w:iCs/>
          <w:color w:val="000000"/>
          <w:sz w:val="16"/>
          <w:szCs w:val="16"/>
        </w:rPr>
        <w:t xml:space="preserve">:  </w:t>
      </w:r>
      <w:r>
        <w:rPr>
          <w:rFonts w:cs="Arial"/>
          <w:i/>
          <w:iCs/>
          <w:color w:val="000000"/>
          <w:sz w:val="16"/>
          <w:szCs w:val="16"/>
        </w:rPr>
        <w:t>NSPIN</w:t>
      </w:r>
      <w:r w:rsidRPr="00550FB6">
        <w:rPr>
          <w:rFonts w:cs="Arial"/>
          <w:i/>
          <w:iCs/>
          <w:color w:val="000000"/>
          <w:sz w:val="16"/>
          <w:szCs w:val="16"/>
        </w:rPr>
        <w:t xml:space="preserve"> hourly </w:t>
      </w:r>
      <w:r>
        <w:rPr>
          <w:rFonts w:cs="Arial"/>
          <w:i/>
          <w:iCs/>
          <w:color w:val="000000"/>
          <w:sz w:val="16"/>
          <w:szCs w:val="16"/>
        </w:rPr>
        <w:t>offers</w:t>
      </w:r>
      <w:r w:rsidRPr="00550FB6">
        <w:rPr>
          <w:rFonts w:cs="Arial"/>
          <w:i/>
          <w:iCs/>
          <w:color w:val="000000"/>
          <w:sz w:val="16"/>
          <w:szCs w:val="16"/>
        </w:rPr>
        <w:t xml:space="preserve"> (MW) 12/22 through 11/23 </w:t>
      </w:r>
    </w:p>
    <w:tbl>
      <w:tblPr>
        <w:tblW w:w="9260" w:type="dxa"/>
        <w:tblLayout w:type="fixed"/>
        <w:tblLook w:val="04A0" w:firstRow="1" w:lastRow="0" w:firstColumn="1" w:lastColumn="0" w:noHBand="0" w:noVBand="1"/>
      </w:tblPr>
      <w:tblGrid>
        <w:gridCol w:w="2315"/>
        <w:gridCol w:w="2315"/>
        <w:gridCol w:w="2315"/>
        <w:gridCol w:w="2315"/>
      </w:tblGrid>
      <w:tr w:rsidR="00DE2FFE" w:rsidRPr="00975F8D" w14:paraId="7C4CC9D1" w14:textId="77777777" w:rsidTr="00837E04">
        <w:trPr>
          <w:trHeight w:val="259"/>
        </w:trPr>
        <w:tc>
          <w:tcPr>
            <w:tcW w:w="23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575EAF7" w14:textId="77777777" w:rsidR="00DE2FFE" w:rsidRPr="00975F8D" w:rsidRDefault="00DE2FFE" w:rsidP="0017768A">
            <w:pPr>
              <w:keepNext/>
              <w:jc w:val="center"/>
              <w:rPr>
                <w:rFonts w:cs="Arial"/>
                <w:color w:val="auto"/>
                <w:sz w:val="20"/>
                <w:szCs w:val="20"/>
              </w:rPr>
            </w:pPr>
            <w:r w:rsidRPr="00975F8D">
              <w:rPr>
                <w:rFonts w:cs="Arial"/>
                <w:color w:val="auto"/>
                <w:sz w:val="20"/>
                <w:szCs w:val="20"/>
              </w:rPr>
              <w:t>Month</w:t>
            </w:r>
          </w:p>
        </w:tc>
        <w:tc>
          <w:tcPr>
            <w:tcW w:w="2315" w:type="dxa"/>
            <w:tcBorders>
              <w:top w:val="single" w:sz="8" w:space="0" w:color="auto"/>
              <w:left w:val="nil"/>
              <w:bottom w:val="single" w:sz="8" w:space="0" w:color="auto"/>
              <w:right w:val="single" w:sz="8" w:space="0" w:color="auto"/>
            </w:tcBorders>
            <w:shd w:val="clear" w:color="auto" w:fill="auto"/>
            <w:noWrap/>
            <w:vAlign w:val="center"/>
            <w:hideMark/>
          </w:tcPr>
          <w:p w14:paraId="37C3BC34" w14:textId="77777777" w:rsidR="00DE2FFE" w:rsidRPr="00975F8D" w:rsidRDefault="00DE2FFE" w:rsidP="0017768A">
            <w:pPr>
              <w:keepNext/>
              <w:jc w:val="center"/>
              <w:rPr>
                <w:rFonts w:cs="Arial"/>
                <w:color w:val="auto"/>
                <w:sz w:val="20"/>
                <w:szCs w:val="20"/>
              </w:rPr>
            </w:pPr>
            <w:r w:rsidRPr="00975F8D">
              <w:rPr>
                <w:rFonts w:cs="Arial"/>
                <w:color w:val="auto"/>
                <w:sz w:val="20"/>
                <w:szCs w:val="20"/>
              </w:rPr>
              <w:t>Minimum Hour</w:t>
            </w:r>
          </w:p>
        </w:tc>
        <w:tc>
          <w:tcPr>
            <w:tcW w:w="2315" w:type="dxa"/>
            <w:tcBorders>
              <w:top w:val="single" w:sz="8" w:space="0" w:color="auto"/>
              <w:left w:val="nil"/>
              <w:bottom w:val="single" w:sz="8" w:space="0" w:color="auto"/>
              <w:right w:val="single" w:sz="8" w:space="0" w:color="auto"/>
            </w:tcBorders>
            <w:shd w:val="clear" w:color="auto" w:fill="auto"/>
            <w:noWrap/>
            <w:vAlign w:val="center"/>
            <w:hideMark/>
          </w:tcPr>
          <w:p w14:paraId="6B17F2C0" w14:textId="77777777" w:rsidR="00DE2FFE" w:rsidRPr="00975F8D" w:rsidRDefault="00DE2FFE" w:rsidP="0017768A">
            <w:pPr>
              <w:keepNext/>
              <w:jc w:val="center"/>
              <w:rPr>
                <w:rFonts w:cs="Arial"/>
                <w:color w:val="auto"/>
                <w:sz w:val="20"/>
                <w:szCs w:val="20"/>
              </w:rPr>
            </w:pPr>
            <w:r w:rsidRPr="00975F8D">
              <w:rPr>
                <w:rFonts w:cs="Arial"/>
                <w:color w:val="auto"/>
                <w:sz w:val="20"/>
                <w:szCs w:val="20"/>
              </w:rPr>
              <w:t>Maximum Hour</w:t>
            </w:r>
          </w:p>
        </w:tc>
        <w:tc>
          <w:tcPr>
            <w:tcW w:w="2315" w:type="dxa"/>
            <w:tcBorders>
              <w:top w:val="single" w:sz="8" w:space="0" w:color="auto"/>
              <w:left w:val="nil"/>
              <w:bottom w:val="single" w:sz="8" w:space="0" w:color="auto"/>
              <w:right w:val="single" w:sz="8" w:space="0" w:color="auto"/>
            </w:tcBorders>
            <w:shd w:val="clear" w:color="auto" w:fill="auto"/>
            <w:noWrap/>
            <w:vAlign w:val="center"/>
            <w:hideMark/>
          </w:tcPr>
          <w:p w14:paraId="10C8A41E" w14:textId="77777777" w:rsidR="00DE2FFE" w:rsidRPr="00975F8D" w:rsidRDefault="00DE2FFE" w:rsidP="0017768A">
            <w:pPr>
              <w:keepNext/>
              <w:jc w:val="center"/>
              <w:rPr>
                <w:rFonts w:cs="Arial"/>
                <w:color w:val="auto"/>
                <w:sz w:val="20"/>
                <w:szCs w:val="20"/>
              </w:rPr>
            </w:pPr>
            <w:r w:rsidRPr="00975F8D">
              <w:rPr>
                <w:rFonts w:cs="Arial"/>
                <w:color w:val="auto"/>
                <w:sz w:val="20"/>
                <w:szCs w:val="20"/>
              </w:rPr>
              <w:t>Average per Hour</w:t>
            </w:r>
          </w:p>
        </w:tc>
      </w:tr>
      <w:tr w:rsidR="00DE2FFE" w:rsidRPr="00975F8D" w14:paraId="09BE2194" w14:textId="77777777" w:rsidTr="00837E04">
        <w:trPr>
          <w:trHeight w:val="259"/>
        </w:trPr>
        <w:tc>
          <w:tcPr>
            <w:tcW w:w="2315" w:type="dxa"/>
            <w:tcBorders>
              <w:top w:val="nil"/>
              <w:left w:val="single" w:sz="8" w:space="0" w:color="auto"/>
              <w:bottom w:val="single" w:sz="8" w:space="0" w:color="auto"/>
              <w:right w:val="single" w:sz="8" w:space="0" w:color="auto"/>
            </w:tcBorders>
            <w:shd w:val="clear" w:color="auto" w:fill="auto"/>
            <w:noWrap/>
            <w:vAlign w:val="center"/>
            <w:hideMark/>
          </w:tcPr>
          <w:p w14:paraId="28E75C99" w14:textId="77777777" w:rsidR="00DE2FFE" w:rsidRPr="00975F8D" w:rsidRDefault="00DE2FFE" w:rsidP="0017768A">
            <w:pPr>
              <w:keepNext/>
              <w:rPr>
                <w:rFonts w:cs="Arial"/>
                <w:color w:val="auto"/>
                <w:sz w:val="20"/>
                <w:szCs w:val="20"/>
              </w:rPr>
            </w:pPr>
            <w:r w:rsidRPr="00975F8D">
              <w:rPr>
                <w:rFonts w:cs="Arial"/>
                <w:color w:val="auto"/>
                <w:sz w:val="20"/>
                <w:szCs w:val="20"/>
              </w:rPr>
              <w:t>December 22</w:t>
            </w:r>
          </w:p>
        </w:tc>
        <w:tc>
          <w:tcPr>
            <w:tcW w:w="2315" w:type="dxa"/>
            <w:tcBorders>
              <w:top w:val="nil"/>
              <w:left w:val="nil"/>
              <w:bottom w:val="single" w:sz="8" w:space="0" w:color="auto"/>
              <w:right w:val="single" w:sz="8" w:space="0" w:color="auto"/>
            </w:tcBorders>
            <w:shd w:val="clear" w:color="auto" w:fill="auto"/>
            <w:noWrap/>
            <w:vAlign w:val="center"/>
            <w:hideMark/>
          </w:tcPr>
          <w:p w14:paraId="4ED83538" w14:textId="77777777" w:rsidR="00DE2FFE" w:rsidRPr="00975F8D" w:rsidRDefault="00DE2FFE" w:rsidP="0017768A">
            <w:pPr>
              <w:keepNext/>
              <w:jc w:val="center"/>
              <w:rPr>
                <w:rFonts w:cs="Arial"/>
                <w:color w:val="auto"/>
                <w:sz w:val="20"/>
                <w:szCs w:val="20"/>
              </w:rPr>
            </w:pPr>
            <w:r>
              <w:rPr>
                <w:rFonts w:cs="Arial"/>
                <w:sz w:val="20"/>
                <w:szCs w:val="20"/>
              </w:rPr>
              <w:t>0</w:t>
            </w:r>
          </w:p>
        </w:tc>
        <w:tc>
          <w:tcPr>
            <w:tcW w:w="2315" w:type="dxa"/>
            <w:tcBorders>
              <w:top w:val="nil"/>
              <w:left w:val="nil"/>
              <w:bottom w:val="single" w:sz="8" w:space="0" w:color="auto"/>
              <w:right w:val="single" w:sz="8" w:space="0" w:color="auto"/>
            </w:tcBorders>
            <w:shd w:val="clear" w:color="auto" w:fill="auto"/>
            <w:noWrap/>
            <w:vAlign w:val="center"/>
            <w:hideMark/>
          </w:tcPr>
          <w:p w14:paraId="577E84CD" w14:textId="77777777" w:rsidR="00DE2FFE" w:rsidRPr="00975F8D" w:rsidRDefault="00DE2FFE" w:rsidP="0017768A">
            <w:pPr>
              <w:keepNext/>
              <w:jc w:val="center"/>
              <w:rPr>
                <w:rFonts w:cs="Arial"/>
                <w:color w:val="auto"/>
                <w:sz w:val="20"/>
                <w:szCs w:val="20"/>
              </w:rPr>
            </w:pPr>
            <w:r>
              <w:rPr>
                <w:rFonts w:cs="Arial"/>
                <w:sz w:val="20"/>
                <w:szCs w:val="20"/>
              </w:rPr>
              <w:t>160</w:t>
            </w:r>
          </w:p>
        </w:tc>
        <w:tc>
          <w:tcPr>
            <w:tcW w:w="2315" w:type="dxa"/>
            <w:tcBorders>
              <w:top w:val="nil"/>
              <w:left w:val="nil"/>
              <w:bottom w:val="single" w:sz="8" w:space="0" w:color="auto"/>
              <w:right w:val="single" w:sz="8" w:space="0" w:color="auto"/>
            </w:tcBorders>
            <w:shd w:val="clear" w:color="auto" w:fill="auto"/>
            <w:noWrap/>
            <w:vAlign w:val="center"/>
            <w:hideMark/>
          </w:tcPr>
          <w:p w14:paraId="2BB9960C" w14:textId="77777777" w:rsidR="00DE2FFE" w:rsidRPr="00975F8D" w:rsidRDefault="00DE2FFE" w:rsidP="0017768A">
            <w:pPr>
              <w:keepNext/>
              <w:jc w:val="center"/>
              <w:rPr>
                <w:rFonts w:cs="Arial"/>
                <w:color w:val="auto"/>
                <w:sz w:val="20"/>
                <w:szCs w:val="20"/>
              </w:rPr>
            </w:pPr>
            <w:r>
              <w:rPr>
                <w:rFonts w:cs="Arial"/>
                <w:sz w:val="20"/>
                <w:szCs w:val="20"/>
              </w:rPr>
              <w:t>42.3</w:t>
            </w:r>
          </w:p>
        </w:tc>
      </w:tr>
      <w:tr w:rsidR="00DE2FFE" w:rsidRPr="00975F8D" w14:paraId="2CA7C67F" w14:textId="77777777" w:rsidTr="00837E04">
        <w:trPr>
          <w:trHeight w:val="259"/>
        </w:trPr>
        <w:tc>
          <w:tcPr>
            <w:tcW w:w="2315" w:type="dxa"/>
            <w:tcBorders>
              <w:top w:val="nil"/>
              <w:left w:val="single" w:sz="8" w:space="0" w:color="auto"/>
              <w:bottom w:val="single" w:sz="8" w:space="0" w:color="auto"/>
              <w:right w:val="single" w:sz="8" w:space="0" w:color="auto"/>
            </w:tcBorders>
            <w:shd w:val="clear" w:color="auto" w:fill="auto"/>
            <w:noWrap/>
            <w:vAlign w:val="center"/>
            <w:hideMark/>
          </w:tcPr>
          <w:p w14:paraId="5E1AEEB9" w14:textId="77777777" w:rsidR="00DE2FFE" w:rsidRPr="00975F8D" w:rsidRDefault="00DE2FFE" w:rsidP="0017768A">
            <w:pPr>
              <w:keepNext/>
              <w:rPr>
                <w:rFonts w:cs="Arial"/>
                <w:color w:val="auto"/>
                <w:sz w:val="20"/>
                <w:szCs w:val="20"/>
              </w:rPr>
            </w:pPr>
            <w:r w:rsidRPr="00975F8D">
              <w:rPr>
                <w:rFonts w:cs="Arial"/>
                <w:color w:val="auto"/>
                <w:sz w:val="20"/>
                <w:szCs w:val="20"/>
              </w:rPr>
              <w:t>January 23</w:t>
            </w:r>
          </w:p>
        </w:tc>
        <w:tc>
          <w:tcPr>
            <w:tcW w:w="2315" w:type="dxa"/>
            <w:tcBorders>
              <w:top w:val="nil"/>
              <w:left w:val="nil"/>
              <w:bottom w:val="single" w:sz="8" w:space="0" w:color="auto"/>
              <w:right w:val="single" w:sz="8" w:space="0" w:color="auto"/>
            </w:tcBorders>
            <w:shd w:val="clear" w:color="auto" w:fill="auto"/>
            <w:noWrap/>
            <w:vAlign w:val="center"/>
            <w:hideMark/>
          </w:tcPr>
          <w:p w14:paraId="4A4525BE" w14:textId="77777777" w:rsidR="00DE2FFE" w:rsidRPr="00975F8D" w:rsidRDefault="00DE2FFE" w:rsidP="0017768A">
            <w:pPr>
              <w:keepNext/>
              <w:jc w:val="center"/>
              <w:rPr>
                <w:rFonts w:cs="Arial"/>
                <w:color w:val="auto"/>
                <w:sz w:val="20"/>
                <w:szCs w:val="20"/>
              </w:rPr>
            </w:pPr>
            <w:r>
              <w:rPr>
                <w:rFonts w:cs="Arial"/>
                <w:sz w:val="20"/>
                <w:szCs w:val="20"/>
              </w:rPr>
              <w:t>0</w:t>
            </w:r>
          </w:p>
        </w:tc>
        <w:tc>
          <w:tcPr>
            <w:tcW w:w="2315" w:type="dxa"/>
            <w:tcBorders>
              <w:top w:val="nil"/>
              <w:left w:val="nil"/>
              <w:bottom w:val="single" w:sz="8" w:space="0" w:color="auto"/>
              <w:right w:val="single" w:sz="8" w:space="0" w:color="auto"/>
            </w:tcBorders>
            <w:shd w:val="clear" w:color="auto" w:fill="auto"/>
            <w:noWrap/>
            <w:vAlign w:val="center"/>
            <w:hideMark/>
          </w:tcPr>
          <w:p w14:paraId="59C5D180" w14:textId="77777777" w:rsidR="00DE2FFE" w:rsidRPr="00975F8D" w:rsidRDefault="00DE2FFE" w:rsidP="0017768A">
            <w:pPr>
              <w:keepNext/>
              <w:jc w:val="center"/>
              <w:rPr>
                <w:rFonts w:cs="Arial"/>
                <w:color w:val="auto"/>
                <w:sz w:val="20"/>
                <w:szCs w:val="20"/>
              </w:rPr>
            </w:pPr>
            <w:r>
              <w:rPr>
                <w:rFonts w:cs="Arial"/>
                <w:sz w:val="20"/>
                <w:szCs w:val="20"/>
              </w:rPr>
              <w:t>75</w:t>
            </w:r>
          </w:p>
        </w:tc>
        <w:tc>
          <w:tcPr>
            <w:tcW w:w="2315" w:type="dxa"/>
            <w:tcBorders>
              <w:top w:val="nil"/>
              <w:left w:val="nil"/>
              <w:bottom w:val="single" w:sz="8" w:space="0" w:color="auto"/>
              <w:right w:val="single" w:sz="8" w:space="0" w:color="auto"/>
            </w:tcBorders>
            <w:shd w:val="clear" w:color="auto" w:fill="auto"/>
            <w:noWrap/>
            <w:vAlign w:val="center"/>
            <w:hideMark/>
          </w:tcPr>
          <w:p w14:paraId="1502EF6C" w14:textId="77777777" w:rsidR="00DE2FFE" w:rsidRPr="00975F8D" w:rsidRDefault="00DE2FFE" w:rsidP="0017768A">
            <w:pPr>
              <w:keepNext/>
              <w:jc w:val="center"/>
              <w:rPr>
                <w:rFonts w:cs="Arial"/>
                <w:color w:val="auto"/>
                <w:sz w:val="20"/>
                <w:szCs w:val="20"/>
              </w:rPr>
            </w:pPr>
            <w:r>
              <w:rPr>
                <w:rFonts w:cs="Arial"/>
                <w:sz w:val="20"/>
                <w:szCs w:val="20"/>
              </w:rPr>
              <w:t>43.2</w:t>
            </w:r>
          </w:p>
        </w:tc>
      </w:tr>
      <w:tr w:rsidR="00DE2FFE" w:rsidRPr="00975F8D" w14:paraId="6F3F619D" w14:textId="77777777" w:rsidTr="00837E04">
        <w:trPr>
          <w:trHeight w:val="259"/>
        </w:trPr>
        <w:tc>
          <w:tcPr>
            <w:tcW w:w="2315" w:type="dxa"/>
            <w:tcBorders>
              <w:top w:val="nil"/>
              <w:left w:val="single" w:sz="8" w:space="0" w:color="auto"/>
              <w:bottom w:val="single" w:sz="8" w:space="0" w:color="auto"/>
              <w:right w:val="single" w:sz="8" w:space="0" w:color="auto"/>
            </w:tcBorders>
            <w:shd w:val="clear" w:color="auto" w:fill="auto"/>
            <w:noWrap/>
            <w:vAlign w:val="center"/>
            <w:hideMark/>
          </w:tcPr>
          <w:p w14:paraId="3B76BBD2" w14:textId="77777777" w:rsidR="00DE2FFE" w:rsidRPr="00975F8D" w:rsidRDefault="00DE2FFE" w:rsidP="0017768A">
            <w:pPr>
              <w:keepNext/>
              <w:rPr>
                <w:rFonts w:cs="Arial"/>
                <w:color w:val="auto"/>
                <w:sz w:val="20"/>
                <w:szCs w:val="20"/>
              </w:rPr>
            </w:pPr>
            <w:r w:rsidRPr="00975F8D">
              <w:rPr>
                <w:rFonts w:cs="Arial"/>
                <w:color w:val="auto"/>
                <w:sz w:val="20"/>
                <w:szCs w:val="20"/>
              </w:rPr>
              <w:t>February 23</w:t>
            </w:r>
          </w:p>
        </w:tc>
        <w:tc>
          <w:tcPr>
            <w:tcW w:w="2315" w:type="dxa"/>
            <w:tcBorders>
              <w:top w:val="nil"/>
              <w:left w:val="nil"/>
              <w:bottom w:val="single" w:sz="8" w:space="0" w:color="auto"/>
              <w:right w:val="single" w:sz="8" w:space="0" w:color="auto"/>
            </w:tcBorders>
            <w:shd w:val="clear" w:color="auto" w:fill="auto"/>
            <w:noWrap/>
            <w:vAlign w:val="center"/>
            <w:hideMark/>
          </w:tcPr>
          <w:p w14:paraId="55103E48" w14:textId="77777777" w:rsidR="00DE2FFE" w:rsidRPr="00975F8D" w:rsidRDefault="00DE2FFE" w:rsidP="0017768A">
            <w:pPr>
              <w:keepNext/>
              <w:jc w:val="center"/>
              <w:rPr>
                <w:rFonts w:cs="Arial"/>
                <w:color w:val="auto"/>
                <w:sz w:val="20"/>
                <w:szCs w:val="20"/>
              </w:rPr>
            </w:pPr>
            <w:r>
              <w:rPr>
                <w:rFonts w:cs="Arial"/>
                <w:sz w:val="20"/>
                <w:szCs w:val="20"/>
              </w:rPr>
              <w:t>0</w:t>
            </w:r>
          </w:p>
        </w:tc>
        <w:tc>
          <w:tcPr>
            <w:tcW w:w="2315" w:type="dxa"/>
            <w:tcBorders>
              <w:top w:val="nil"/>
              <w:left w:val="nil"/>
              <w:bottom w:val="single" w:sz="8" w:space="0" w:color="auto"/>
              <w:right w:val="single" w:sz="8" w:space="0" w:color="auto"/>
            </w:tcBorders>
            <w:shd w:val="clear" w:color="auto" w:fill="auto"/>
            <w:noWrap/>
            <w:vAlign w:val="center"/>
            <w:hideMark/>
          </w:tcPr>
          <w:p w14:paraId="6B322592" w14:textId="77777777" w:rsidR="00DE2FFE" w:rsidRPr="00975F8D" w:rsidRDefault="00DE2FFE" w:rsidP="0017768A">
            <w:pPr>
              <w:keepNext/>
              <w:jc w:val="center"/>
              <w:rPr>
                <w:rFonts w:cs="Arial"/>
                <w:color w:val="auto"/>
                <w:sz w:val="20"/>
                <w:szCs w:val="20"/>
              </w:rPr>
            </w:pPr>
            <w:r>
              <w:rPr>
                <w:rFonts w:cs="Arial"/>
                <w:sz w:val="20"/>
                <w:szCs w:val="20"/>
              </w:rPr>
              <w:t>90</w:t>
            </w:r>
          </w:p>
        </w:tc>
        <w:tc>
          <w:tcPr>
            <w:tcW w:w="2315" w:type="dxa"/>
            <w:tcBorders>
              <w:top w:val="nil"/>
              <w:left w:val="nil"/>
              <w:bottom w:val="single" w:sz="8" w:space="0" w:color="auto"/>
              <w:right w:val="single" w:sz="8" w:space="0" w:color="auto"/>
            </w:tcBorders>
            <w:shd w:val="clear" w:color="auto" w:fill="auto"/>
            <w:noWrap/>
            <w:vAlign w:val="center"/>
            <w:hideMark/>
          </w:tcPr>
          <w:p w14:paraId="7DD854EF" w14:textId="77777777" w:rsidR="00DE2FFE" w:rsidRPr="00975F8D" w:rsidRDefault="00DE2FFE" w:rsidP="0017768A">
            <w:pPr>
              <w:keepNext/>
              <w:jc w:val="center"/>
              <w:rPr>
                <w:rFonts w:cs="Arial"/>
                <w:color w:val="auto"/>
                <w:sz w:val="20"/>
                <w:szCs w:val="20"/>
              </w:rPr>
            </w:pPr>
            <w:r>
              <w:rPr>
                <w:rFonts w:cs="Arial"/>
                <w:sz w:val="20"/>
                <w:szCs w:val="20"/>
              </w:rPr>
              <w:t>32.1</w:t>
            </w:r>
          </w:p>
        </w:tc>
      </w:tr>
      <w:tr w:rsidR="00DE2FFE" w:rsidRPr="00975F8D" w14:paraId="6A804A61" w14:textId="77777777" w:rsidTr="00837E04">
        <w:trPr>
          <w:trHeight w:val="259"/>
        </w:trPr>
        <w:tc>
          <w:tcPr>
            <w:tcW w:w="2315" w:type="dxa"/>
            <w:tcBorders>
              <w:top w:val="nil"/>
              <w:left w:val="single" w:sz="8" w:space="0" w:color="auto"/>
              <w:bottom w:val="single" w:sz="8" w:space="0" w:color="auto"/>
              <w:right w:val="single" w:sz="8" w:space="0" w:color="auto"/>
            </w:tcBorders>
            <w:shd w:val="clear" w:color="auto" w:fill="auto"/>
            <w:noWrap/>
            <w:vAlign w:val="center"/>
            <w:hideMark/>
          </w:tcPr>
          <w:p w14:paraId="6D90A98F" w14:textId="77777777" w:rsidR="00DE2FFE" w:rsidRPr="00975F8D" w:rsidRDefault="00DE2FFE" w:rsidP="0017768A">
            <w:pPr>
              <w:keepNext/>
              <w:rPr>
                <w:rFonts w:cs="Arial"/>
                <w:color w:val="auto"/>
                <w:sz w:val="20"/>
                <w:szCs w:val="20"/>
              </w:rPr>
            </w:pPr>
            <w:r w:rsidRPr="00975F8D">
              <w:rPr>
                <w:rFonts w:cs="Arial"/>
                <w:color w:val="auto"/>
                <w:sz w:val="20"/>
                <w:szCs w:val="20"/>
              </w:rPr>
              <w:t>March 23</w:t>
            </w:r>
          </w:p>
        </w:tc>
        <w:tc>
          <w:tcPr>
            <w:tcW w:w="2315" w:type="dxa"/>
            <w:tcBorders>
              <w:top w:val="nil"/>
              <w:left w:val="nil"/>
              <w:bottom w:val="single" w:sz="8" w:space="0" w:color="auto"/>
              <w:right w:val="single" w:sz="8" w:space="0" w:color="auto"/>
            </w:tcBorders>
            <w:shd w:val="clear" w:color="auto" w:fill="auto"/>
            <w:noWrap/>
            <w:vAlign w:val="center"/>
            <w:hideMark/>
          </w:tcPr>
          <w:p w14:paraId="61C5D7F2" w14:textId="77777777" w:rsidR="00DE2FFE" w:rsidRPr="00975F8D" w:rsidRDefault="00DE2FFE" w:rsidP="0017768A">
            <w:pPr>
              <w:keepNext/>
              <w:jc w:val="center"/>
              <w:rPr>
                <w:rFonts w:cs="Arial"/>
                <w:color w:val="auto"/>
                <w:sz w:val="20"/>
                <w:szCs w:val="20"/>
              </w:rPr>
            </w:pPr>
            <w:r>
              <w:rPr>
                <w:rFonts w:cs="Arial"/>
                <w:sz w:val="20"/>
                <w:szCs w:val="20"/>
              </w:rPr>
              <w:t>30</w:t>
            </w:r>
          </w:p>
        </w:tc>
        <w:tc>
          <w:tcPr>
            <w:tcW w:w="2315" w:type="dxa"/>
            <w:tcBorders>
              <w:top w:val="nil"/>
              <w:left w:val="nil"/>
              <w:bottom w:val="single" w:sz="8" w:space="0" w:color="auto"/>
              <w:right w:val="single" w:sz="8" w:space="0" w:color="auto"/>
            </w:tcBorders>
            <w:shd w:val="clear" w:color="auto" w:fill="auto"/>
            <w:noWrap/>
            <w:vAlign w:val="center"/>
            <w:hideMark/>
          </w:tcPr>
          <w:p w14:paraId="7DFA48A2" w14:textId="77777777" w:rsidR="00DE2FFE" w:rsidRPr="00975F8D" w:rsidRDefault="00DE2FFE" w:rsidP="0017768A">
            <w:pPr>
              <w:keepNext/>
              <w:jc w:val="center"/>
              <w:rPr>
                <w:rFonts w:cs="Arial"/>
                <w:color w:val="auto"/>
                <w:sz w:val="20"/>
                <w:szCs w:val="20"/>
              </w:rPr>
            </w:pPr>
            <w:r>
              <w:rPr>
                <w:rFonts w:cs="Arial"/>
                <w:sz w:val="20"/>
                <w:szCs w:val="20"/>
              </w:rPr>
              <w:t>119</w:t>
            </w:r>
          </w:p>
        </w:tc>
        <w:tc>
          <w:tcPr>
            <w:tcW w:w="2315" w:type="dxa"/>
            <w:tcBorders>
              <w:top w:val="nil"/>
              <w:left w:val="nil"/>
              <w:bottom w:val="single" w:sz="8" w:space="0" w:color="auto"/>
              <w:right w:val="single" w:sz="8" w:space="0" w:color="auto"/>
            </w:tcBorders>
            <w:shd w:val="clear" w:color="auto" w:fill="auto"/>
            <w:noWrap/>
            <w:vAlign w:val="center"/>
            <w:hideMark/>
          </w:tcPr>
          <w:p w14:paraId="05C17A5F" w14:textId="77777777" w:rsidR="00DE2FFE" w:rsidRPr="00975F8D" w:rsidRDefault="00DE2FFE" w:rsidP="0017768A">
            <w:pPr>
              <w:keepNext/>
              <w:jc w:val="center"/>
              <w:rPr>
                <w:rFonts w:cs="Arial"/>
                <w:color w:val="auto"/>
                <w:sz w:val="20"/>
                <w:szCs w:val="20"/>
              </w:rPr>
            </w:pPr>
            <w:r>
              <w:rPr>
                <w:rFonts w:cs="Arial"/>
                <w:sz w:val="20"/>
                <w:szCs w:val="20"/>
              </w:rPr>
              <w:t>52.0</w:t>
            </w:r>
          </w:p>
        </w:tc>
      </w:tr>
      <w:tr w:rsidR="00DE2FFE" w:rsidRPr="00975F8D" w14:paraId="6A421DBF" w14:textId="77777777" w:rsidTr="00837E04">
        <w:trPr>
          <w:trHeight w:val="259"/>
        </w:trPr>
        <w:tc>
          <w:tcPr>
            <w:tcW w:w="2315" w:type="dxa"/>
            <w:tcBorders>
              <w:top w:val="nil"/>
              <w:left w:val="single" w:sz="8" w:space="0" w:color="auto"/>
              <w:bottom w:val="single" w:sz="8" w:space="0" w:color="auto"/>
              <w:right w:val="single" w:sz="8" w:space="0" w:color="auto"/>
            </w:tcBorders>
            <w:shd w:val="clear" w:color="auto" w:fill="auto"/>
            <w:noWrap/>
            <w:vAlign w:val="center"/>
            <w:hideMark/>
          </w:tcPr>
          <w:p w14:paraId="56B24A19" w14:textId="77777777" w:rsidR="00DE2FFE" w:rsidRPr="00975F8D" w:rsidRDefault="00DE2FFE" w:rsidP="0017768A">
            <w:pPr>
              <w:keepNext/>
              <w:rPr>
                <w:rFonts w:cs="Arial"/>
                <w:color w:val="auto"/>
                <w:sz w:val="20"/>
                <w:szCs w:val="20"/>
              </w:rPr>
            </w:pPr>
            <w:r w:rsidRPr="00975F8D">
              <w:rPr>
                <w:rFonts w:cs="Arial"/>
                <w:color w:val="auto"/>
                <w:sz w:val="20"/>
                <w:szCs w:val="20"/>
              </w:rPr>
              <w:t>April 23</w:t>
            </w:r>
          </w:p>
        </w:tc>
        <w:tc>
          <w:tcPr>
            <w:tcW w:w="2315" w:type="dxa"/>
            <w:tcBorders>
              <w:top w:val="nil"/>
              <w:left w:val="nil"/>
              <w:bottom w:val="single" w:sz="8" w:space="0" w:color="auto"/>
              <w:right w:val="single" w:sz="8" w:space="0" w:color="auto"/>
            </w:tcBorders>
            <w:shd w:val="clear" w:color="auto" w:fill="auto"/>
            <w:noWrap/>
            <w:vAlign w:val="center"/>
            <w:hideMark/>
          </w:tcPr>
          <w:p w14:paraId="10D17947" w14:textId="77777777" w:rsidR="00DE2FFE" w:rsidRPr="00975F8D" w:rsidRDefault="00DE2FFE" w:rsidP="0017768A">
            <w:pPr>
              <w:keepNext/>
              <w:jc w:val="center"/>
              <w:rPr>
                <w:rFonts w:cs="Arial"/>
                <w:color w:val="auto"/>
                <w:sz w:val="20"/>
                <w:szCs w:val="20"/>
              </w:rPr>
            </w:pPr>
            <w:r>
              <w:rPr>
                <w:rFonts w:cs="Arial"/>
                <w:sz w:val="20"/>
                <w:szCs w:val="20"/>
              </w:rPr>
              <w:t>9.4</w:t>
            </w:r>
          </w:p>
        </w:tc>
        <w:tc>
          <w:tcPr>
            <w:tcW w:w="2315" w:type="dxa"/>
            <w:tcBorders>
              <w:top w:val="nil"/>
              <w:left w:val="nil"/>
              <w:bottom w:val="single" w:sz="8" w:space="0" w:color="auto"/>
              <w:right w:val="single" w:sz="8" w:space="0" w:color="auto"/>
            </w:tcBorders>
            <w:shd w:val="clear" w:color="auto" w:fill="auto"/>
            <w:noWrap/>
            <w:vAlign w:val="center"/>
            <w:hideMark/>
          </w:tcPr>
          <w:p w14:paraId="4F264440" w14:textId="77777777" w:rsidR="00DE2FFE" w:rsidRPr="00975F8D" w:rsidRDefault="00DE2FFE" w:rsidP="0017768A">
            <w:pPr>
              <w:keepNext/>
              <w:jc w:val="center"/>
              <w:rPr>
                <w:rFonts w:cs="Arial"/>
                <w:color w:val="auto"/>
                <w:sz w:val="20"/>
                <w:szCs w:val="20"/>
              </w:rPr>
            </w:pPr>
            <w:r>
              <w:rPr>
                <w:rFonts w:cs="Arial"/>
                <w:sz w:val="20"/>
                <w:szCs w:val="20"/>
              </w:rPr>
              <w:t>310.5</w:t>
            </w:r>
          </w:p>
        </w:tc>
        <w:tc>
          <w:tcPr>
            <w:tcW w:w="2315" w:type="dxa"/>
            <w:tcBorders>
              <w:top w:val="nil"/>
              <w:left w:val="nil"/>
              <w:bottom w:val="single" w:sz="8" w:space="0" w:color="auto"/>
              <w:right w:val="single" w:sz="8" w:space="0" w:color="auto"/>
            </w:tcBorders>
            <w:shd w:val="clear" w:color="auto" w:fill="auto"/>
            <w:noWrap/>
            <w:vAlign w:val="center"/>
            <w:hideMark/>
          </w:tcPr>
          <w:p w14:paraId="0A153294" w14:textId="77777777" w:rsidR="00DE2FFE" w:rsidRPr="00975F8D" w:rsidRDefault="00DE2FFE" w:rsidP="0017768A">
            <w:pPr>
              <w:keepNext/>
              <w:jc w:val="center"/>
              <w:rPr>
                <w:rFonts w:cs="Arial"/>
                <w:color w:val="auto"/>
                <w:sz w:val="20"/>
                <w:szCs w:val="20"/>
              </w:rPr>
            </w:pPr>
            <w:r>
              <w:rPr>
                <w:rFonts w:cs="Arial"/>
                <w:sz w:val="20"/>
                <w:szCs w:val="20"/>
              </w:rPr>
              <w:t>221.5</w:t>
            </w:r>
          </w:p>
        </w:tc>
      </w:tr>
      <w:tr w:rsidR="00DE2FFE" w:rsidRPr="00975F8D" w14:paraId="7990734A" w14:textId="77777777" w:rsidTr="00837E04">
        <w:trPr>
          <w:trHeight w:val="259"/>
        </w:trPr>
        <w:tc>
          <w:tcPr>
            <w:tcW w:w="2315" w:type="dxa"/>
            <w:tcBorders>
              <w:top w:val="nil"/>
              <w:left w:val="single" w:sz="8" w:space="0" w:color="auto"/>
              <w:bottom w:val="single" w:sz="8" w:space="0" w:color="auto"/>
              <w:right w:val="single" w:sz="8" w:space="0" w:color="auto"/>
            </w:tcBorders>
            <w:shd w:val="clear" w:color="auto" w:fill="auto"/>
            <w:noWrap/>
            <w:vAlign w:val="center"/>
            <w:hideMark/>
          </w:tcPr>
          <w:p w14:paraId="057C1B41" w14:textId="77777777" w:rsidR="00DE2FFE" w:rsidRPr="00975F8D" w:rsidRDefault="00DE2FFE" w:rsidP="0017768A">
            <w:pPr>
              <w:keepNext/>
              <w:rPr>
                <w:rFonts w:cs="Arial"/>
                <w:color w:val="auto"/>
                <w:sz w:val="20"/>
                <w:szCs w:val="20"/>
              </w:rPr>
            </w:pPr>
            <w:r w:rsidRPr="00975F8D">
              <w:rPr>
                <w:rFonts w:cs="Arial"/>
                <w:color w:val="auto"/>
                <w:sz w:val="20"/>
                <w:szCs w:val="20"/>
              </w:rPr>
              <w:t>May 23</w:t>
            </w:r>
          </w:p>
        </w:tc>
        <w:tc>
          <w:tcPr>
            <w:tcW w:w="2315" w:type="dxa"/>
            <w:tcBorders>
              <w:top w:val="nil"/>
              <w:left w:val="nil"/>
              <w:bottom w:val="single" w:sz="8" w:space="0" w:color="auto"/>
              <w:right w:val="single" w:sz="8" w:space="0" w:color="auto"/>
            </w:tcBorders>
            <w:shd w:val="clear" w:color="auto" w:fill="auto"/>
            <w:noWrap/>
            <w:vAlign w:val="center"/>
            <w:hideMark/>
          </w:tcPr>
          <w:p w14:paraId="052E518D" w14:textId="77777777" w:rsidR="00DE2FFE" w:rsidRPr="00975F8D" w:rsidRDefault="00DE2FFE" w:rsidP="0017768A">
            <w:pPr>
              <w:keepNext/>
              <w:jc w:val="center"/>
              <w:rPr>
                <w:rFonts w:cs="Arial"/>
                <w:color w:val="auto"/>
                <w:sz w:val="20"/>
                <w:szCs w:val="20"/>
              </w:rPr>
            </w:pPr>
            <w:r>
              <w:rPr>
                <w:rFonts w:cs="Arial"/>
                <w:sz w:val="20"/>
                <w:szCs w:val="20"/>
              </w:rPr>
              <w:t>3</w:t>
            </w:r>
          </w:p>
        </w:tc>
        <w:tc>
          <w:tcPr>
            <w:tcW w:w="2315" w:type="dxa"/>
            <w:tcBorders>
              <w:top w:val="nil"/>
              <w:left w:val="nil"/>
              <w:bottom w:val="single" w:sz="8" w:space="0" w:color="auto"/>
              <w:right w:val="single" w:sz="8" w:space="0" w:color="auto"/>
            </w:tcBorders>
            <w:shd w:val="clear" w:color="auto" w:fill="auto"/>
            <w:noWrap/>
            <w:vAlign w:val="center"/>
            <w:hideMark/>
          </w:tcPr>
          <w:p w14:paraId="5CFB45E5" w14:textId="77777777" w:rsidR="00DE2FFE" w:rsidRPr="00975F8D" w:rsidRDefault="00DE2FFE" w:rsidP="0017768A">
            <w:pPr>
              <w:keepNext/>
              <w:jc w:val="center"/>
              <w:rPr>
                <w:rFonts w:cs="Arial"/>
                <w:color w:val="auto"/>
                <w:sz w:val="20"/>
                <w:szCs w:val="20"/>
              </w:rPr>
            </w:pPr>
            <w:r>
              <w:rPr>
                <w:rFonts w:cs="Arial"/>
                <w:sz w:val="20"/>
                <w:szCs w:val="20"/>
              </w:rPr>
              <w:t>333.6</w:t>
            </w:r>
          </w:p>
        </w:tc>
        <w:tc>
          <w:tcPr>
            <w:tcW w:w="2315" w:type="dxa"/>
            <w:tcBorders>
              <w:top w:val="nil"/>
              <w:left w:val="nil"/>
              <w:bottom w:val="single" w:sz="8" w:space="0" w:color="auto"/>
              <w:right w:val="single" w:sz="8" w:space="0" w:color="auto"/>
            </w:tcBorders>
            <w:shd w:val="clear" w:color="auto" w:fill="auto"/>
            <w:noWrap/>
            <w:vAlign w:val="center"/>
            <w:hideMark/>
          </w:tcPr>
          <w:p w14:paraId="2EB53A75" w14:textId="77777777" w:rsidR="00DE2FFE" w:rsidRPr="00975F8D" w:rsidRDefault="00DE2FFE" w:rsidP="0017768A">
            <w:pPr>
              <w:keepNext/>
              <w:jc w:val="center"/>
              <w:rPr>
                <w:rFonts w:cs="Arial"/>
                <w:color w:val="auto"/>
                <w:sz w:val="20"/>
                <w:szCs w:val="20"/>
              </w:rPr>
            </w:pPr>
            <w:r>
              <w:rPr>
                <w:rFonts w:cs="Arial"/>
                <w:sz w:val="20"/>
                <w:szCs w:val="20"/>
              </w:rPr>
              <w:t>273.7</w:t>
            </w:r>
          </w:p>
        </w:tc>
      </w:tr>
      <w:tr w:rsidR="00DE2FFE" w:rsidRPr="00975F8D" w14:paraId="73C66186" w14:textId="77777777" w:rsidTr="00837E04">
        <w:trPr>
          <w:trHeight w:val="259"/>
        </w:trPr>
        <w:tc>
          <w:tcPr>
            <w:tcW w:w="2315" w:type="dxa"/>
            <w:tcBorders>
              <w:top w:val="nil"/>
              <w:left w:val="single" w:sz="8" w:space="0" w:color="auto"/>
              <w:bottom w:val="single" w:sz="8" w:space="0" w:color="auto"/>
              <w:right w:val="single" w:sz="8" w:space="0" w:color="auto"/>
            </w:tcBorders>
            <w:shd w:val="clear" w:color="auto" w:fill="auto"/>
            <w:noWrap/>
            <w:vAlign w:val="center"/>
            <w:hideMark/>
          </w:tcPr>
          <w:p w14:paraId="35A3E774" w14:textId="77777777" w:rsidR="00DE2FFE" w:rsidRPr="00975F8D" w:rsidRDefault="00DE2FFE" w:rsidP="0017768A">
            <w:pPr>
              <w:keepNext/>
              <w:rPr>
                <w:rFonts w:cs="Arial"/>
                <w:color w:val="auto"/>
                <w:sz w:val="20"/>
                <w:szCs w:val="20"/>
              </w:rPr>
            </w:pPr>
            <w:r w:rsidRPr="00975F8D">
              <w:rPr>
                <w:rFonts w:cs="Arial"/>
                <w:color w:val="auto"/>
                <w:sz w:val="20"/>
                <w:szCs w:val="20"/>
              </w:rPr>
              <w:t>June 23</w:t>
            </w:r>
          </w:p>
        </w:tc>
        <w:tc>
          <w:tcPr>
            <w:tcW w:w="2315" w:type="dxa"/>
            <w:tcBorders>
              <w:top w:val="nil"/>
              <w:left w:val="nil"/>
              <w:bottom w:val="single" w:sz="8" w:space="0" w:color="auto"/>
              <w:right w:val="single" w:sz="8" w:space="0" w:color="auto"/>
            </w:tcBorders>
            <w:shd w:val="clear" w:color="auto" w:fill="auto"/>
            <w:noWrap/>
            <w:vAlign w:val="center"/>
            <w:hideMark/>
          </w:tcPr>
          <w:p w14:paraId="6BF3137F" w14:textId="77777777" w:rsidR="00DE2FFE" w:rsidRPr="00975F8D" w:rsidRDefault="00DE2FFE" w:rsidP="0017768A">
            <w:pPr>
              <w:keepNext/>
              <w:jc w:val="center"/>
              <w:rPr>
                <w:rFonts w:cs="Arial"/>
                <w:color w:val="auto"/>
                <w:sz w:val="20"/>
                <w:szCs w:val="20"/>
              </w:rPr>
            </w:pPr>
            <w:r>
              <w:rPr>
                <w:rFonts w:cs="Arial"/>
                <w:sz w:val="20"/>
                <w:szCs w:val="20"/>
              </w:rPr>
              <w:t>1.9</w:t>
            </w:r>
          </w:p>
        </w:tc>
        <w:tc>
          <w:tcPr>
            <w:tcW w:w="2315" w:type="dxa"/>
            <w:tcBorders>
              <w:top w:val="nil"/>
              <w:left w:val="nil"/>
              <w:bottom w:val="single" w:sz="8" w:space="0" w:color="auto"/>
              <w:right w:val="single" w:sz="8" w:space="0" w:color="auto"/>
            </w:tcBorders>
            <w:shd w:val="clear" w:color="auto" w:fill="auto"/>
            <w:noWrap/>
            <w:vAlign w:val="center"/>
            <w:hideMark/>
          </w:tcPr>
          <w:p w14:paraId="673FDE7A" w14:textId="77777777" w:rsidR="00DE2FFE" w:rsidRPr="00975F8D" w:rsidRDefault="00DE2FFE" w:rsidP="0017768A">
            <w:pPr>
              <w:keepNext/>
              <w:jc w:val="center"/>
              <w:rPr>
                <w:rFonts w:cs="Arial"/>
                <w:color w:val="auto"/>
                <w:sz w:val="20"/>
                <w:szCs w:val="20"/>
              </w:rPr>
            </w:pPr>
            <w:r>
              <w:rPr>
                <w:rFonts w:cs="Arial"/>
                <w:sz w:val="20"/>
                <w:szCs w:val="20"/>
              </w:rPr>
              <w:t>328.6</w:t>
            </w:r>
          </w:p>
        </w:tc>
        <w:tc>
          <w:tcPr>
            <w:tcW w:w="2315" w:type="dxa"/>
            <w:tcBorders>
              <w:top w:val="nil"/>
              <w:left w:val="nil"/>
              <w:bottom w:val="single" w:sz="8" w:space="0" w:color="auto"/>
              <w:right w:val="single" w:sz="8" w:space="0" w:color="auto"/>
            </w:tcBorders>
            <w:shd w:val="clear" w:color="auto" w:fill="auto"/>
            <w:noWrap/>
            <w:vAlign w:val="center"/>
            <w:hideMark/>
          </w:tcPr>
          <w:p w14:paraId="1846EB87" w14:textId="77777777" w:rsidR="00DE2FFE" w:rsidRPr="00975F8D" w:rsidRDefault="00DE2FFE" w:rsidP="0017768A">
            <w:pPr>
              <w:keepNext/>
              <w:jc w:val="center"/>
              <w:rPr>
                <w:rFonts w:cs="Arial"/>
                <w:color w:val="auto"/>
                <w:sz w:val="20"/>
                <w:szCs w:val="20"/>
              </w:rPr>
            </w:pPr>
            <w:r>
              <w:rPr>
                <w:rFonts w:cs="Arial"/>
                <w:sz w:val="20"/>
                <w:szCs w:val="20"/>
              </w:rPr>
              <w:t>157.2</w:t>
            </w:r>
          </w:p>
        </w:tc>
      </w:tr>
      <w:tr w:rsidR="00DE2FFE" w:rsidRPr="00975F8D" w14:paraId="28397D5C" w14:textId="77777777" w:rsidTr="00837E04">
        <w:trPr>
          <w:trHeight w:val="259"/>
        </w:trPr>
        <w:tc>
          <w:tcPr>
            <w:tcW w:w="2315" w:type="dxa"/>
            <w:tcBorders>
              <w:top w:val="nil"/>
              <w:left w:val="single" w:sz="8" w:space="0" w:color="auto"/>
              <w:bottom w:val="single" w:sz="8" w:space="0" w:color="auto"/>
              <w:right w:val="single" w:sz="8" w:space="0" w:color="auto"/>
            </w:tcBorders>
            <w:shd w:val="clear" w:color="auto" w:fill="auto"/>
            <w:noWrap/>
            <w:vAlign w:val="center"/>
            <w:hideMark/>
          </w:tcPr>
          <w:p w14:paraId="1C983676" w14:textId="77777777" w:rsidR="00DE2FFE" w:rsidRPr="00975F8D" w:rsidRDefault="00DE2FFE" w:rsidP="0017768A">
            <w:pPr>
              <w:keepNext/>
              <w:rPr>
                <w:rFonts w:cs="Arial"/>
                <w:color w:val="auto"/>
                <w:sz w:val="20"/>
                <w:szCs w:val="20"/>
              </w:rPr>
            </w:pPr>
            <w:r w:rsidRPr="00975F8D">
              <w:rPr>
                <w:rFonts w:cs="Arial"/>
                <w:color w:val="auto"/>
                <w:sz w:val="20"/>
                <w:szCs w:val="20"/>
              </w:rPr>
              <w:t>July 23</w:t>
            </w:r>
          </w:p>
        </w:tc>
        <w:tc>
          <w:tcPr>
            <w:tcW w:w="2315" w:type="dxa"/>
            <w:tcBorders>
              <w:top w:val="nil"/>
              <w:left w:val="nil"/>
              <w:bottom w:val="single" w:sz="8" w:space="0" w:color="auto"/>
              <w:right w:val="single" w:sz="8" w:space="0" w:color="auto"/>
            </w:tcBorders>
            <w:shd w:val="clear" w:color="auto" w:fill="auto"/>
            <w:noWrap/>
            <w:vAlign w:val="center"/>
            <w:hideMark/>
          </w:tcPr>
          <w:p w14:paraId="166E0C2F" w14:textId="77777777" w:rsidR="00DE2FFE" w:rsidRPr="00975F8D" w:rsidRDefault="00DE2FFE" w:rsidP="0017768A">
            <w:pPr>
              <w:keepNext/>
              <w:jc w:val="center"/>
              <w:rPr>
                <w:rFonts w:cs="Arial"/>
                <w:color w:val="auto"/>
                <w:sz w:val="20"/>
                <w:szCs w:val="20"/>
              </w:rPr>
            </w:pPr>
            <w:r>
              <w:rPr>
                <w:rFonts w:cs="Arial"/>
                <w:sz w:val="20"/>
                <w:szCs w:val="20"/>
              </w:rPr>
              <w:t>2.2</w:t>
            </w:r>
          </w:p>
        </w:tc>
        <w:tc>
          <w:tcPr>
            <w:tcW w:w="2315" w:type="dxa"/>
            <w:tcBorders>
              <w:top w:val="nil"/>
              <w:left w:val="nil"/>
              <w:bottom w:val="single" w:sz="8" w:space="0" w:color="auto"/>
              <w:right w:val="single" w:sz="8" w:space="0" w:color="auto"/>
            </w:tcBorders>
            <w:shd w:val="clear" w:color="auto" w:fill="auto"/>
            <w:noWrap/>
            <w:vAlign w:val="center"/>
            <w:hideMark/>
          </w:tcPr>
          <w:p w14:paraId="16D62D36" w14:textId="77777777" w:rsidR="00DE2FFE" w:rsidRPr="00975F8D" w:rsidRDefault="00DE2FFE" w:rsidP="0017768A">
            <w:pPr>
              <w:keepNext/>
              <w:jc w:val="center"/>
              <w:rPr>
                <w:rFonts w:cs="Arial"/>
                <w:color w:val="auto"/>
                <w:sz w:val="20"/>
                <w:szCs w:val="20"/>
              </w:rPr>
            </w:pPr>
            <w:r>
              <w:rPr>
                <w:rFonts w:cs="Arial"/>
                <w:sz w:val="20"/>
                <w:szCs w:val="20"/>
              </w:rPr>
              <w:t>252.4</w:t>
            </w:r>
          </w:p>
        </w:tc>
        <w:tc>
          <w:tcPr>
            <w:tcW w:w="2315" w:type="dxa"/>
            <w:tcBorders>
              <w:top w:val="nil"/>
              <w:left w:val="nil"/>
              <w:bottom w:val="single" w:sz="8" w:space="0" w:color="auto"/>
              <w:right w:val="single" w:sz="8" w:space="0" w:color="auto"/>
            </w:tcBorders>
            <w:shd w:val="clear" w:color="auto" w:fill="auto"/>
            <w:noWrap/>
            <w:vAlign w:val="center"/>
            <w:hideMark/>
          </w:tcPr>
          <w:p w14:paraId="319124B2" w14:textId="77777777" w:rsidR="00DE2FFE" w:rsidRPr="00975F8D" w:rsidRDefault="00DE2FFE" w:rsidP="0017768A">
            <w:pPr>
              <w:keepNext/>
              <w:jc w:val="center"/>
              <w:rPr>
                <w:rFonts w:cs="Arial"/>
                <w:color w:val="auto"/>
                <w:sz w:val="20"/>
                <w:szCs w:val="20"/>
              </w:rPr>
            </w:pPr>
            <w:r>
              <w:rPr>
                <w:rFonts w:cs="Arial"/>
                <w:sz w:val="20"/>
                <w:szCs w:val="20"/>
              </w:rPr>
              <w:t>97.6</w:t>
            </w:r>
          </w:p>
        </w:tc>
      </w:tr>
      <w:tr w:rsidR="00DE2FFE" w:rsidRPr="00975F8D" w14:paraId="29710FD4" w14:textId="77777777" w:rsidTr="00837E04">
        <w:trPr>
          <w:trHeight w:val="259"/>
        </w:trPr>
        <w:tc>
          <w:tcPr>
            <w:tcW w:w="2315" w:type="dxa"/>
            <w:tcBorders>
              <w:top w:val="nil"/>
              <w:left w:val="single" w:sz="8" w:space="0" w:color="auto"/>
              <w:bottom w:val="single" w:sz="8" w:space="0" w:color="auto"/>
              <w:right w:val="single" w:sz="8" w:space="0" w:color="auto"/>
            </w:tcBorders>
            <w:shd w:val="clear" w:color="auto" w:fill="auto"/>
            <w:noWrap/>
            <w:vAlign w:val="center"/>
            <w:hideMark/>
          </w:tcPr>
          <w:p w14:paraId="408AEAD8" w14:textId="77777777" w:rsidR="00DE2FFE" w:rsidRPr="00975F8D" w:rsidRDefault="00DE2FFE" w:rsidP="0017768A">
            <w:pPr>
              <w:keepNext/>
              <w:rPr>
                <w:rFonts w:cs="Arial"/>
                <w:color w:val="auto"/>
                <w:sz w:val="20"/>
                <w:szCs w:val="20"/>
              </w:rPr>
            </w:pPr>
            <w:r w:rsidRPr="00975F8D">
              <w:rPr>
                <w:rFonts w:cs="Arial"/>
                <w:color w:val="auto"/>
                <w:sz w:val="20"/>
                <w:szCs w:val="20"/>
              </w:rPr>
              <w:t>August 23</w:t>
            </w:r>
          </w:p>
        </w:tc>
        <w:tc>
          <w:tcPr>
            <w:tcW w:w="2315" w:type="dxa"/>
            <w:tcBorders>
              <w:top w:val="nil"/>
              <w:left w:val="nil"/>
              <w:bottom w:val="single" w:sz="8" w:space="0" w:color="auto"/>
              <w:right w:val="single" w:sz="8" w:space="0" w:color="auto"/>
            </w:tcBorders>
            <w:shd w:val="clear" w:color="auto" w:fill="auto"/>
            <w:noWrap/>
            <w:vAlign w:val="center"/>
            <w:hideMark/>
          </w:tcPr>
          <w:p w14:paraId="2C6031B1" w14:textId="77777777" w:rsidR="00DE2FFE" w:rsidRPr="00975F8D" w:rsidRDefault="00DE2FFE" w:rsidP="0017768A">
            <w:pPr>
              <w:keepNext/>
              <w:jc w:val="center"/>
              <w:rPr>
                <w:rFonts w:cs="Arial"/>
                <w:color w:val="auto"/>
                <w:sz w:val="20"/>
                <w:szCs w:val="20"/>
              </w:rPr>
            </w:pPr>
            <w:r>
              <w:rPr>
                <w:rFonts w:cs="Arial"/>
                <w:sz w:val="20"/>
                <w:szCs w:val="20"/>
              </w:rPr>
              <w:t>2.1</w:t>
            </w:r>
          </w:p>
        </w:tc>
        <w:tc>
          <w:tcPr>
            <w:tcW w:w="2315" w:type="dxa"/>
            <w:tcBorders>
              <w:top w:val="nil"/>
              <w:left w:val="nil"/>
              <w:bottom w:val="single" w:sz="8" w:space="0" w:color="auto"/>
              <w:right w:val="single" w:sz="8" w:space="0" w:color="auto"/>
            </w:tcBorders>
            <w:shd w:val="clear" w:color="auto" w:fill="auto"/>
            <w:noWrap/>
            <w:vAlign w:val="center"/>
            <w:hideMark/>
          </w:tcPr>
          <w:p w14:paraId="015F293F" w14:textId="77777777" w:rsidR="00DE2FFE" w:rsidRPr="00975F8D" w:rsidRDefault="00DE2FFE" w:rsidP="0017768A">
            <w:pPr>
              <w:keepNext/>
              <w:jc w:val="center"/>
              <w:rPr>
                <w:rFonts w:cs="Arial"/>
                <w:color w:val="auto"/>
                <w:sz w:val="20"/>
                <w:szCs w:val="20"/>
              </w:rPr>
            </w:pPr>
            <w:r>
              <w:rPr>
                <w:rFonts w:cs="Arial"/>
                <w:sz w:val="20"/>
                <w:szCs w:val="20"/>
              </w:rPr>
              <w:t>249.2</w:t>
            </w:r>
          </w:p>
        </w:tc>
        <w:tc>
          <w:tcPr>
            <w:tcW w:w="2315" w:type="dxa"/>
            <w:tcBorders>
              <w:top w:val="nil"/>
              <w:left w:val="nil"/>
              <w:bottom w:val="single" w:sz="8" w:space="0" w:color="auto"/>
              <w:right w:val="single" w:sz="8" w:space="0" w:color="auto"/>
            </w:tcBorders>
            <w:shd w:val="clear" w:color="auto" w:fill="auto"/>
            <w:noWrap/>
            <w:vAlign w:val="center"/>
            <w:hideMark/>
          </w:tcPr>
          <w:p w14:paraId="3ABE167A" w14:textId="77777777" w:rsidR="00DE2FFE" w:rsidRPr="00975F8D" w:rsidRDefault="00DE2FFE" w:rsidP="0017768A">
            <w:pPr>
              <w:keepNext/>
              <w:jc w:val="center"/>
              <w:rPr>
                <w:rFonts w:cs="Arial"/>
                <w:color w:val="auto"/>
                <w:sz w:val="20"/>
                <w:szCs w:val="20"/>
              </w:rPr>
            </w:pPr>
            <w:r>
              <w:rPr>
                <w:rFonts w:cs="Arial"/>
                <w:sz w:val="20"/>
                <w:szCs w:val="20"/>
              </w:rPr>
              <w:t>75.2</w:t>
            </w:r>
          </w:p>
        </w:tc>
      </w:tr>
      <w:tr w:rsidR="00DE2FFE" w:rsidRPr="00975F8D" w14:paraId="629E94D0" w14:textId="77777777" w:rsidTr="00837E04">
        <w:trPr>
          <w:trHeight w:val="259"/>
        </w:trPr>
        <w:tc>
          <w:tcPr>
            <w:tcW w:w="2315" w:type="dxa"/>
            <w:tcBorders>
              <w:top w:val="nil"/>
              <w:left w:val="single" w:sz="8" w:space="0" w:color="auto"/>
              <w:bottom w:val="single" w:sz="8" w:space="0" w:color="auto"/>
              <w:right w:val="single" w:sz="8" w:space="0" w:color="auto"/>
            </w:tcBorders>
            <w:shd w:val="clear" w:color="auto" w:fill="auto"/>
            <w:noWrap/>
            <w:vAlign w:val="center"/>
            <w:hideMark/>
          </w:tcPr>
          <w:p w14:paraId="7178FE39" w14:textId="77777777" w:rsidR="00DE2FFE" w:rsidRPr="00975F8D" w:rsidRDefault="00DE2FFE" w:rsidP="0017768A">
            <w:pPr>
              <w:keepNext/>
              <w:rPr>
                <w:rFonts w:cs="Arial"/>
                <w:color w:val="auto"/>
                <w:sz w:val="20"/>
                <w:szCs w:val="20"/>
              </w:rPr>
            </w:pPr>
            <w:r w:rsidRPr="00975F8D">
              <w:rPr>
                <w:rFonts w:cs="Arial"/>
                <w:color w:val="auto"/>
                <w:sz w:val="20"/>
                <w:szCs w:val="20"/>
              </w:rPr>
              <w:t>September 23</w:t>
            </w:r>
          </w:p>
        </w:tc>
        <w:tc>
          <w:tcPr>
            <w:tcW w:w="2315" w:type="dxa"/>
            <w:tcBorders>
              <w:top w:val="nil"/>
              <w:left w:val="nil"/>
              <w:bottom w:val="single" w:sz="8" w:space="0" w:color="auto"/>
              <w:right w:val="single" w:sz="8" w:space="0" w:color="auto"/>
            </w:tcBorders>
            <w:shd w:val="clear" w:color="auto" w:fill="auto"/>
            <w:noWrap/>
            <w:vAlign w:val="center"/>
            <w:hideMark/>
          </w:tcPr>
          <w:p w14:paraId="49BDB21D" w14:textId="77777777" w:rsidR="00DE2FFE" w:rsidRPr="00975F8D" w:rsidRDefault="00DE2FFE" w:rsidP="0017768A">
            <w:pPr>
              <w:keepNext/>
              <w:jc w:val="center"/>
              <w:rPr>
                <w:rFonts w:cs="Arial"/>
                <w:color w:val="auto"/>
                <w:sz w:val="20"/>
                <w:szCs w:val="20"/>
              </w:rPr>
            </w:pPr>
            <w:r>
              <w:rPr>
                <w:rFonts w:cs="Arial"/>
                <w:sz w:val="20"/>
                <w:szCs w:val="20"/>
              </w:rPr>
              <w:t>0</w:t>
            </w:r>
          </w:p>
        </w:tc>
        <w:tc>
          <w:tcPr>
            <w:tcW w:w="2315" w:type="dxa"/>
            <w:tcBorders>
              <w:top w:val="nil"/>
              <w:left w:val="nil"/>
              <w:bottom w:val="single" w:sz="8" w:space="0" w:color="auto"/>
              <w:right w:val="single" w:sz="8" w:space="0" w:color="auto"/>
            </w:tcBorders>
            <w:shd w:val="clear" w:color="auto" w:fill="auto"/>
            <w:noWrap/>
            <w:vAlign w:val="center"/>
            <w:hideMark/>
          </w:tcPr>
          <w:p w14:paraId="0D66E179" w14:textId="77777777" w:rsidR="00DE2FFE" w:rsidRPr="00975F8D" w:rsidRDefault="00DE2FFE" w:rsidP="0017768A">
            <w:pPr>
              <w:keepNext/>
              <w:jc w:val="center"/>
              <w:rPr>
                <w:rFonts w:cs="Arial"/>
                <w:color w:val="auto"/>
                <w:sz w:val="20"/>
                <w:szCs w:val="20"/>
              </w:rPr>
            </w:pPr>
            <w:r>
              <w:rPr>
                <w:rFonts w:cs="Arial"/>
                <w:sz w:val="20"/>
                <w:szCs w:val="20"/>
              </w:rPr>
              <w:t>63.7</w:t>
            </w:r>
          </w:p>
        </w:tc>
        <w:tc>
          <w:tcPr>
            <w:tcW w:w="2315" w:type="dxa"/>
            <w:tcBorders>
              <w:top w:val="nil"/>
              <w:left w:val="nil"/>
              <w:bottom w:val="single" w:sz="8" w:space="0" w:color="auto"/>
              <w:right w:val="single" w:sz="8" w:space="0" w:color="auto"/>
            </w:tcBorders>
            <w:shd w:val="clear" w:color="auto" w:fill="auto"/>
            <w:noWrap/>
            <w:vAlign w:val="center"/>
            <w:hideMark/>
          </w:tcPr>
          <w:p w14:paraId="3EE497C1" w14:textId="77777777" w:rsidR="00DE2FFE" w:rsidRPr="00975F8D" w:rsidRDefault="00DE2FFE" w:rsidP="0017768A">
            <w:pPr>
              <w:keepNext/>
              <w:jc w:val="center"/>
              <w:rPr>
                <w:rFonts w:cs="Arial"/>
                <w:color w:val="auto"/>
                <w:sz w:val="20"/>
                <w:szCs w:val="20"/>
              </w:rPr>
            </w:pPr>
            <w:r>
              <w:rPr>
                <w:rFonts w:cs="Arial"/>
                <w:sz w:val="20"/>
                <w:szCs w:val="20"/>
              </w:rPr>
              <w:t>18.0</w:t>
            </w:r>
          </w:p>
        </w:tc>
      </w:tr>
      <w:tr w:rsidR="00DE2FFE" w:rsidRPr="00975F8D" w14:paraId="1FD519D1" w14:textId="77777777" w:rsidTr="00837E04">
        <w:trPr>
          <w:trHeight w:val="259"/>
        </w:trPr>
        <w:tc>
          <w:tcPr>
            <w:tcW w:w="2315" w:type="dxa"/>
            <w:tcBorders>
              <w:top w:val="nil"/>
              <w:left w:val="single" w:sz="8" w:space="0" w:color="auto"/>
              <w:bottom w:val="single" w:sz="8" w:space="0" w:color="auto"/>
              <w:right w:val="single" w:sz="8" w:space="0" w:color="auto"/>
            </w:tcBorders>
            <w:shd w:val="clear" w:color="auto" w:fill="auto"/>
            <w:noWrap/>
            <w:vAlign w:val="center"/>
            <w:hideMark/>
          </w:tcPr>
          <w:p w14:paraId="78BFD743" w14:textId="77777777" w:rsidR="00DE2FFE" w:rsidRPr="00975F8D" w:rsidRDefault="00DE2FFE" w:rsidP="0017768A">
            <w:pPr>
              <w:keepNext/>
              <w:rPr>
                <w:rFonts w:cs="Arial"/>
                <w:color w:val="auto"/>
                <w:sz w:val="20"/>
                <w:szCs w:val="20"/>
              </w:rPr>
            </w:pPr>
            <w:r w:rsidRPr="00975F8D">
              <w:rPr>
                <w:rFonts w:cs="Arial"/>
                <w:color w:val="auto"/>
                <w:sz w:val="20"/>
                <w:szCs w:val="20"/>
              </w:rPr>
              <w:t>October 23</w:t>
            </w:r>
          </w:p>
        </w:tc>
        <w:tc>
          <w:tcPr>
            <w:tcW w:w="2315" w:type="dxa"/>
            <w:tcBorders>
              <w:top w:val="nil"/>
              <w:left w:val="nil"/>
              <w:bottom w:val="single" w:sz="8" w:space="0" w:color="auto"/>
              <w:right w:val="single" w:sz="8" w:space="0" w:color="auto"/>
            </w:tcBorders>
            <w:shd w:val="clear" w:color="auto" w:fill="auto"/>
            <w:noWrap/>
            <w:vAlign w:val="center"/>
            <w:hideMark/>
          </w:tcPr>
          <w:p w14:paraId="72B20E29" w14:textId="77777777" w:rsidR="00DE2FFE" w:rsidRPr="00975F8D" w:rsidRDefault="00DE2FFE" w:rsidP="0017768A">
            <w:pPr>
              <w:keepNext/>
              <w:jc w:val="center"/>
              <w:rPr>
                <w:rFonts w:cs="Arial"/>
                <w:color w:val="auto"/>
                <w:sz w:val="20"/>
                <w:szCs w:val="20"/>
              </w:rPr>
            </w:pPr>
            <w:r>
              <w:rPr>
                <w:rFonts w:cs="Arial"/>
                <w:sz w:val="20"/>
                <w:szCs w:val="20"/>
              </w:rPr>
              <w:t>0</w:t>
            </w:r>
          </w:p>
        </w:tc>
        <w:tc>
          <w:tcPr>
            <w:tcW w:w="2315" w:type="dxa"/>
            <w:tcBorders>
              <w:top w:val="nil"/>
              <w:left w:val="nil"/>
              <w:bottom w:val="single" w:sz="8" w:space="0" w:color="auto"/>
              <w:right w:val="single" w:sz="8" w:space="0" w:color="auto"/>
            </w:tcBorders>
            <w:shd w:val="clear" w:color="auto" w:fill="auto"/>
            <w:noWrap/>
            <w:vAlign w:val="center"/>
            <w:hideMark/>
          </w:tcPr>
          <w:p w14:paraId="33D63F98" w14:textId="77777777" w:rsidR="00DE2FFE" w:rsidRPr="00975F8D" w:rsidRDefault="00DE2FFE" w:rsidP="0017768A">
            <w:pPr>
              <w:keepNext/>
              <w:jc w:val="center"/>
              <w:rPr>
                <w:rFonts w:cs="Arial"/>
                <w:color w:val="auto"/>
                <w:sz w:val="20"/>
                <w:szCs w:val="20"/>
              </w:rPr>
            </w:pPr>
            <w:r>
              <w:rPr>
                <w:rFonts w:cs="Arial"/>
                <w:sz w:val="20"/>
                <w:szCs w:val="20"/>
              </w:rPr>
              <w:t>43.1</w:t>
            </w:r>
          </w:p>
        </w:tc>
        <w:tc>
          <w:tcPr>
            <w:tcW w:w="2315" w:type="dxa"/>
            <w:tcBorders>
              <w:top w:val="nil"/>
              <w:left w:val="nil"/>
              <w:bottom w:val="single" w:sz="8" w:space="0" w:color="auto"/>
              <w:right w:val="single" w:sz="8" w:space="0" w:color="auto"/>
            </w:tcBorders>
            <w:shd w:val="clear" w:color="auto" w:fill="auto"/>
            <w:noWrap/>
            <w:vAlign w:val="center"/>
            <w:hideMark/>
          </w:tcPr>
          <w:p w14:paraId="3D527812" w14:textId="77777777" w:rsidR="00DE2FFE" w:rsidRPr="00975F8D" w:rsidRDefault="00DE2FFE" w:rsidP="0017768A">
            <w:pPr>
              <w:keepNext/>
              <w:jc w:val="center"/>
              <w:rPr>
                <w:rFonts w:cs="Arial"/>
                <w:color w:val="auto"/>
                <w:sz w:val="20"/>
                <w:szCs w:val="20"/>
              </w:rPr>
            </w:pPr>
            <w:r>
              <w:rPr>
                <w:rFonts w:cs="Arial"/>
                <w:sz w:val="20"/>
                <w:szCs w:val="20"/>
              </w:rPr>
              <w:t>9.8</w:t>
            </w:r>
          </w:p>
        </w:tc>
      </w:tr>
      <w:tr w:rsidR="00DE2FFE" w:rsidRPr="00975F8D" w14:paraId="5703E4DE" w14:textId="77777777" w:rsidTr="00837E04">
        <w:trPr>
          <w:trHeight w:val="259"/>
        </w:trPr>
        <w:tc>
          <w:tcPr>
            <w:tcW w:w="2315" w:type="dxa"/>
            <w:tcBorders>
              <w:top w:val="nil"/>
              <w:left w:val="single" w:sz="8" w:space="0" w:color="auto"/>
              <w:bottom w:val="single" w:sz="8" w:space="0" w:color="auto"/>
              <w:right w:val="single" w:sz="8" w:space="0" w:color="auto"/>
            </w:tcBorders>
            <w:shd w:val="clear" w:color="auto" w:fill="auto"/>
            <w:noWrap/>
            <w:vAlign w:val="center"/>
            <w:hideMark/>
          </w:tcPr>
          <w:p w14:paraId="4D4C2125" w14:textId="77777777" w:rsidR="00DE2FFE" w:rsidRPr="00975F8D" w:rsidRDefault="00DE2FFE" w:rsidP="0017768A">
            <w:pPr>
              <w:keepNext/>
              <w:rPr>
                <w:rFonts w:cs="Arial"/>
                <w:color w:val="auto"/>
                <w:sz w:val="20"/>
                <w:szCs w:val="20"/>
              </w:rPr>
            </w:pPr>
            <w:r w:rsidRPr="00975F8D">
              <w:rPr>
                <w:rFonts w:cs="Arial"/>
                <w:color w:val="auto"/>
                <w:sz w:val="20"/>
                <w:szCs w:val="20"/>
              </w:rPr>
              <w:t>November 23</w:t>
            </w:r>
          </w:p>
        </w:tc>
        <w:tc>
          <w:tcPr>
            <w:tcW w:w="2315" w:type="dxa"/>
            <w:tcBorders>
              <w:top w:val="nil"/>
              <w:left w:val="nil"/>
              <w:bottom w:val="single" w:sz="8" w:space="0" w:color="auto"/>
              <w:right w:val="single" w:sz="8" w:space="0" w:color="auto"/>
            </w:tcBorders>
            <w:shd w:val="clear" w:color="auto" w:fill="auto"/>
            <w:noWrap/>
            <w:vAlign w:val="center"/>
            <w:hideMark/>
          </w:tcPr>
          <w:p w14:paraId="7CA06772" w14:textId="77777777" w:rsidR="00DE2FFE" w:rsidRPr="00975F8D" w:rsidRDefault="00DE2FFE" w:rsidP="0017768A">
            <w:pPr>
              <w:keepNext/>
              <w:jc w:val="center"/>
              <w:rPr>
                <w:rFonts w:cs="Arial"/>
                <w:color w:val="auto"/>
                <w:sz w:val="20"/>
                <w:szCs w:val="20"/>
              </w:rPr>
            </w:pPr>
            <w:r>
              <w:rPr>
                <w:rFonts w:cs="Arial"/>
                <w:sz w:val="20"/>
                <w:szCs w:val="20"/>
              </w:rPr>
              <w:t>0</w:t>
            </w:r>
          </w:p>
        </w:tc>
        <w:tc>
          <w:tcPr>
            <w:tcW w:w="2315" w:type="dxa"/>
            <w:tcBorders>
              <w:top w:val="nil"/>
              <w:left w:val="nil"/>
              <w:bottom w:val="single" w:sz="8" w:space="0" w:color="auto"/>
              <w:right w:val="single" w:sz="8" w:space="0" w:color="auto"/>
            </w:tcBorders>
            <w:shd w:val="clear" w:color="auto" w:fill="auto"/>
            <w:noWrap/>
            <w:vAlign w:val="center"/>
            <w:hideMark/>
          </w:tcPr>
          <w:p w14:paraId="30AD8CE8" w14:textId="77777777" w:rsidR="00DE2FFE" w:rsidRPr="00975F8D" w:rsidRDefault="00DE2FFE" w:rsidP="0017768A">
            <w:pPr>
              <w:keepNext/>
              <w:jc w:val="center"/>
              <w:rPr>
                <w:rFonts w:cs="Arial"/>
                <w:color w:val="auto"/>
                <w:sz w:val="20"/>
                <w:szCs w:val="20"/>
              </w:rPr>
            </w:pPr>
            <w:r>
              <w:rPr>
                <w:rFonts w:cs="Arial"/>
                <w:sz w:val="20"/>
                <w:szCs w:val="20"/>
              </w:rPr>
              <w:t>109.9</w:t>
            </w:r>
          </w:p>
        </w:tc>
        <w:tc>
          <w:tcPr>
            <w:tcW w:w="2315" w:type="dxa"/>
            <w:tcBorders>
              <w:top w:val="nil"/>
              <w:left w:val="nil"/>
              <w:bottom w:val="single" w:sz="8" w:space="0" w:color="auto"/>
              <w:right w:val="single" w:sz="8" w:space="0" w:color="auto"/>
            </w:tcBorders>
            <w:shd w:val="clear" w:color="auto" w:fill="auto"/>
            <w:noWrap/>
            <w:vAlign w:val="center"/>
            <w:hideMark/>
          </w:tcPr>
          <w:p w14:paraId="0D0369F0" w14:textId="77777777" w:rsidR="00DE2FFE" w:rsidRPr="00975F8D" w:rsidRDefault="00DE2FFE" w:rsidP="0017768A">
            <w:pPr>
              <w:keepNext/>
              <w:jc w:val="center"/>
              <w:rPr>
                <w:rFonts w:cs="Arial"/>
                <w:color w:val="auto"/>
                <w:sz w:val="20"/>
                <w:szCs w:val="20"/>
              </w:rPr>
            </w:pPr>
            <w:r>
              <w:rPr>
                <w:rFonts w:cs="Arial"/>
                <w:sz w:val="20"/>
                <w:szCs w:val="20"/>
              </w:rPr>
              <w:t>13.2</w:t>
            </w:r>
          </w:p>
        </w:tc>
      </w:tr>
    </w:tbl>
    <w:p w14:paraId="4B6FF9D4" w14:textId="77777777" w:rsidR="00DE2FFE" w:rsidRDefault="00DE2FFE" w:rsidP="00DE2FFE">
      <w:pPr>
        <w:jc w:val="both"/>
        <w:rPr>
          <w:rFonts w:cs="Arial"/>
          <w:color w:val="auto"/>
        </w:rPr>
      </w:pPr>
    </w:p>
    <w:p w14:paraId="21D02A69" w14:textId="77777777" w:rsidR="00DE2FFE" w:rsidRPr="00550FB6" w:rsidRDefault="00DE2FFE" w:rsidP="0071779F">
      <w:pPr>
        <w:keepNext/>
        <w:jc w:val="both"/>
        <w:rPr>
          <w:rFonts w:cs="Arial"/>
          <w:i/>
          <w:iCs/>
          <w:color w:val="000000"/>
          <w:sz w:val="16"/>
          <w:szCs w:val="16"/>
        </w:rPr>
      </w:pPr>
      <w:r w:rsidRPr="00550FB6">
        <w:rPr>
          <w:rFonts w:cs="Arial"/>
          <w:i/>
          <w:iCs/>
          <w:color w:val="000000"/>
          <w:sz w:val="16"/>
          <w:szCs w:val="16"/>
        </w:rPr>
        <w:t xml:space="preserve">Table </w:t>
      </w:r>
      <w:r>
        <w:rPr>
          <w:rFonts w:cs="Arial"/>
          <w:i/>
          <w:iCs/>
          <w:color w:val="000000"/>
          <w:sz w:val="16"/>
          <w:szCs w:val="16"/>
        </w:rPr>
        <w:t>5</w:t>
      </w:r>
      <w:r w:rsidRPr="00550FB6">
        <w:rPr>
          <w:rFonts w:cs="Arial"/>
          <w:i/>
          <w:iCs/>
          <w:color w:val="000000"/>
          <w:sz w:val="16"/>
          <w:szCs w:val="16"/>
        </w:rPr>
        <w:t xml:space="preserve">:  </w:t>
      </w:r>
      <w:r>
        <w:rPr>
          <w:rFonts w:cs="Arial"/>
          <w:i/>
          <w:iCs/>
          <w:color w:val="000000"/>
          <w:sz w:val="16"/>
          <w:szCs w:val="16"/>
        </w:rPr>
        <w:t>NSPIN</w:t>
      </w:r>
      <w:r w:rsidRPr="00550FB6">
        <w:rPr>
          <w:rFonts w:cs="Arial"/>
          <w:i/>
          <w:iCs/>
          <w:color w:val="000000"/>
          <w:sz w:val="16"/>
          <w:szCs w:val="16"/>
        </w:rPr>
        <w:t xml:space="preserve"> hourly </w:t>
      </w:r>
      <w:r>
        <w:rPr>
          <w:rFonts w:cs="Arial"/>
          <w:i/>
          <w:iCs/>
          <w:color w:val="000000"/>
          <w:sz w:val="16"/>
          <w:szCs w:val="16"/>
        </w:rPr>
        <w:t>awards</w:t>
      </w:r>
      <w:r w:rsidRPr="00550FB6">
        <w:rPr>
          <w:rFonts w:cs="Arial"/>
          <w:i/>
          <w:iCs/>
          <w:color w:val="000000"/>
          <w:sz w:val="16"/>
          <w:szCs w:val="16"/>
        </w:rPr>
        <w:t xml:space="preserve"> (MW) 12/22 through 11/23 </w:t>
      </w:r>
    </w:p>
    <w:tbl>
      <w:tblPr>
        <w:tblW w:w="9260" w:type="dxa"/>
        <w:tblLayout w:type="fixed"/>
        <w:tblLook w:val="04A0" w:firstRow="1" w:lastRow="0" w:firstColumn="1" w:lastColumn="0" w:noHBand="0" w:noVBand="1"/>
      </w:tblPr>
      <w:tblGrid>
        <w:gridCol w:w="2315"/>
        <w:gridCol w:w="2315"/>
        <w:gridCol w:w="2315"/>
        <w:gridCol w:w="2315"/>
      </w:tblGrid>
      <w:tr w:rsidR="00DE2FFE" w:rsidRPr="00975F8D" w14:paraId="33A9D597" w14:textId="77777777" w:rsidTr="00837E04">
        <w:trPr>
          <w:trHeight w:val="259"/>
        </w:trPr>
        <w:tc>
          <w:tcPr>
            <w:tcW w:w="23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9F7C34E" w14:textId="77777777" w:rsidR="00DE2FFE" w:rsidRPr="00975F8D" w:rsidRDefault="00DE2FFE" w:rsidP="00831917">
            <w:pPr>
              <w:keepNext/>
              <w:jc w:val="center"/>
              <w:rPr>
                <w:rFonts w:cs="Arial"/>
                <w:color w:val="auto"/>
                <w:sz w:val="20"/>
                <w:szCs w:val="20"/>
              </w:rPr>
            </w:pPr>
            <w:r w:rsidRPr="00975F8D">
              <w:rPr>
                <w:rFonts w:cs="Arial"/>
                <w:color w:val="auto"/>
                <w:sz w:val="20"/>
                <w:szCs w:val="20"/>
              </w:rPr>
              <w:t>Month</w:t>
            </w:r>
          </w:p>
        </w:tc>
        <w:tc>
          <w:tcPr>
            <w:tcW w:w="2315" w:type="dxa"/>
            <w:tcBorders>
              <w:top w:val="single" w:sz="8" w:space="0" w:color="auto"/>
              <w:left w:val="nil"/>
              <w:bottom w:val="single" w:sz="8" w:space="0" w:color="auto"/>
              <w:right w:val="single" w:sz="8" w:space="0" w:color="auto"/>
            </w:tcBorders>
            <w:shd w:val="clear" w:color="auto" w:fill="auto"/>
            <w:noWrap/>
            <w:vAlign w:val="center"/>
            <w:hideMark/>
          </w:tcPr>
          <w:p w14:paraId="410C53EA" w14:textId="77777777" w:rsidR="00DE2FFE" w:rsidRPr="00975F8D" w:rsidRDefault="00DE2FFE" w:rsidP="0071779F">
            <w:pPr>
              <w:keepNext/>
              <w:jc w:val="center"/>
              <w:rPr>
                <w:rFonts w:cs="Arial"/>
                <w:color w:val="auto"/>
                <w:sz w:val="20"/>
                <w:szCs w:val="20"/>
              </w:rPr>
            </w:pPr>
            <w:r w:rsidRPr="00975F8D">
              <w:rPr>
                <w:rFonts w:cs="Arial"/>
                <w:color w:val="auto"/>
                <w:sz w:val="20"/>
                <w:szCs w:val="20"/>
              </w:rPr>
              <w:t>Minimum Hour</w:t>
            </w:r>
          </w:p>
        </w:tc>
        <w:tc>
          <w:tcPr>
            <w:tcW w:w="2315" w:type="dxa"/>
            <w:tcBorders>
              <w:top w:val="single" w:sz="8" w:space="0" w:color="auto"/>
              <w:left w:val="nil"/>
              <w:bottom w:val="single" w:sz="8" w:space="0" w:color="auto"/>
              <w:right w:val="single" w:sz="8" w:space="0" w:color="auto"/>
            </w:tcBorders>
            <w:shd w:val="clear" w:color="auto" w:fill="auto"/>
            <w:noWrap/>
            <w:vAlign w:val="center"/>
            <w:hideMark/>
          </w:tcPr>
          <w:p w14:paraId="10FC03EA" w14:textId="77777777" w:rsidR="00DE2FFE" w:rsidRPr="00975F8D" w:rsidRDefault="00DE2FFE" w:rsidP="0071779F">
            <w:pPr>
              <w:keepNext/>
              <w:jc w:val="center"/>
              <w:rPr>
                <w:rFonts w:cs="Arial"/>
                <w:color w:val="auto"/>
                <w:sz w:val="20"/>
                <w:szCs w:val="20"/>
              </w:rPr>
            </w:pPr>
            <w:r w:rsidRPr="00975F8D">
              <w:rPr>
                <w:rFonts w:cs="Arial"/>
                <w:color w:val="auto"/>
                <w:sz w:val="20"/>
                <w:szCs w:val="20"/>
              </w:rPr>
              <w:t>Maximum Hour</w:t>
            </w:r>
          </w:p>
        </w:tc>
        <w:tc>
          <w:tcPr>
            <w:tcW w:w="2315" w:type="dxa"/>
            <w:tcBorders>
              <w:top w:val="single" w:sz="8" w:space="0" w:color="auto"/>
              <w:left w:val="nil"/>
              <w:bottom w:val="single" w:sz="8" w:space="0" w:color="auto"/>
              <w:right w:val="single" w:sz="8" w:space="0" w:color="auto"/>
            </w:tcBorders>
            <w:shd w:val="clear" w:color="auto" w:fill="auto"/>
            <w:noWrap/>
            <w:vAlign w:val="center"/>
            <w:hideMark/>
          </w:tcPr>
          <w:p w14:paraId="2F2EDB8F" w14:textId="77777777" w:rsidR="00DE2FFE" w:rsidRPr="00975F8D" w:rsidRDefault="00DE2FFE" w:rsidP="0071779F">
            <w:pPr>
              <w:keepNext/>
              <w:jc w:val="center"/>
              <w:rPr>
                <w:rFonts w:cs="Arial"/>
                <w:color w:val="auto"/>
                <w:sz w:val="20"/>
                <w:szCs w:val="20"/>
              </w:rPr>
            </w:pPr>
            <w:r w:rsidRPr="00975F8D">
              <w:rPr>
                <w:rFonts w:cs="Arial"/>
                <w:color w:val="auto"/>
                <w:sz w:val="20"/>
                <w:szCs w:val="20"/>
              </w:rPr>
              <w:t>Average per Hour</w:t>
            </w:r>
          </w:p>
        </w:tc>
      </w:tr>
      <w:tr w:rsidR="00DE2FFE" w:rsidRPr="00975F8D" w14:paraId="2C3BF783" w14:textId="77777777" w:rsidTr="00837E04">
        <w:trPr>
          <w:trHeight w:val="259"/>
        </w:trPr>
        <w:tc>
          <w:tcPr>
            <w:tcW w:w="2315" w:type="dxa"/>
            <w:tcBorders>
              <w:top w:val="nil"/>
              <w:left w:val="single" w:sz="8" w:space="0" w:color="auto"/>
              <w:bottom w:val="single" w:sz="8" w:space="0" w:color="auto"/>
              <w:right w:val="single" w:sz="8" w:space="0" w:color="auto"/>
            </w:tcBorders>
            <w:shd w:val="clear" w:color="auto" w:fill="auto"/>
            <w:noWrap/>
            <w:vAlign w:val="center"/>
            <w:hideMark/>
          </w:tcPr>
          <w:p w14:paraId="1573D720" w14:textId="77777777" w:rsidR="00DE2FFE" w:rsidRPr="00975F8D" w:rsidRDefault="00DE2FFE" w:rsidP="004D177E">
            <w:pPr>
              <w:rPr>
                <w:rFonts w:cs="Arial"/>
                <w:color w:val="auto"/>
                <w:sz w:val="20"/>
                <w:szCs w:val="20"/>
              </w:rPr>
            </w:pPr>
            <w:r w:rsidRPr="00975F8D">
              <w:rPr>
                <w:rFonts w:cs="Arial"/>
                <w:color w:val="auto"/>
                <w:sz w:val="20"/>
                <w:szCs w:val="20"/>
              </w:rPr>
              <w:t>December 22</w:t>
            </w:r>
          </w:p>
        </w:tc>
        <w:tc>
          <w:tcPr>
            <w:tcW w:w="2315" w:type="dxa"/>
            <w:tcBorders>
              <w:top w:val="nil"/>
              <w:left w:val="nil"/>
              <w:bottom w:val="single" w:sz="8" w:space="0" w:color="auto"/>
              <w:right w:val="single" w:sz="8" w:space="0" w:color="auto"/>
            </w:tcBorders>
            <w:shd w:val="clear" w:color="auto" w:fill="auto"/>
            <w:noWrap/>
            <w:vAlign w:val="center"/>
            <w:hideMark/>
          </w:tcPr>
          <w:p w14:paraId="1810B53A" w14:textId="77777777" w:rsidR="00DE2FFE" w:rsidRPr="00975F8D" w:rsidRDefault="00DE2FFE" w:rsidP="004D177E">
            <w:pPr>
              <w:jc w:val="center"/>
              <w:rPr>
                <w:rFonts w:cs="Arial"/>
                <w:color w:val="auto"/>
                <w:sz w:val="20"/>
                <w:szCs w:val="20"/>
              </w:rPr>
            </w:pPr>
            <w:r>
              <w:rPr>
                <w:rFonts w:cs="Arial"/>
                <w:sz w:val="20"/>
                <w:szCs w:val="20"/>
              </w:rPr>
              <w:t>0</w:t>
            </w:r>
          </w:p>
        </w:tc>
        <w:tc>
          <w:tcPr>
            <w:tcW w:w="2315" w:type="dxa"/>
            <w:tcBorders>
              <w:top w:val="nil"/>
              <w:left w:val="nil"/>
              <w:bottom w:val="single" w:sz="8" w:space="0" w:color="auto"/>
              <w:right w:val="single" w:sz="8" w:space="0" w:color="auto"/>
            </w:tcBorders>
            <w:shd w:val="clear" w:color="auto" w:fill="auto"/>
            <w:noWrap/>
            <w:vAlign w:val="center"/>
            <w:hideMark/>
          </w:tcPr>
          <w:p w14:paraId="54053A4D" w14:textId="77777777" w:rsidR="00DE2FFE" w:rsidRPr="00975F8D" w:rsidRDefault="00DE2FFE" w:rsidP="004D177E">
            <w:pPr>
              <w:jc w:val="center"/>
              <w:rPr>
                <w:rFonts w:cs="Arial"/>
                <w:color w:val="auto"/>
                <w:sz w:val="20"/>
                <w:szCs w:val="20"/>
              </w:rPr>
            </w:pPr>
            <w:r>
              <w:rPr>
                <w:rFonts w:cs="Arial"/>
                <w:sz w:val="20"/>
                <w:szCs w:val="20"/>
              </w:rPr>
              <w:t>160</w:t>
            </w:r>
          </w:p>
        </w:tc>
        <w:tc>
          <w:tcPr>
            <w:tcW w:w="2315" w:type="dxa"/>
            <w:tcBorders>
              <w:top w:val="nil"/>
              <w:left w:val="nil"/>
              <w:bottom w:val="single" w:sz="8" w:space="0" w:color="auto"/>
              <w:right w:val="single" w:sz="8" w:space="0" w:color="auto"/>
            </w:tcBorders>
            <w:shd w:val="clear" w:color="auto" w:fill="auto"/>
            <w:noWrap/>
            <w:vAlign w:val="center"/>
            <w:hideMark/>
          </w:tcPr>
          <w:p w14:paraId="679A79B5" w14:textId="77777777" w:rsidR="00DE2FFE" w:rsidRPr="00975F8D" w:rsidRDefault="00DE2FFE" w:rsidP="004D177E">
            <w:pPr>
              <w:jc w:val="center"/>
              <w:rPr>
                <w:rFonts w:cs="Arial"/>
                <w:color w:val="auto"/>
                <w:sz w:val="20"/>
                <w:szCs w:val="20"/>
              </w:rPr>
            </w:pPr>
            <w:r>
              <w:rPr>
                <w:rFonts w:cs="Arial"/>
                <w:sz w:val="20"/>
                <w:szCs w:val="20"/>
              </w:rPr>
              <w:t>42.3</w:t>
            </w:r>
          </w:p>
        </w:tc>
      </w:tr>
      <w:tr w:rsidR="00DE2FFE" w:rsidRPr="00975F8D" w14:paraId="3EE89197" w14:textId="77777777" w:rsidTr="00837E04">
        <w:trPr>
          <w:trHeight w:val="259"/>
        </w:trPr>
        <w:tc>
          <w:tcPr>
            <w:tcW w:w="2315" w:type="dxa"/>
            <w:tcBorders>
              <w:top w:val="nil"/>
              <w:left w:val="single" w:sz="8" w:space="0" w:color="auto"/>
              <w:bottom w:val="single" w:sz="8" w:space="0" w:color="auto"/>
              <w:right w:val="single" w:sz="8" w:space="0" w:color="auto"/>
            </w:tcBorders>
            <w:shd w:val="clear" w:color="auto" w:fill="auto"/>
            <w:noWrap/>
            <w:vAlign w:val="center"/>
            <w:hideMark/>
          </w:tcPr>
          <w:p w14:paraId="13931F81" w14:textId="77777777" w:rsidR="00DE2FFE" w:rsidRPr="00975F8D" w:rsidRDefault="00DE2FFE" w:rsidP="004D177E">
            <w:pPr>
              <w:rPr>
                <w:rFonts w:cs="Arial"/>
                <w:color w:val="auto"/>
                <w:sz w:val="20"/>
                <w:szCs w:val="20"/>
              </w:rPr>
            </w:pPr>
            <w:r w:rsidRPr="00975F8D">
              <w:rPr>
                <w:rFonts w:cs="Arial"/>
                <w:color w:val="auto"/>
                <w:sz w:val="20"/>
                <w:szCs w:val="20"/>
              </w:rPr>
              <w:t>January 23</w:t>
            </w:r>
          </w:p>
        </w:tc>
        <w:tc>
          <w:tcPr>
            <w:tcW w:w="2315" w:type="dxa"/>
            <w:tcBorders>
              <w:top w:val="nil"/>
              <w:left w:val="nil"/>
              <w:bottom w:val="single" w:sz="8" w:space="0" w:color="auto"/>
              <w:right w:val="single" w:sz="8" w:space="0" w:color="auto"/>
            </w:tcBorders>
            <w:shd w:val="clear" w:color="auto" w:fill="auto"/>
            <w:noWrap/>
            <w:vAlign w:val="center"/>
            <w:hideMark/>
          </w:tcPr>
          <w:p w14:paraId="0E2C5336" w14:textId="77777777" w:rsidR="00DE2FFE" w:rsidRPr="00975F8D" w:rsidRDefault="00DE2FFE" w:rsidP="004D177E">
            <w:pPr>
              <w:jc w:val="center"/>
              <w:rPr>
                <w:rFonts w:cs="Arial"/>
                <w:color w:val="auto"/>
                <w:sz w:val="20"/>
                <w:szCs w:val="20"/>
              </w:rPr>
            </w:pPr>
            <w:r>
              <w:rPr>
                <w:rFonts w:cs="Arial"/>
                <w:sz w:val="20"/>
                <w:szCs w:val="20"/>
              </w:rPr>
              <w:t>0</w:t>
            </w:r>
          </w:p>
        </w:tc>
        <w:tc>
          <w:tcPr>
            <w:tcW w:w="2315" w:type="dxa"/>
            <w:tcBorders>
              <w:top w:val="nil"/>
              <w:left w:val="nil"/>
              <w:bottom w:val="single" w:sz="8" w:space="0" w:color="auto"/>
              <w:right w:val="single" w:sz="8" w:space="0" w:color="auto"/>
            </w:tcBorders>
            <w:shd w:val="clear" w:color="auto" w:fill="auto"/>
            <w:noWrap/>
            <w:vAlign w:val="center"/>
            <w:hideMark/>
          </w:tcPr>
          <w:p w14:paraId="5580ECB2" w14:textId="77777777" w:rsidR="00DE2FFE" w:rsidRPr="00975F8D" w:rsidRDefault="00DE2FFE" w:rsidP="004D177E">
            <w:pPr>
              <w:jc w:val="center"/>
              <w:rPr>
                <w:rFonts w:cs="Arial"/>
                <w:color w:val="auto"/>
                <w:sz w:val="20"/>
                <w:szCs w:val="20"/>
              </w:rPr>
            </w:pPr>
            <w:r>
              <w:rPr>
                <w:rFonts w:cs="Arial"/>
                <w:sz w:val="20"/>
                <w:szCs w:val="20"/>
              </w:rPr>
              <w:t>75</w:t>
            </w:r>
          </w:p>
        </w:tc>
        <w:tc>
          <w:tcPr>
            <w:tcW w:w="2315" w:type="dxa"/>
            <w:tcBorders>
              <w:top w:val="nil"/>
              <w:left w:val="nil"/>
              <w:bottom w:val="single" w:sz="8" w:space="0" w:color="auto"/>
              <w:right w:val="single" w:sz="8" w:space="0" w:color="auto"/>
            </w:tcBorders>
            <w:shd w:val="clear" w:color="auto" w:fill="auto"/>
            <w:noWrap/>
            <w:vAlign w:val="center"/>
            <w:hideMark/>
          </w:tcPr>
          <w:p w14:paraId="4E055DB4" w14:textId="77777777" w:rsidR="00DE2FFE" w:rsidRPr="00975F8D" w:rsidRDefault="00DE2FFE" w:rsidP="004D177E">
            <w:pPr>
              <w:jc w:val="center"/>
              <w:rPr>
                <w:rFonts w:cs="Arial"/>
                <w:color w:val="auto"/>
                <w:sz w:val="20"/>
                <w:szCs w:val="20"/>
              </w:rPr>
            </w:pPr>
            <w:r>
              <w:rPr>
                <w:rFonts w:cs="Arial"/>
                <w:sz w:val="20"/>
                <w:szCs w:val="20"/>
              </w:rPr>
              <w:t>43.2</w:t>
            </w:r>
          </w:p>
        </w:tc>
      </w:tr>
      <w:tr w:rsidR="00DE2FFE" w:rsidRPr="00975F8D" w14:paraId="5E174FE1" w14:textId="77777777" w:rsidTr="00837E04">
        <w:trPr>
          <w:trHeight w:val="259"/>
        </w:trPr>
        <w:tc>
          <w:tcPr>
            <w:tcW w:w="2315" w:type="dxa"/>
            <w:tcBorders>
              <w:top w:val="nil"/>
              <w:left w:val="single" w:sz="8" w:space="0" w:color="auto"/>
              <w:bottom w:val="single" w:sz="8" w:space="0" w:color="auto"/>
              <w:right w:val="single" w:sz="8" w:space="0" w:color="auto"/>
            </w:tcBorders>
            <w:shd w:val="clear" w:color="auto" w:fill="auto"/>
            <w:noWrap/>
            <w:vAlign w:val="center"/>
            <w:hideMark/>
          </w:tcPr>
          <w:p w14:paraId="7B262777" w14:textId="77777777" w:rsidR="00DE2FFE" w:rsidRPr="00975F8D" w:rsidRDefault="00DE2FFE" w:rsidP="004D177E">
            <w:pPr>
              <w:rPr>
                <w:rFonts w:cs="Arial"/>
                <w:color w:val="auto"/>
                <w:sz w:val="20"/>
                <w:szCs w:val="20"/>
              </w:rPr>
            </w:pPr>
            <w:r w:rsidRPr="00975F8D">
              <w:rPr>
                <w:rFonts w:cs="Arial"/>
                <w:color w:val="auto"/>
                <w:sz w:val="20"/>
                <w:szCs w:val="20"/>
              </w:rPr>
              <w:t>February 23</w:t>
            </w:r>
          </w:p>
        </w:tc>
        <w:tc>
          <w:tcPr>
            <w:tcW w:w="2315" w:type="dxa"/>
            <w:tcBorders>
              <w:top w:val="nil"/>
              <w:left w:val="nil"/>
              <w:bottom w:val="single" w:sz="8" w:space="0" w:color="auto"/>
              <w:right w:val="single" w:sz="8" w:space="0" w:color="auto"/>
            </w:tcBorders>
            <w:shd w:val="clear" w:color="auto" w:fill="auto"/>
            <w:noWrap/>
            <w:vAlign w:val="center"/>
            <w:hideMark/>
          </w:tcPr>
          <w:p w14:paraId="01C509BA" w14:textId="77777777" w:rsidR="00DE2FFE" w:rsidRPr="00975F8D" w:rsidRDefault="00DE2FFE" w:rsidP="004D177E">
            <w:pPr>
              <w:jc w:val="center"/>
              <w:rPr>
                <w:rFonts w:cs="Arial"/>
                <w:color w:val="auto"/>
                <w:sz w:val="20"/>
                <w:szCs w:val="20"/>
              </w:rPr>
            </w:pPr>
            <w:r>
              <w:rPr>
                <w:rFonts w:cs="Arial"/>
                <w:sz w:val="20"/>
                <w:szCs w:val="20"/>
              </w:rPr>
              <w:t>0</w:t>
            </w:r>
          </w:p>
        </w:tc>
        <w:tc>
          <w:tcPr>
            <w:tcW w:w="2315" w:type="dxa"/>
            <w:tcBorders>
              <w:top w:val="nil"/>
              <w:left w:val="nil"/>
              <w:bottom w:val="single" w:sz="8" w:space="0" w:color="auto"/>
              <w:right w:val="single" w:sz="8" w:space="0" w:color="auto"/>
            </w:tcBorders>
            <w:shd w:val="clear" w:color="auto" w:fill="auto"/>
            <w:noWrap/>
            <w:vAlign w:val="center"/>
            <w:hideMark/>
          </w:tcPr>
          <w:p w14:paraId="7F12E408" w14:textId="77777777" w:rsidR="00DE2FFE" w:rsidRPr="00975F8D" w:rsidRDefault="00DE2FFE" w:rsidP="004D177E">
            <w:pPr>
              <w:jc w:val="center"/>
              <w:rPr>
                <w:rFonts w:cs="Arial"/>
                <w:color w:val="auto"/>
                <w:sz w:val="20"/>
                <w:szCs w:val="20"/>
              </w:rPr>
            </w:pPr>
            <w:r>
              <w:rPr>
                <w:rFonts w:cs="Arial"/>
                <w:sz w:val="20"/>
                <w:szCs w:val="20"/>
              </w:rPr>
              <w:t>90</w:t>
            </w:r>
          </w:p>
        </w:tc>
        <w:tc>
          <w:tcPr>
            <w:tcW w:w="2315" w:type="dxa"/>
            <w:tcBorders>
              <w:top w:val="nil"/>
              <w:left w:val="nil"/>
              <w:bottom w:val="single" w:sz="8" w:space="0" w:color="auto"/>
              <w:right w:val="single" w:sz="8" w:space="0" w:color="auto"/>
            </w:tcBorders>
            <w:shd w:val="clear" w:color="auto" w:fill="auto"/>
            <w:noWrap/>
            <w:vAlign w:val="center"/>
            <w:hideMark/>
          </w:tcPr>
          <w:p w14:paraId="12C30158" w14:textId="77777777" w:rsidR="00DE2FFE" w:rsidRPr="00975F8D" w:rsidRDefault="00DE2FFE" w:rsidP="004D177E">
            <w:pPr>
              <w:jc w:val="center"/>
              <w:rPr>
                <w:rFonts w:cs="Arial"/>
                <w:color w:val="auto"/>
                <w:sz w:val="20"/>
                <w:szCs w:val="20"/>
              </w:rPr>
            </w:pPr>
            <w:r>
              <w:rPr>
                <w:rFonts w:cs="Arial"/>
                <w:sz w:val="20"/>
                <w:szCs w:val="20"/>
              </w:rPr>
              <w:t>32.1</w:t>
            </w:r>
          </w:p>
        </w:tc>
      </w:tr>
      <w:tr w:rsidR="00DE2FFE" w:rsidRPr="00975F8D" w14:paraId="0E01ED17" w14:textId="77777777" w:rsidTr="00837E04">
        <w:trPr>
          <w:trHeight w:val="259"/>
        </w:trPr>
        <w:tc>
          <w:tcPr>
            <w:tcW w:w="2315" w:type="dxa"/>
            <w:tcBorders>
              <w:top w:val="nil"/>
              <w:left w:val="single" w:sz="8" w:space="0" w:color="auto"/>
              <w:bottom w:val="single" w:sz="8" w:space="0" w:color="auto"/>
              <w:right w:val="single" w:sz="8" w:space="0" w:color="auto"/>
            </w:tcBorders>
            <w:shd w:val="clear" w:color="auto" w:fill="auto"/>
            <w:noWrap/>
            <w:vAlign w:val="center"/>
            <w:hideMark/>
          </w:tcPr>
          <w:p w14:paraId="3F604C72" w14:textId="77777777" w:rsidR="00DE2FFE" w:rsidRPr="00975F8D" w:rsidRDefault="00DE2FFE" w:rsidP="004D177E">
            <w:pPr>
              <w:rPr>
                <w:rFonts w:cs="Arial"/>
                <w:color w:val="auto"/>
                <w:sz w:val="20"/>
                <w:szCs w:val="20"/>
              </w:rPr>
            </w:pPr>
            <w:r w:rsidRPr="00975F8D">
              <w:rPr>
                <w:rFonts w:cs="Arial"/>
                <w:color w:val="auto"/>
                <w:sz w:val="20"/>
                <w:szCs w:val="20"/>
              </w:rPr>
              <w:t>March 23</w:t>
            </w:r>
          </w:p>
        </w:tc>
        <w:tc>
          <w:tcPr>
            <w:tcW w:w="2315" w:type="dxa"/>
            <w:tcBorders>
              <w:top w:val="nil"/>
              <w:left w:val="nil"/>
              <w:bottom w:val="single" w:sz="8" w:space="0" w:color="auto"/>
              <w:right w:val="single" w:sz="8" w:space="0" w:color="auto"/>
            </w:tcBorders>
            <w:shd w:val="clear" w:color="auto" w:fill="auto"/>
            <w:noWrap/>
            <w:vAlign w:val="center"/>
            <w:hideMark/>
          </w:tcPr>
          <w:p w14:paraId="6C6185DB" w14:textId="77777777" w:rsidR="00DE2FFE" w:rsidRPr="00975F8D" w:rsidRDefault="00DE2FFE" w:rsidP="004D177E">
            <w:pPr>
              <w:jc w:val="center"/>
              <w:rPr>
                <w:rFonts w:cs="Arial"/>
                <w:color w:val="auto"/>
                <w:sz w:val="20"/>
                <w:szCs w:val="20"/>
              </w:rPr>
            </w:pPr>
            <w:r>
              <w:rPr>
                <w:rFonts w:cs="Arial"/>
                <w:sz w:val="20"/>
                <w:szCs w:val="20"/>
              </w:rPr>
              <w:t>30</w:t>
            </w:r>
          </w:p>
        </w:tc>
        <w:tc>
          <w:tcPr>
            <w:tcW w:w="2315" w:type="dxa"/>
            <w:tcBorders>
              <w:top w:val="nil"/>
              <w:left w:val="nil"/>
              <w:bottom w:val="single" w:sz="8" w:space="0" w:color="auto"/>
              <w:right w:val="single" w:sz="8" w:space="0" w:color="auto"/>
            </w:tcBorders>
            <w:shd w:val="clear" w:color="auto" w:fill="auto"/>
            <w:noWrap/>
            <w:vAlign w:val="center"/>
            <w:hideMark/>
          </w:tcPr>
          <w:p w14:paraId="74591798" w14:textId="77777777" w:rsidR="00DE2FFE" w:rsidRPr="00975F8D" w:rsidRDefault="00DE2FFE" w:rsidP="004D177E">
            <w:pPr>
              <w:jc w:val="center"/>
              <w:rPr>
                <w:rFonts w:cs="Arial"/>
                <w:color w:val="auto"/>
                <w:sz w:val="20"/>
                <w:szCs w:val="20"/>
              </w:rPr>
            </w:pPr>
            <w:r>
              <w:rPr>
                <w:rFonts w:cs="Arial"/>
                <w:sz w:val="20"/>
                <w:szCs w:val="20"/>
              </w:rPr>
              <w:t>115.5</w:t>
            </w:r>
          </w:p>
        </w:tc>
        <w:tc>
          <w:tcPr>
            <w:tcW w:w="2315" w:type="dxa"/>
            <w:tcBorders>
              <w:top w:val="nil"/>
              <w:left w:val="nil"/>
              <w:bottom w:val="single" w:sz="8" w:space="0" w:color="auto"/>
              <w:right w:val="single" w:sz="8" w:space="0" w:color="auto"/>
            </w:tcBorders>
            <w:shd w:val="clear" w:color="auto" w:fill="auto"/>
            <w:noWrap/>
            <w:vAlign w:val="center"/>
            <w:hideMark/>
          </w:tcPr>
          <w:p w14:paraId="18EB17EF" w14:textId="77777777" w:rsidR="00DE2FFE" w:rsidRPr="00975F8D" w:rsidRDefault="00DE2FFE" w:rsidP="004D177E">
            <w:pPr>
              <w:jc w:val="center"/>
              <w:rPr>
                <w:rFonts w:cs="Arial"/>
                <w:color w:val="auto"/>
                <w:sz w:val="20"/>
                <w:szCs w:val="20"/>
              </w:rPr>
            </w:pPr>
            <w:r>
              <w:rPr>
                <w:rFonts w:cs="Arial"/>
                <w:sz w:val="20"/>
                <w:szCs w:val="20"/>
              </w:rPr>
              <w:t>50.5</w:t>
            </w:r>
          </w:p>
        </w:tc>
      </w:tr>
      <w:tr w:rsidR="00DE2FFE" w:rsidRPr="00975F8D" w14:paraId="0030BBF8" w14:textId="77777777" w:rsidTr="00837E04">
        <w:trPr>
          <w:trHeight w:val="259"/>
        </w:trPr>
        <w:tc>
          <w:tcPr>
            <w:tcW w:w="2315" w:type="dxa"/>
            <w:tcBorders>
              <w:top w:val="nil"/>
              <w:left w:val="single" w:sz="8" w:space="0" w:color="auto"/>
              <w:bottom w:val="single" w:sz="8" w:space="0" w:color="auto"/>
              <w:right w:val="single" w:sz="8" w:space="0" w:color="auto"/>
            </w:tcBorders>
            <w:shd w:val="clear" w:color="auto" w:fill="auto"/>
            <w:noWrap/>
            <w:vAlign w:val="center"/>
            <w:hideMark/>
          </w:tcPr>
          <w:p w14:paraId="7AF146D8" w14:textId="77777777" w:rsidR="00DE2FFE" w:rsidRPr="00975F8D" w:rsidRDefault="00DE2FFE" w:rsidP="004D177E">
            <w:pPr>
              <w:rPr>
                <w:rFonts w:cs="Arial"/>
                <w:color w:val="auto"/>
                <w:sz w:val="20"/>
                <w:szCs w:val="20"/>
              </w:rPr>
            </w:pPr>
            <w:r w:rsidRPr="00975F8D">
              <w:rPr>
                <w:rFonts w:cs="Arial"/>
                <w:color w:val="auto"/>
                <w:sz w:val="20"/>
                <w:szCs w:val="20"/>
              </w:rPr>
              <w:t>April 23</w:t>
            </w:r>
          </w:p>
        </w:tc>
        <w:tc>
          <w:tcPr>
            <w:tcW w:w="2315" w:type="dxa"/>
            <w:tcBorders>
              <w:top w:val="nil"/>
              <w:left w:val="nil"/>
              <w:bottom w:val="single" w:sz="8" w:space="0" w:color="auto"/>
              <w:right w:val="single" w:sz="8" w:space="0" w:color="auto"/>
            </w:tcBorders>
            <w:shd w:val="clear" w:color="auto" w:fill="auto"/>
            <w:noWrap/>
            <w:vAlign w:val="center"/>
            <w:hideMark/>
          </w:tcPr>
          <w:p w14:paraId="1537D537" w14:textId="77777777" w:rsidR="00DE2FFE" w:rsidRPr="00975F8D" w:rsidRDefault="00DE2FFE" w:rsidP="004D177E">
            <w:pPr>
              <w:jc w:val="center"/>
              <w:rPr>
                <w:rFonts w:cs="Arial"/>
                <w:color w:val="auto"/>
                <w:sz w:val="20"/>
                <w:szCs w:val="20"/>
              </w:rPr>
            </w:pPr>
            <w:r>
              <w:rPr>
                <w:rFonts w:cs="Arial"/>
                <w:sz w:val="20"/>
                <w:szCs w:val="20"/>
              </w:rPr>
              <w:t>6.4</w:t>
            </w:r>
          </w:p>
        </w:tc>
        <w:tc>
          <w:tcPr>
            <w:tcW w:w="2315" w:type="dxa"/>
            <w:tcBorders>
              <w:top w:val="nil"/>
              <w:left w:val="nil"/>
              <w:bottom w:val="single" w:sz="8" w:space="0" w:color="auto"/>
              <w:right w:val="single" w:sz="8" w:space="0" w:color="auto"/>
            </w:tcBorders>
            <w:shd w:val="clear" w:color="auto" w:fill="auto"/>
            <w:noWrap/>
            <w:vAlign w:val="center"/>
            <w:hideMark/>
          </w:tcPr>
          <w:p w14:paraId="19FB657E" w14:textId="77777777" w:rsidR="00DE2FFE" w:rsidRPr="00975F8D" w:rsidRDefault="00DE2FFE" w:rsidP="004D177E">
            <w:pPr>
              <w:jc w:val="center"/>
              <w:rPr>
                <w:rFonts w:cs="Arial"/>
                <w:color w:val="auto"/>
                <w:sz w:val="20"/>
                <w:szCs w:val="20"/>
              </w:rPr>
            </w:pPr>
            <w:r>
              <w:rPr>
                <w:rFonts w:cs="Arial"/>
                <w:sz w:val="20"/>
                <w:szCs w:val="20"/>
              </w:rPr>
              <w:t>310.5</w:t>
            </w:r>
          </w:p>
        </w:tc>
        <w:tc>
          <w:tcPr>
            <w:tcW w:w="2315" w:type="dxa"/>
            <w:tcBorders>
              <w:top w:val="nil"/>
              <w:left w:val="nil"/>
              <w:bottom w:val="single" w:sz="8" w:space="0" w:color="auto"/>
              <w:right w:val="single" w:sz="8" w:space="0" w:color="auto"/>
            </w:tcBorders>
            <w:shd w:val="clear" w:color="auto" w:fill="auto"/>
            <w:noWrap/>
            <w:vAlign w:val="center"/>
            <w:hideMark/>
          </w:tcPr>
          <w:p w14:paraId="5C714353" w14:textId="77777777" w:rsidR="00DE2FFE" w:rsidRPr="00975F8D" w:rsidRDefault="00DE2FFE" w:rsidP="004D177E">
            <w:pPr>
              <w:jc w:val="center"/>
              <w:rPr>
                <w:rFonts w:cs="Arial"/>
                <w:color w:val="auto"/>
                <w:sz w:val="20"/>
                <w:szCs w:val="20"/>
              </w:rPr>
            </w:pPr>
            <w:r>
              <w:rPr>
                <w:rFonts w:cs="Arial"/>
                <w:sz w:val="20"/>
                <w:szCs w:val="20"/>
              </w:rPr>
              <w:t>217.6</w:t>
            </w:r>
          </w:p>
        </w:tc>
      </w:tr>
      <w:tr w:rsidR="00DE2FFE" w:rsidRPr="00975F8D" w14:paraId="2FDD097B" w14:textId="77777777" w:rsidTr="00837E04">
        <w:trPr>
          <w:trHeight w:val="259"/>
        </w:trPr>
        <w:tc>
          <w:tcPr>
            <w:tcW w:w="2315" w:type="dxa"/>
            <w:tcBorders>
              <w:top w:val="nil"/>
              <w:left w:val="single" w:sz="8" w:space="0" w:color="auto"/>
              <w:bottom w:val="single" w:sz="8" w:space="0" w:color="auto"/>
              <w:right w:val="single" w:sz="8" w:space="0" w:color="auto"/>
            </w:tcBorders>
            <w:shd w:val="clear" w:color="auto" w:fill="auto"/>
            <w:noWrap/>
            <w:vAlign w:val="center"/>
            <w:hideMark/>
          </w:tcPr>
          <w:p w14:paraId="68A7D363" w14:textId="77777777" w:rsidR="00DE2FFE" w:rsidRPr="00975F8D" w:rsidRDefault="00DE2FFE" w:rsidP="004D177E">
            <w:pPr>
              <w:rPr>
                <w:rFonts w:cs="Arial"/>
                <w:color w:val="auto"/>
                <w:sz w:val="20"/>
                <w:szCs w:val="20"/>
              </w:rPr>
            </w:pPr>
            <w:r w:rsidRPr="00975F8D">
              <w:rPr>
                <w:rFonts w:cs="Arial"/>
                <w:color w:val="auto"/>
                <w:sz w:val="20"/>
                <w:szCs w:val="20"/>
              </w:rPr>
              <w:t>May 23</w:t>
            </w:r>
          </w:p>
        </w:tc>
        <w:tc>
          <w:tcPr>
            <w:tcW w:w="2315" w:type="dxa"/>
            <w:tcBorders>
              <w:top w:val="nil"/>
              <w:left w:val="nil"/>
              <w:bottom w:val="single" w:sz="8" w:space="0" w:color="auto"/>
              <w:right w:val="single" w:sz="8" w:space="0" w:color="auto"/>
            </w:tcBorders>
            <w:shd w:val="clear" w:color="auto" w:fill="auto"/>
            <w:noWrap/>
            <w:vAlign w:val="center"/>
            <w:hideMark/>
          </w:tcPr>
          <w:p w14:paraId="096562F3" w14:textId="77777777" w:rsidR="00DE2FFE" w:rsidRPr="00975F8D" w:rsidRDefault="00DE2FFE" w:rsidP="004D177E">
            <w:pPr>
              <w:jc w:val="center"/>
              <w:rPr>
                <w:rFonts w:cs="Arial"/>
                <w:color w:val="auto"/>
                <w:sz w:val="20"/>
                <w:szCs w:val="20"/>
              </w:rPr>
            </w:pPr>
            <w:r>
              <w:rPr>
                <w:rFonts w:cs="Arial"/>
                <w:sz w:val="20"/>
                <w:szCs w:val="20"/>
              </w:rPr>
              <w:t>0</w:t>
            </w:r>
          </w:p>
        </w:tc>
        <w:tc>
          <w:tcPr>
            <w:tcW w:w="2315" w:type="dxa"/>
            <w:tcBorders>
              <w:top w:val="nil"/>
              <w:left w:val="nil"/>
              <w:bottom w:val="single" w:sz="8" w:space="0" w:color="auto"/>
              <w:right w:val="single" w:sz="8" w:space="0" w:color="auto"/>
            </w:tcBorders>
            <w:shd w:val="clear" w:color="auto" w:fill="auto"/>
            <w:noWrap/>
            <w:vAlign w:val="center"/>
            <w:hideMark/>
          </w:tcPr>
          <w:p w14:paraId="1191A7F2" w14:textId="77777777" w:rsidR="00DE2FFE" w:rsidRPr="00975F8D" w:rsidRDefault="00DE2FFE" w:rsidP="004D177E">
            <w:pPr>
              <w:jc w:val="center"/>
              <w:rPr>
                <w:rFonts w:cs="Arial"/>
                <w:color w:val="auto"/>
                <w:sz w:val="20"/>
                <w:szCs w:val="20"/>
              </w:rPr>
            </w:pPr>
            <w:r>
              <w:rPr>
                <w:rFonts w:cs="Arial"/>
                <w:sz w:val="20"/>
                <w:szCs w:val="20"/>
              </w:rPr>
              <w:t>331.5</w:t>
            </w:r>
          </w:p>
        </w:tc>
        <w:tc>
          <w:tcPr>
            <w:tcW w:w="2315" w:type="dxa"/>
            <w:tcBorders>
              <w:top w:val="nil"/>
              <w:left w:val="nil"/>
              <w:bottom w:val="single" w:sz="8" w:space="0" w:color="auto"/>
              <w:right w:val="single" w:sz="8" w:space="0" w:color="auto"/>
            </w:tcBorders>
            <w:shd w:val="clear" w:color="auto" w:fill="auto"/>
            <w:noWrap/>
            <w:vAlign w:val="center"/>
            <w:hideMark/>
          </w:tcPr>
          <w:p w14:paraId="1BE4B413" w14:textId="77777777" w:rsidR="00DE2FFE" w:rsidRPr="00975F8D" w:rsidRDefault="00DE2FFE" w:rsidP="004D177E">
            <w:pPr>
              <w:jc w:val="center"/>
              <w:rPr>
                <w:rFonts w:cs="Arial"/>
                <w:color w:val="auto"/>
                <w:sz w:val="20"/>
                <w:szCs w:val="20"/>
              </w:rPr>
            </w:pPr>
            <w:r>
              <w:rPr>
                <w:rFonts w:cs="Arial"/>
                <w:sz w:val="20"/>
                <w:szCs w:val="20"/>
              </w:rPr>
              <w:t>270.6</w:t>
            </w:r>
          </w:p>
        </w:tc>
      </w:tr>
      <w:tr w:rsidR="00DE2FFE" w:rsidRPr="00975F8D" w14:paraId="2E2D4877" w14:textId="77777777" w:rsidTr="00837E04">
        <w:trPr>
          <w:trHeight w:val="259"/>
        </w:trPr>
        <w:tc>
          <w:tcPr>
            <w:tcW w:w="2315" w:type="dxa"/>
            <w:tcBorders>
              <w:top w:val="nil"/>
              <w:left w:val="single" w:sz="8" w:space="0" w:color="auto"/>
              <w:bottom w:val="single" w:sz="8" w:space="0" w:color="auto"/>
              <w:right w:val="single" w:sz="8" w:space="0" w:color="auto"/>
            </w:tcBorders>
            <w:shd w:val="clear" w:color="auto" w:fill="auto"/>
            <w:noWrap/>
            <w:vAlign w:val="center"/>
            <w:hideMark/>
          </w:tcPr>
          <w:p w14:paraId="4DC17F96" w14:textId="77777777" w:rsidR="00DE2FFE" w:rsidRPr="00975F8D" w:rsidRDefault="00DE2FFE" w:rsidP="004D177E">
            <w:pPr>
              <w:rPr>
                <w:rFonts w:cs="Arial"/>
                <w:color w:val="auto"/>
                <w:sz w:val="20"/>
                <w:szCs w:val="20"/>
              </w:rPr>
            </w:pPr>
            <w:r w:rsidRPr="00975F8D">
              <w:rPr>
                <w:rFonts w:cs="Arial"/>
                <w:color w:val="auto"/>
                <w:sz w:val="20"/>
                <w:szCs w:val="20"/>
              </w:rPr>
              <w:t>June 23</w:t>
            </w:r>
          </w:p>
        </w:tc>
        <w:tc>
          <w:tcPr>
            <w:tcW w:w="2315" w:type="dxa"/>
            <w:tcBorders>
              <w:top w:val="nil"/>
              <w:left w:val="nil"/>
              <w:bottom w:val="single" w:sz="8" w:space="0" w:color="auto"/>
              <w:right w:val="single" w:sz="8" w:space="0" w:color="auto"/>
            </w:tcBorders>
            <w:shd w:val="clear" w:color="auto" w:fill="auto"/>
            <w:noWrap/>
            <w:vAlign w:val="center"/>
            <w:hideMark/>
          </w:tcPr>
          <w:p w14:paraId="13487769" w14:textId="77777777" w:rsidR="00DE2FFE" w:rsidRPr="00975F8D" w:rsidRDefault="00DE2FFE" w:rsidP="004D177E">
            <w:pPr>
              <w:jc w:val="center"/>
              <w:rPr>
                <w:rFonts w:cs="Arial"/>
                <w:color w:val="auto"/>
                <w:sz w:val="20"/>
                <w:szCs w:val="20"/>
              </w:rPr>
            </w:pPr>
            <w:r>
              <w:rPr>
                <w:rFonts w:cs="Arial"/>
                <w:sz w:val="20"/>
                <w:szCs w:val="20"/>
              </w:rPr>
              <w:t>1.9</w:t>
            </w:r>
          </w:p>
        </w:tc>
        <w:tc>
          <w:tcPr>
            <w:tcW w:w="2315" w:type="dxa"/>
            <w:tcBorders>
              <w:top w:val="nil"/>
              <w:left w:val="nil"/>
              <w:bottom w:val="single" w:sz="8" w:space="0" w:color="auto"/>
              <w:right w:val="single" w:sz="8" w:space="0" w:color="auto"/>
            </w:tcBorders>
            <w:shd w:val="clear" w:color="auto" w:fill="auto"/>
            <w:noWrap/>
            <w:vAlign w:val="center"/>
            <w:hideMark/>
          </w:tcPr>
          <w:p w14:paraId="5E19A96B" w14:textId="77777777" w:rsidR="00DE2FFE" w:rsidRPr="00975F8D" w:rsidRDefault="00DE2FFE" w:rsidP="004D177E">
            <w:pPr>
              <w:jc w:val="center"/>
              <w:rPr>
                <w:rFonts w:cs="Arial"/>
                <w:color w:val="auto"/>
                <w:sz w:val="20"/>
                <w:szCs w:val="20"/>
              </w:rPr>
            </w:pPr>
            <w:r>
              <w:rPr>
                <w:rFonts w:cs="Arial"/>
                <w:sz w:val="20"/>
                <w:szCs w:val="20"/>
              </w:rPr>
              <w:t>320.6</w:t>
            </w:r>
          </w:p>
        </w:tc>
        <w:tc>
          <w:tcPr>
            <w:tcW w:w="2315" w:type="dxa"/>
            <w:tcBorders>
              <w:top w:val="nil"/>
              <w:left w:val="nil"/>
              <w:bottom w:val="single" w:sz="8" w:space="0" w:color="auto"/>
              <w:right w:val="single" w:sz="8" w:space="0" w:color="auto"/>
            </w:tcBorders>
            <w:shd w:val="clear" w:color="auto" w:fill="auto"/>
            <w:noWrap/>
            <w:vAlign w:val="center"/>
            <w:hideMark/>
          </w:tcPr>
          <w:p w14:paraId="19856981" w14:textId="77777777" w:rsidR="00DE2FFE" w:rsidRPr="00975F8D" w:rsidRDefault="00DE2FFE" w:rsidP="004D177E">
            <w:pPr>
              <w:jc w:val="center"/>
              <w:rPr>
                <w:rFonts w:cs="Arial"/>
                <w:color w:val="auto"/>
                <w:sz w:val="20"/>
                <w:szCs w:val="20"/>
              </w:rPr>
            </w:pPr>
            <w:r>
              <w:rPr>
                <w:rFonts w:cs="Arial"/>
                <w:sz w:val="20"/>
                <w:szCs w:val="20"/>
              </w:rPr>
              <w:t>136.2</w:t>
            </w:r>
          </w:p>
        </w:tc>
      </w:tr>
      <w:tr w:rsidR="00DE2FFE" w:rsidRPr="00975F8D" w14:paraId="13376EAF" w14:textId="77777777" w:rsidTr="00837E04">
        <w:trPr>
          <w:trHeight w:val="259"/>
        </w:trPr>
        <w:tc>
          <w:tcPr>
            <w:tcW w:w="2315" w:type="dxa"/>
            <w:tcBorders>
              <w:top w:val="nil"/>
              <w:left w:val="single" w:sz="8" w:space="0" w:color="auto"/>
              <w:bottom w:val="single" w:sz="8" w:space="0" w:color="auto"/>
              <w:right w:val="single" w:sz="8" w:space="0" w:color="auto"/>
            </w:tcBorders>
            <w:shd w:val="clear" w:color="auto" w:fill="auto"/>
            <w:noWrap/>
            <w:vAlign w:val="center"/>
            <w:hideMark/>
          </w:tcPr>
          <w:p w14:paraId="1A41C577" w14:textId="77777777" w:rsidR="00DE2FFE" w:rsidRPr="00975F8D" w:rsidRDefault="00DE2FFE" w:rsidP="004D177E">
            <w:pPr>
              <w:rPr>
                <w:rFonts w:cs="Arial"/>
                <w:color w:val="auto"/>
                <w:sz w:val="20"/>
                <w:szCs w:val="20"/>
              </w:rPr>
            </w:pPr>
            <w:r w:rsidRPr="00975F8D">
              <w:rPr>
                <w:rFonts w:cs="Arial"/>
                <w:color w:val="auto"/>
                <w:sz w:val="20"/>
                <w:szCs w:val="20"/>
              </w:rPr>
              <w:t>July 23</w:t>
            </w:r>
          </w:p>
        </w:tc>
        <w:tc>
          <w:tcPr>
            <w:tcW w:w="2315" w:type="dxa"/>
            <w:tcBorders>
              <w:top w:val="nil"/>
              <w:left w:val="nil"/>
              <w:bottom w:val="single" w:sz="8" w:space="0" w:color="auto"/>
              <w:right w:val="single" w:sz="8" w:space="0" w:color="auto"/>
            </w:tcBorders>
            <w:shd w:val="clear" w:color="auto" w:fill="auto"/>
            <w:noWrap/>
            <w:vAlign w:val="center"/>
            <w:hideMark/>
          </w:tcPr>
          <w:p w14:paraId="68411D9A" w14:textId="77777777" w:rsidR="00DE2FFE" w:rsidRPr="00975F8D" w:rsidRDefault="00DE2FFE" w:rsidP="004D177E">
            <w:pPr>
              <w:jc w:val="center"/>
              <w:rPr>
                <w:rFonts w:cs="Arial"/>
                <w:color w:val="auto"/>
                <w:sz w:val="20"/>
                <w:szCs w:val="20"/>
              </w:rPr>
            </w:pPr>
            <w:r>
              <w:rPr>
                <w:rFonts w:cs="Arial"/>
                <w:sz w:val="20"/>
                <w:szCs w:val="20"/>
              </w:rPr>
              <w:t>2.2</w:t>
            </w:r>
          </w:p>
        </w:tc>
        <w:tc>
          <w:tcPr>
            <w:tcW w:w="2315" w:type="dxa"/>
            <w:tcBorders>
              <w:top w:val="nil"/>
              <w:left w:val="nil"/>
              <w:bottom w:val="single" w:sz="8" w:space="0" w:color="auto"/>
              <w:right w:val="single" w:sz="8" w:space="0" w:color="auto"/>
            </w:tcBorders>
            <w:shd w:val="clear" w:color="auto" w:fill="auto"/>
            <w:noWrap/>
            <w:vAlign w:val="center"/>
            <w:hideMark/>
          </w:tcPr>
          <w:p w14:paraId="25197FB4" w14:textId="77777777" w:rsidR="00DE2FFE" w:rsidRPr="00975F8D" w:rsidRDefault="00DE2FFE" w:rsidP="004D177E">
            <w:pPr>
              <w:jc w:val="center"/>
              <w:rPr>
                <w:rFonts w:cs="Arial"/>
                <w:color w:val="auto"/>
                <w:sz w:val="20"/>
                <w:szCs w:val="20"/>
              </w:rPr>
            </w:pPr>
            <w:r>
              <w:rPr>
                <w:rFonts w:cs="Arial"/>
                <w:sz w:val="20"/>
                <w:szCs w:val="20"/>
              </w:rPr>
              <w:t>216.3</w:t>
            </w:r>
          </w:p>
        </w:tc>
        <w:tc>
          <w:tcPr>
            <w:tcW w:w="2315" w:type="dxa"/>
            <w:tcBorders>
              <w:top w:val="nil"/>
              <w:left w:val="nil"/>
              <w:bottom w:val="single" w:sz="8" w:space="0" w:color="auto"/>
              <w:right w:val="single" w:sz="8" w:space="0" w:color="auto"/>
            </w:tcBorders>
            <w:shd w:val="clear" w:color="auto" w:fill="auto"/>
            <w:noWrap/>
            <w:vAlign w:val="center"/>
            <w:hideMark/>
          </w:tcPr>
          <w:p w14:paraId="5E44DF4D" w14:textId="77777777" w:rsidR="00DE2FFE" w:rsidRPr="00975F8D" w:rsidRDefault="00DE2FFE" w:rsidP="004D177E">
            <w:pPr>
              <w:jc w:val="center"/>
              <w:rPr>
                <w:rFonts w:cs="Arial"/>
                <w:color w:val="auto"/>
                <w:sz w:val="20"/>
                <w:szCs w:val="20"/>
              </w:rPr>
            </w:pPr>
            <w:r>
              <w:rPr>
                <w:rFonts w:cs="Arial"/>
                <w:sz w:val="20"/>
                <w:szCs w:val="20"/>
              </w:rPr>
              <w:t>62.8</w:t>
            </w:r>
          </w:p>
        </w:tc>
      </w:tr>
      <w:tr w:rsidR="00DE2FFE" w:rsidRPr="00975F8D" w14:paraId="3A7854BE" w14:textId="77777777" w:rsidTr="00837E04">
        <w:trPr>
          <w:trHeight w:val="259"/>
        </w:trPr>
        <w:tc>
          <w:tcPr>
            <w:tcW w:w="2315" w:type="dxa"/>
            <w:tcBorders>
              <w:top w:val="nil"/>
              <w:left w:val="single" w:sz="8" w:space="0" w:color="auto"/>
              <w:bottom w:val="single" w:sz="8" w:space="0" w:color="auto"/>
              <w:right w:val="single" w:sz="8" w:space="0" w:color="auto"/>
            </w:tcBorders>
            <w:shd w:val="clear" w:color="auto" w:fill="auto"/>
            <w:noWrap/>
            <w:vAlign w:val="center"/>
            <w:hideMark/>
          </w:tcPr>
          <w:p w14:paraId="509DDDA8" w14:textId="77777777" w:rsidR="00DE2FFE" w:rsidRPr="00975F8D" w:rsidRDefault="00DE2FFE" w:rsidP="004D177E">
            <w:pPr>
              <w:rPr>
                <w:rFonts w:cs="Arial"/>
                <w:color w:val="auto"/>
                <w:sz w:val="20"/>
                <w:szCs w:val="20"/>
              </w:rPr>
            </w:pPr>
            <w:r w:rsidRPr="00975F8D">
              <w:rPr>
                <w:rFonts w:cs="Arial"/>
                <w:color w:val="auto"/>
                <w:sz w:val="20"/>
                <w:szCs w:val="20"/>
              </w:rPr>
              <w:t>August 23</w:t>
            </w:r>
          </w:p>
        </w:tc>
        <w:tc>
          <w:tcPr>
            <w:tcW w:w="2315" w:type="dxa"/>
            <w:tcBorders>
              <w:top w:val="nil"/>
              <w:left w:val="nil"/>
              <w:bottom w:val="single" w:sz="8" w:space="0" w:color="auto"/>
              <w:right w:val="single" w:sz="8" w:space="0" w:color="auto"/>
            </w:tcBorders>
            <w:shd w:val="clear" w:color="auto" w:fill="auto"/>
            <w:noWrap/>
            <w:vAlign w:val="center"/>
            <w:hideMark/>
          </w:tcPr>
          <w:p w14:paraId="534D44B5" w14:textId="77777777" w:rsidR="00DE2FFE" w:rsidRPr="00975F8D" w:rsidRDefault="00DE2FFE" w:rsidP="004D177E">
            <w:pPr>
              <w:jc w:val="center"/>
              <w:rPr>
                <w:rFonts w:cs="Arial"/>
                <w:color w:val="auto"/>
                <w:sz w:val="20"/>
                <w:szCs w:val="20"/>
              </w:rPr>
            </w:pPr>
            <w:r>
              <w:rPr>
                <w:rFonts w:cs="Arial"/>
                <w:sz w:val="20"/>
                <w:szCs w:val="20"/>
              </w:rPr>
              <w:t>1.5</w:t>
            </w:r>
          </w:p>
        </w:tc>
        <w:tc>
          <w:tcPr>
            <w:tcW w:w="2315" w:type="dxa"/>
            <w:tcBorders>
              <w:top w:val="nil"/>
              <w:left w:val="nil"/>
              <w:bottom w:val="single" w:sz="8" w:space="0" w:color="auto"/>
              <w:right w:val="single" w:sz="8" w:space="0" w:color="auto"/>
            </w:tcBorders>
            <w:shd w:val="clear" w:color="auto" w:fill="auto"/>
            <w:noWrap/>
            <w:vAlign w:val="center"/>
            <w:hideMark/>
          </w:tcPr>
          <w:p w14:paraId="5651A2F4" w14:textId="77777777" w:rsidR="00DE2FFE" w:rsidRPr="00975F8D" w:rsidRDefault="00DE2FFE" w:rsidP="004D177E">
            <w:pPr>
              <w:jc w:val="center"/>
              <w:rPr>
                <w:rFonts w:cs="Arial"/>
                <w:color w:val="auto"/>
                <w:sz w:val="20"/>
                <w:szCs w:val="20"/>
              </w:rPr>
            </w:pPr>
            <w:r>
              <w:rPr>
                <w:rFonts w:cs="Arial"/>
                <w:sz w:val="20"/>
                <w:szCs w:val="20"/>
              </w:rPr>
              <w:t>180.3</w:t>
            </w:r>
          </w:p>
        </w:tc>
        <w:tc>
          <w:tcPr>
            <w:tcW w:w="2315" w:type="dxa"/>
            <w:tcBorders>
              <w:top w:val="nil"/>
              <w:left w:val="nil"/>
              <w:bottom w:val="single" w:sz="8" w:space="0" w:color="auto"/>
              <w:right w:val="single" w:sz="8" w:space="0" w:color="auto"/>
            </w:tcBorders>
            <w:shd w:val="clear" w:color="auto" w:fill="auto"/>
            <w:noWrap/>
            <w:vAlign w:val="center"/>
            <w:hideMark/>
          </w:tcPr>
          <w:p w14:paraId="14E54442" w14:textId="77777777" w:rsidR="00DE2FFE" w:rsidRPr="00975F8D" w:rsidRDefault="00DE2FFE" w:rsidP="004D177E">
            <w:pPr>
              <w:jc w:val="center"/>
              <w:rPr>
                <w:rFonts w:cs="Arial"/>
                <w:color w:val="auto"/>
                <w:sz w:val="20"/>
                <w:szCs w:val="20"/>
              </w:rPr>
            </w:pPr>
            <w:r>
              <w:rPr>
                <w:rFonts w:cs="Arial"/>
                <w:sz w:val="20"/>
                <w:szCs w:val="20"/>
              </w:rPr>
              <w:t>34.3</w:t>
            </w:r>
          </w:p>
        </w:tc>
      </w:tr>
      <w:tr w:rsidR="00DE2FFE" w:rsidRPr="00975F8D" w14:paraId="248367CC" w14:textId="77777777" w:rsidTr="00837E04">
        <w:trPr>
          <w:trHeight w:val="259"/>
        </w:trPr>
        <w:tc>
          <w:tcPr>
            <w:tcW w:w="2315" w:type="dxa"/>
            <w:tcBorders>
              <w:top w:val="nil"/>
              <w:left w:val="single" w:sz="8" w:space="0" w:color="auto"/>
              <w:bottom w:val="single" w:sz="8" w:space="0" w:color="auto"/>
              <w:right w:val="single" w:sz="8" w:space="0" w:color="auto"/>
            </w:tcBorders>
            <w:shd w:val="clear" w:color="auto" w:fill="auto"/>
            <w:noWrap/>
            <w:vAlign w:val="center"/>
            <w:hideMark/>
          </w:tcPr>
          <w:p w14:paraId="3557E2C7" w14:textId="77777777" w:rsidR="00DE2FFE" w:rsidRPr="00975F8D" w:rsidRDefault="00DE2FFE" w:rsidP="004D177E">
            <w:pPr>
              <w:rPr>
                <w:rFonts w:cs="Arial"/>
                <w:color w:val="auto"/>
                <w:sz w:val="20"/>
                <w:szCs w:val="20"/>
              </w:rPr>
            </w:pPr>
            <w:r w:rsidRPr="00975F8D">
              <w:rPr>
                <w:rFonts w:cs="Arial"/>
                <w:color w:val="auto"/>
                <w:sz w:val="20"/>
                <w:szCs w:val="20"/>
              </w:rPr>
              <w:t>September 23</w:t>
            </w:r>
          </w:p>
        </w:tc>
        <w:tc>
          <w:tcPr>
            <w:tcW w:w="2315" w:type="dxa"/>
            <w:tcBorders>
              <w:top w:val="nil"/>
              <w:left w:val="nil"/>
              <w:bottom w:val="single" w:sz="8" w:space="0" w:color="auto"/>
              <w:right w:val="single" w:sz="8" w:space="0" w:color="auto"/>
            </w:tcBorders>
            <w:shd w:val="clear" w:color="auto" w:fill="auto"/>
            <w:noWrap/>
            <w:vAlign w:val="center"/>
            <w:hideMark/>
          </w:tcPr>
          <w:p w14:paraId="07A3B966" w14:textId="77777777" w:rsidR="00DE2FFE" w:rsidRPr="00975F8D" w:rsidRDefault="00DE2FFE" w:rsidP="004D177E">
            <w:pPr>
              <w:jc w:val="center"/>
              <w:rPr>
                <w:rFonts w:cs="Arial"/>
                <w:color w:val="auto"/>
                <w:sz w:val="20"/>
                <w:szCs w:val="20"/>
              </w:rPr>
            </w:pPr>
            <w:r>
              <w:rPr>
                <w:rFonts w:cs="Arial"/>
                <w:sz w:val="20"/>
                <w:szCs w:val="20"/>
              </w:rPr>
              <w:t>0</w:t>
            </w:r>
          </w:p>
        </w:tc>
        <w:tc>
          <w:tcPr>
            <w:tcW w:w="2315" w:type="dxa"/>
            <w:tcBorders>
              <w:top w:val="nil"/>
              <w:left w:val="nil"/>
              <w:bottom w:val="single" w:sz="8" w:space="0" w:color="auto"/>
              <w:right w:val="single" w:sz="8" w:space="0" w:color="auto"/>
            </w:tcBorders>
            <w:shd w:val="clear" w:color="auto" w:fill="auto"/>
            <w:noWrap/>
            <w:vAlign w:val="center"/>
            <w:hideMark/>
          </w:tcPr>
          <w:p w14:paraId="2F0C2E03" w14:textId="77777777" w:rsidR="00DE2FFE" w:rsidRPr="00975F8D" w:rsidRDefault="00DE2FFE" w:rsidP="004D177E">
            <w:pPr>
              <w:jc w:val="center"/>
              <w:rPr>
                <w:rFonts w:cs="Arial"/>
                <w:color w:val="auto"/>
                <w:sz w:val="20"/>
                <w:szCs w:val="20"/>
              </w:rPr>
            </w:pPr>
            <w:r>
              <w:rPr>
                <w:rFonts w:cs="Arial"/>
                <w:sz w:val="20"/>
                <w:szCs w:val="20"/>
              </w:rPr>
              <w:t>61.3</w:t>
            </w:r>
          </w:p>
        </w:tc>
        <w:tc>
          <w:tcPr>
            <w:tcW w:w="2315" w:type="dxa"/>
            <w:tcBorders>
              <w:top w:val="nil"/>
              <w:left w:val="nil"/>
              <w:bottom w:val="single" w:sz="8" w:space="0" w:color="auto"/>
              <w:right w:val="single" w:sz="8" w:space="0" w:color="auto"/>
            </w:tcBorders>
            <w:shd w:val="clear" w:color="auto" w:fill="auto"/>
            <w:noWrap/>
            <w:vAlign w:val="center"/>
            <w:hideMark/>
          </w:tcPr>
          <w:p w14:paraId="014DE629" w14:textId="77777777" w:rsidR="00DE2FFE" w:rsidRPr="00975F8D" w:rsidRDefault="00DE2FFE" w:rsidP="004D177E">
            <w:pPr>
              <w:jc w:val="center"/>
              <w:rPr>
                <w:rFonts w:cs="Arial"/>
                <w:color w:val="auto"/>
                <w:sz w:val="20"/>
                <w:szCs w:val="20"/>
              </w:rPr>
            </w:pPr>
            <w:r>
              <w:rPr>
                <w:rFonts w:cs="Arial"/>
                <w:sz w:val="20"/>
                <w:szCs w:val="20"/>
              </w:rPr>
              <w:t>9.2</w:t>
            </w:r>
          </w:p>
        </w:tc>
      </w:tr>
      <w:tr w:rsidR="00DE2FFE" w:rsidRPr="00975F8D" w14:paraId="407D1819" w14:textId="77777777" w:rsidTr="00837E04">
        <w:trPr>
          <w:trHeight w:val="259"/>
        </w:trPr>
        <w:tc>
          <w:tcPr>
            <w:tcW w:w="2315" w:type="dxa"/>
            <w:tcBorders>
              <w:top w:val="nil"/>
              <w:left w:val="single" w:sz="8" w:space="0" w:color="auto"/>
              <w:bottom w:val="single" w:sz="8" w:space="0" w:color="auto"/>
              <w:right w:val="single" w:sz="8" w:space="0" w:color="auto"/>
            </w:tcBorders>
            <w:shd w:val="clear" w:color="auto" w:fill="auto"/>
            <w:noWrap/>
            <w:vAlign w:val="center"/>
            <w:hideMark/>
          </w:tcPr>
          <w:p w14:paraId="6031B9BA" w14:textId="77777777" w:rsidR="00DE2FFE" w:rsidRPr="00975F8D" w:rsidRDefault="00DE2FFE" w:rsidP="004D177E">
            <w:pPr>
              <w:rPr>
                <w:rFonts w:cs="Arial"/>
                <w:color w:val="auto"/>
                <w:sz w:val="20"/>
                <w:szCs w:val="20"/>
              </w:rPr>
            </w:pPr>
            <w:r w:rsidRPr="00975F8D">
              <w:rPr>
                <w:rFonts w:cs="Arial"/>
                <w:color w:val="auto"/>
                <w:sz w:val="20"/>
                <w:szCs w:val="20"/>
              </w:rPr>
              <w:t>October 23</w:t>
            </w:r>
          </w:p>
        </w:tc>
        <w:tc>
          <w:tcPr>
            <w:tcW w:w="2315" w:type="dxa"/>
            <w:tcBorders>
              <w:top w:val="nil"/>
              <w:left w:val="nil"/>
              <w:bottom w:val="single" w:sz="8" w:space="0" w:color="auto"/>
              <w:right w:val="single" w:sz="8" w:space="0" w:color="auto"/>
            </w:tcBorders>
            <w:shd w:val="clear" w:color="auto" w:fill="auto"/>
            <w:noWrap/>
            <w:vAlign w:val="center"/>
            <w:hideMark/>
          </w:tcPr>
          <w:p w14:paraId="6EAEF7E3" w14:textId="77777777" w:rsidR="00DE2FFE" w:rsidRPr="00975F8D" w:rsidRDefault="00DE2FFE" w:rsidP="004D177E">
            <w:pPr>
              <w:jc w:val="center"/>
              <w:rPr>
                <w:rFonts w:cs="Arial"/>
                <w:color w:val="auto"/>
                <w:sz w:val="20"/>
                <w:szCs w:val="20"/>
              </w:rPr>
            </w:pPr>
            <w:r>
              <w:rPr>
                <w:rFonts w:cs="Arial"/>
                <w:sz w:val="20"/>
                <w:szCs w:val="20"/>
              </w:rPr>
              <w:t>0</w:t>
            </w:r>
          </w:p>
        </w:tc>
        <w:tc>
          <w:tcPr>
            <w:tcW w:w="2315" w:type="dxa"/>
            <w:tcBorders>
              <w:top w:val="nil"/>
              <w:left w:val="nil"/>
              <w:bottom w:val="single" w:sz="8" w:space="0" w:color="auto"/>
              <w:right w:val="single" w:sz="8" w:space="0" w:color="auto"/>
            </w:tcBorders>
            <w:shd w:val="clear" w:color="auto" w:fill="auto"/>
            <w:noWrap/>
            <w:vAlign w:val="center"/>
            <w:hideMark/>
          </w:tcPr>
          <w:p w14:paraId="4968A36B" w14:textId="77777777" w:rsidR="00DE2FFE" w:rsidRPr="00975F8D" w:rsidRDefault="00DE2FFE" w:rsidP="004D177E">
            <w:pPr>
              <w:jc w:val="center"/>
              <w:rPr>
                <w:rFonts w:cs="Arial"/>
                <w:color w:val="auto"/>
                <w:sz w:val="20"/>
                <w:szCs w:val="20"/>
              </w:rPr>
            </w:pPr>
            <w:r>
              <w:rPr>
                <w:rFonts w:cs="Arial"/>
                <w:sz w:val="20"/>
                <w:szCs w:val="20"/>
              </w:rPr>
              <w:t>34.1</w:t>
            </w:r>
          </w:p>
        </w:tc>
        <w:tc>
          <w:tcPr>
            <w:tcW w:w="2315" w:type="dxa"/>
            <w:tcBorders>
              <w:top w:val="nil"/>
              <w:left w:val="nil"/>
              <w:bottom w:val="single" w:sz="8" w:space="0" w:color="auto"/>
              <w:right w:val="single" w:sz="8" w:space="0" w:color="auto"/>
            </w:tcBorders>
            <w:shd w:val="clear" w:color="auto" w:fill="auto"/>
            <w:noWrap/>
            <w:vAlign w:val="center"/>
            <w:hideMark/>
          </w:tcPr>
          <w:p w14:paraId="4E5225B3" w14:textId="77777777" w:rsidR="00DE2FFE" w:rsidRPr="00975F8D" w:rsidRDefault="00DE2FFE" w:rsidP="004D177E">
            <w:pPr>
              <w:jc w:val="center"/>
              <w:rPr>
                <w:rFonts w:cs="Arial"/>
                <w:color w:val="auto"/>
                <w:sz w:val="20"/>
                <w:szCs w:val="20"/>
              </w:rPr>
            </w:pPr>
            <w:r>
              <w:rPr>
                <w:rFonts w:cs="Arial"/>
                <w:sz w:val="20"/>
                <w:szCs w:val="20"/>
              </w:rPr>
              <w:t>3.4</w:t>
            </w:r>
          </w:p>
        </w:tc>
      </w:tr>
      <w:tr w:rsidR="00DE2FFE" w:rsidRPr="00975F8D" w14:paraId="574183BB" w14:textId="77777777" w:rsidTr="00837E04">
        <w:trPr>
          <w:trHeight w:val="259"/>
        </w:trPr>
        <w:tc>
          <w:tcPr>
            <w:tcW w:w="2315" w:type="dxa"/>
            <w:tcBorders>
              <w:top w:val="nil"/>
              <w:left w:val="single" w:sz="8" w:space="0" w:color="auto"/>
              <w:bottom w:val="single" w:sz="8" w:space="0" w:color="auto"/>
              <w:right w:val="single" w:sz="8" w:space="0" w:color="auto"/>
            </w:tcBorders>
            <w:shd w:val="clear" w:color="auto" w:fill="auto"/>
            <w:noWrap/>
            <w:vAlign w:val="center"/>
            <w:hideMark/>
          </w:tcPr>
          <w:p w14:paraId="1A124948" w14:textId="77777777" w:rsidR="00DE2FFE" w:rsidRPr="00975F8D" w:rsidRDefault="00DE2FFE" w:rsidP="004D177E">
            <w:pPr>
              <w:rPr>
                <w:rFonts w:cs="Arial"/>
                <w:color w:val="auto"/>
                <w:sz w:val="20"/>
                <w:szCs w:val="20"/>
              </w:rPr>
            </w:pPr>
            <w:r w:rsidRPr="00975F8D">
              <w:rPr>
                <w:rFonts w:cs="Arial"/>
                <w:color w:val="auto"/>
                <w:sz w:val="20"/>
                <w:szCs w:val="20"/>
              </w:rPr>
              <w:t>November 23</w:t>
            </w:r>
          </w:p>
        </w:tc>
        <w:tc>
          <w:tcPr>
            <w:tcW w:w="2315" w:type="dxa"/>
            <w:tcBorders>
              <w:top w:val="nil"/>
              <w:left w:val="nil"/>
              <w:bottom w:val="single" w:sz="8" w:space="0" w:color="auto"/>
              <w:right w:val="single" w:sz="8" w:space="0" w:color="auto"/>
            </w:tcBorders>
            <w:shd w:val="clear" w:color="auto" w:fill="auto"/>
            <w:noWrap/>
            <w:vAlign w:val="center"/>
            <w:hideMark/>
          </w:tcPr>
          <w:p w14:paraId="4A920C99" w14:textId="77777777" w:rsidR="00DE2FFE" w:rsidRPr="00975F8D" w:rsidRDefault="00DE2FFE" w:rsidP="004D177E">
            <w:pPr>
              <w:jc w:val="center"/>
              <w:rPr>
                <w:rFonts w:cs="Arial"/>
                <w:color w:val="auto"/>
                <w:sz w:val="20"/>
                <w:szCs w:val="20"/>
              </w:rPr>
            </w:pPr>
            <w:r>
              <w:rPr>
                <w:rFonts w:cs="Arial"/>
                <w:sz w:val="20"/>
                <w:szCs w:val="20"/>
              </w:rPr>
              <w:t>0</w:t>
            </w:r>
          </w:p>
        </w:tc>
        <w:tc>
          <w:tcPr>
            <w:tcW w:w="2315" w:type="dxa"/>
            <w:tcBorders>
              <w:top w:val="nil"/>
              <w:left w:val="nil"/>
              <w:bottom w:val="single" w:sz="8" w:space="0" w:color="auto"/>
              <w:right w:val="single" w:sz="8" w:space="0" w:color="auto"/>
            </w:tcBorders>
            <w:shd w:val="clear" w:color="auto" w:fill="auto"/>
            <w:noWrap/>
            <w:vAlign w:val="center"/>
            <w:hideMark/>
          </w:tcPr>
          <w:p w14:paraId="5FFA2152" w14:textId="77777777" w:rsidR="00DE2FFE" w:rsidRPr="00975F8D" w:rsidRDefault="00DE2FFE" w:rsidP="004D177E">
            <w:pPr>
              <w:jc w:val="center"/>
              <w:rPr>
                <w:rFonts w:cs="Arial"/>
                <w:color w:val="auto"/>
                <w:sz w:val="20"/>
                <w:szCs w:val="20"/>
              </w:rPr>
            </w:pPr>
            <w:r>
              <w:rPr>
                <w:rFonts w:cs="Arial"/>
                <w:sz w:val="20"/>
                <w:szCs w:val="20"/>
              </w:rPr>
              <w:t>109.5</w:t>
            </w:r>
          </w:p>
        </w:tc>
        <w:tc>
          <w:tcPr>
            <w:tcW w:w="2315" w:type="dxa"/>
            <w:tcBorders>
              <w:top w:val="nil"/>
              <w:left w:val="nil"/>
              <w:bottom w:val="single" w:sz="8" w:space="0" w:color="auto"/>
              <w:right w:val="single" w:sz="8" w:space="0" w:color="auto"/>
            </w:tcBorders>
            <w:shd w:val="clear" w:color="auto" w:fill="auto"/>
            <w:noWrap/>
            <w:vAlign w:val="center"/>
            <w:hideMark/>
          </w:tcPr>
          <w:p w14:paraId="19DD3B88" w14:textId="77777777" w:rsidR="00DE2FFE" w:rsidRPr="00975F8D" w:rsidRDefault="00DE2FFE" w:rsidP="004D177E">
            <w:pPr>
              <w:jc w:val="center"/>
              <w:rPr>
                <w:rFonts w:cs="Arial"/>
                <w:color w:val="auto"/>
                <w:sz w:val="20"/>
                <w:szCs w:val="20"/>
              </w:rPr>
            </w:pPr>
            <w:r>
              <w:rPr>
                <w:rFonts w:cs="Arial"/>
                <w:sz w:val="20"/>
                <w:szCs w:val="20"/>
              </w:rPr>
              <w:t>6.2</w:t>
            </w:r>
          </w:p>
        </w:tc>
      </w:tr>
    </w:tbl>
    <w:p w14:paraId="07678709" w14:textId="77777777" w:rsidR="00DE2FFE" w:rsidRDefault="00DE2FFE" w:rsidP="00DE2FFE">
      <w:pPr>
        <w:jc w:val="both"/>
        <w:rPr>
          <w:rFonts w:cs="Arial"/>
          <w:color w:val="auto"/>
        </w:rPr>
      </w:pPr>
    </w:p>
    <w:tbl>
      <w:tblPr>
        <w:tblW w:w="0" w:type="auto"/>
        <w:tblLook w:val="04A0" w:firstRow="1" w:lastRow="0" w:firstColumn="1" w:lastColumn="0" w:noHBand="0" w:noVBand="1"/>
      </w:tblPr>
      <w:tblGrid>
        <w:gridCol w:w="1530"/>
        <w:gridCol w:w="3330"/>
        <w:gridCol w:w="2250"/>
      </w:tblGrid>
      <w:tr w:rsidR="00DE2FFE" w:rsidRPr="00390177" w14:paraId="48DF3978" w14:textId="77777777" w:rsidTr="004D177E">
        <w:trPr>
          <w:trHeight w:val="300"/>
        </w:trPr>
        <w:tc>
          <w:tcPr>
            <w:tcW w:w="7110" w:type="dxa"/>
            <w:gridSpan w:val="3"/>
            <w:tcBorders>
              <w:top w:val="nil"/>
              <w:left w:val="nil"/>
              <w:bottom w:val="nil"/>
              <w:right w:val="nil"/>
            </w:tcBorders>
            <w:shd w:val="clear" w:color="auto" w:fill="auto"/>
            <w:noWrap/>
            <w:vAlign w:val="center"/>
            <w:hideMark/>
          </w:tcPr>
          <w:p w14:paraId="7E2ABE9B" w14:textId="77777777" w:rsidR="00DE2FFE" w:rsidRPr="00390177" w:rsidRDefault="00DE2FFE" w:rsidP="004D177E">
            <w:pPr>
              <w:rPr>
                <w:rFonts w:cs="Arial"/>
                <w:i/>
                <w:iCs/>
                <w:color w:val="auto"/>
                <w:sz w:val="16"/>
                <w:szCs w:val="16"/>
              </w:rPr>
            </w:pPr>
            <w:r>
              <w:rPr>
                <w:rFonts w:cs="Arial"/>
                <w:i/>
                <w:iCs/>
                <w:color w:val="auto"/>
                <w:sz w:val="16"/>
                <w:szCs w:val="16"/>
              </w:rPr>
              <w:t xml:space="preserve">Table 6:  </w:t>
            </w:r>
            <w:r w:rsidRPr="00390177">
              <w:rPr>
                <w:rFonts w:cs="Arial"/>
                <w:i/>
                <w:iCs/>
                <w:color w:val="auto"/>
                <w:sz w:val="16"/>
                <w:szCs w:val="16"/>
              </w:rPr>
              <w:t>Average cost of Load Resources providing N</w:t>
            </w:r>
            <w:r>
              <w:rPr>
                <w:rFonts w:cs="Arial"/>
                <w:i/>
                <w:iCs/>
                <w:color w:val="auto"/>
                <w:sz w:val="16"/>
                <w:szCs w:val="16"/>
              </w:rPr>
              <w:t>on-</w:t>
            </w:r>
            <w:r w:rsidRPr="00390177">
              <w:rPr>
                <w:rFonts w:cs="Arial"/>
                <w:i/>
                <w:iCs/>
                <w:color w:val="auto"/>
                <w:sz w:val="16"/>
                <w:szCs w:val="16"/>
              </w:rPr>
              <w:t>S</w:t>
            </w:r>
            <w:r>
              <w:rPr>
                <w:rFonts w:cs="Arial"/>
                <w:i/>
                <w:iCs/>
                <w:color w:val="auto"/>
                <w:sz w:val="16"/>
                <w:szCs w:val="16"/>
              </w:rPr>
              <w:t>pin</w:t>
            </w:r>
            <w:r w:rsidRPr="00390177">
              <w:rPr>
                <w:rFonts w:cs="Arial"/>
                <w:i/>
                <w:iCs/>
                <w:color w:val="auto"/>
                <w:sz w:val="16"/>
                <w:szCs w:val="16"/>
              </w:rPr>
              <w:t xml:space="preserve"> and total estimated annual</w:t>
            </w:r>
            <w:r>
              <w:rPr>
                <w:rFonts w:cs="Arial"/>
                <w:i/>
                <w:iCs/>
                <w:color w:val="auto"/>
                <w:sz w:val="16"/>
                <w:szCs w:val="16"/>
              </w:rPr>
              <w:t xml:space="preserve"> </w:t>
            </w:r>
            <w:r w:rsidRPr="00390177">
              <w:rPr>
                <w:rFonts w:cs="Arial"/>
                <w:i/>
                <w:iCs/>
                <w:color w:val="auto"/>
                <w:sz w:val="16"/>
                <w:szCs w:val="16"/>
              </w:rPr>
              <w:t>cost</w:t>
            </w:r>
          </w:p>
        </w:tc>
      </w:tr>
      <w:tr w:rsidR="00DE2FFE" w:rsidRPr="00390177" w14:paraId="1FA9EA2B" w14:textId="77777777" w:rsidTr="004D177E">
        <w:trPr>
          <w:trHeight w:val="30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C7F7E" w14:textId="77777777" w:rsidR="00DE2FFE" w:rsidRPr="00390177" w:rsidRDefault="00DE2FFE" w:rsidP="004D177E">
            <w:pPr>
              <w:jc w:val="both"/>
              <w:rPr>
                <w:rFonts w:cs="Arial"/>
                <w:color w:val="auto"/>
                <w:sz w:val="20"/>
                <w:szCs w:val="20"/>
              </w:rPr>
            </w:pPr>
            <w:r w:rsidRPr="00390177">
              <w:rPr>
                <w:rFonts w:cs="Arial"/>
                <w:color w:val="auto"/>
                <w:sz w:val="20"/>
                <w:szCs w:val="20"/>
              </w:rPr>
              <w:t>Calendar Year</w:t>
            </w:r>
          </w:p>
        </w:tc>
        <w:tc>
          <w:tcPr>
            <w:tcW w:w="3330" w:type="dxa"/>
            <w:tcBorders>
              <w:top w:val="single" w:sz="4" w:space="0" w:color="auto"/>
              <w:left w:val="nil"/>
              <w:bottom w:val="single" w:sz="4" w:space="0" w:color="auto"/>
              <w:right w:val="single" w:sz="4" w:space="0" w:color="auto"/>
            </w:tcBorders>
            <w:shd w:val="clear" w:color="auto" w:fill="auto"/>
            <w:noWrap/>
            <w:vAlign w:val="center"/>
            <w:hideMark/>
          </w:tcPr>
          <w:p w14:paraId="12A3E8E1" w14:textId="77777777" w:rsidR="00DE2FFE" w:rsidRPr="00390177" w:rsidRDefault="00DE2FFE" w:rsidP="004D177E">
            <w:pPr>
              <w:jc w:val="center"/>
              <w:rPr>
                <w:rFonts w:cs="Arial"/>
                <w:color w:val="auto"/>
                <w:sz w:val="20"/>
                <w:szCs w:val="20"/>
              </w:rPr>
            </w:pPr>
            <w:r w:rsidRPr="00390177">
              <w:rPr>
                <w:rFonts w:cs="Arial"/>
                <w:color w:val="auto"/>
                <w:sz w:val="20"/>
                <w:szCs w:val="20"/>
              </w:rPr>
              <w:t>Average NSPIN Payment $/MW/hr</w:t>
            </w:r>
          </w:p>
        </w:tc>
        <w:tc>
          <w:tcPr>
            <w:tcW w:w="2250" w:type="dxa"/>
            <w:tcBorders>
              <w:top w:val="single" w:sz="4" w:space="0" w:color="auto"/>
              <w:left w:val="nil"/>
              <w:bottom w:val="single" w:sz="4" w:space="0" w:color="auto"/>
              <w:right w:val="single" w:sz="4" w:space="0" w:color="auto"/>
            </w:tcBorders>
            <w:shd w:val="clear" w:color="auto" w:fill="auto"/>
            <w:noWrap/>
            <w:vAlign w:val="center"/>
            <w:hideMark/>
          </w:tcPr>
          <w:p w14:paraId="3529CCFE" w14:textId="77777777" w:rsidR="00DE2FFE" w:rsidRPr="00390177" w:rsidRDefault="00DE2FFE" w:rsidP="004D177E">
            <w:pPr>
              <w:jc w:val="center"/>
              <w:rPr>
                <w:rFonts w:cs="Arial"/>
                <w:color w:val="auto"/>
                <w:sz w:val="20"/>
                <w:szCs w:val="20"/>
              </w:rPr>
            </w:pPr>
            <w:r w:rsidRPr="00390177">
              <w:rPr>
                <w:rFonts w:cs="Arial"/>
                <w:color w:val="auto"/>
                <w:sz w:val="20"/>
                <w:szCs w:val="20"/>
              </w:rPr>
              <w:t>Total Estimated Cost $</w:t>
            </w:r>
          </w:p>
        </w:tc>
      </w:tr>
      <w:tr w:rsidR="00DE2FFE" w:rsidRPr="00390177" w14:paraId="445F2ABD" w14:textId="77777777" w:rsidTr="004D177E">
        <w:trPr>
          <w:trHeight w:val="30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4892872" w14:textId="77777777" w:rsidR="00DE2FFE" w:rsidRPr="00390177" w:rsidRDefault="00DE2FFE" w:rsidP="004D177E">
            <w:pPr>
              <w:rPr>
                <w:rFonts w:cs="Arial"/>
                <w:color w:val="auto"/>
                <w:sz w:val="20"/>
                <w:szCs w:val="20"/>
              </w:rPr>
            </w:pPr>
            <w:r w:rsidRPr="00390177">
              <w:rPr>
                <w:rFonts w:cs="Arial"/>
                <w:color w:val="auto"/>
                <w:sz w:val="20"/>
                <w:szCs w:val="20"/>
              </w:rPr>
              <w:t>2023*</w:t>
            </w:r>
          </w:p>
        </w:tc>
        <w:tc>
          <w:tcPr>
            <w:tcW w:w="3330" w:type="dxa"/>
            <w:tcBorders>
              <w:top w:val="nil"/>
              <w:left w:val="nil"/>
              <w:bottom w:val="single" w:sz="4" w:space="0" w:color="auto"/>
              <w:right w:val="single" w:sz="4" w:space="0" w:color="auto"/>
            </w:tcBorders>
            <w:shd w:val="clear" w:color="auto" w:fill="auto"/>
            <w:noWrap/>
            <w:vAlign w:val="center"/>
            <w:hideMark/>
          </w:tcPr>
          <w:p w14:paraId="2CE1796D" w14:textId="77777777" w:rsidR="00DE2FFE" w:rsidRPr="00390177" w:rsidRDefault="00DE2FFE" w:rsidP="004D177E">
            <w:pPr>
              <w:jc w:val="center"/>
              <w:rPr>
                <w:rFonts w:cs="Arial"/>
                <w:color w:val="auto"/>
                <w:sz w:val="20"/>
                <w:szCs w:val="20"/>
              </w:rPr>
            </w:pPr>
            <w:r w:rsidRPr="00390177">
              <w:rPr>
                <w:rFonts w:cs="Arial"/>
                <w:color w:val="auto"/>
                <w:sz w:val="20"/>
                <w:szCs w:val="20"/>
              </w:rPr>
              <w:t>22.05</w:t>
            </w:r>
          </w:p>
        </w:tc>
        <w:tc>
          <w:tcPr>
            <w:tcW w:w="2250" w:type="dxa"/>
            <w:tcBorders>
              <w:top w:val="nil"/>
              <w:left w:val="nil"/>
              <w:bottom w:val="single" w:sz="4" w:space="0" w:color="auto"/>
              <w:right w:val="single" w:sz="4" w:space="0" w:color="auto"/>
            </w:tcBorders>
            <w:shd w:val="clear" w:color="auto" w:fill="auto"/>
            <w:noWrap/>
            <w:vAlign w:val="center"/>
            <w:hideMark/>
          </w:tcPr>
          <w:p w14:paraId="60FC2688" w14:textId="77777777" w:rsidR="00DE2FFE" w:rsidRPr="00390177" w:rsidRDefault="00DE2FFE" w:rsidP="004D177E">
            <w:pPr>
              <w:jc w:val="center"/>
              <w:rPr>
                <w:rFonts w:cs="Arial"/>
                <w:color w:val="auto"/>
                <w:sz w:val="20"/>
                <w:szCs w:val="20"/>
              </w:rPr>
            </w:pPr>
            <w:r w:rsidRPr="00390177">
              <w:rPr>
                <w:rFonts w:cs="Arial"/>
                <w:color w:val="auto"/>
                <w:sz w:val="20"/>
                <w:szCs w:val="20"/>
              </w:rPr>
              <w:t xml:space="preserve">                   6,820,769 </w:t>
            </w:r>
          </w:p>
        </w:tc>
      </w:tr>
      <w:tr w:rsidR="00DE2FFE" w:rsidRPr="00390177" w14:paraId="406EAC78" w14:textId="77777777" w:rsidTr="004D177E">
        <w:trPr>
          <w:trHeight w:val="300"/>
        </w:trPr>
        <w:tc>
          <w:tcPr>
            <w:tcW w:w="4860" w:type="dxa"/>
            <w:gridSpan w:val="2"/>
            <w:tcBorders>
              <w:top w:val="nil"/>
              <w:left w:val="nil"/>
              <w:bottom w:val="nil"/>
              <w:right w:val="nil"/>
            </w:tcBorders>
            <w:shd w:val="clear" w:color="auto" w:fill="auto"/>
            <w:noWrap/>
            <w:vAlign w:val="center"/>
            <w:hideMark/>
          </w:tcPr>
          <w:p w14:paraId="11F76DC1" w14:textId="77777777" w:rsidR="00DE2FFE" w:rsidRPr="00390177" w:rsidRDefault="00DE2FFE" w:rsidP="004D177E">
            <w:pPr>
              <w:rPr>
                <w:rFonts w:cs="Arial"/>
                <w:color w:val="auto"/>
                <w:sz w:val="16"/>
                <w:szCs w:val="16"/>
              </w:rPr>
            </w:pPr>
            <w:r w:rsidRPr="00390177">
              <w:rPr>
                <w:rFonts w:cs="Arial"/>
                <w:color w:val="auto"/>
                <w:sz w:val="16"/>
                <w:szCs w:val="16"/>
              </w:rPr>
              <w:t>*Data for January 1 to November 30, 2023</w:t>
            </w:r>
          </w:p>
        </w:tc>
        <w:tc>
          <w:tcPr>
            <w:tcW w:w="2250" w:type="dxa"/>
            <w:tcBorders>
              <w:top w:val="nil"/>
              <w:left w:val="nil"/>
              <w:bottom w:val="nil"/>
              <w:right w:val="nil"/>
            </w:tcBorders>
            <w:shd w:val="clear" w:color="auto" w:fill="auto"/>
            <w:noWrap/>
            <w:vAlign w:val="bottom"/>
            <w:hideMark/>
          </w:tcPr>
          <w:p w14:paraId="5C3A3777" w14:textId="77777777" w:rsidR="00DE2FFE" w:rsidRPr="00390177" w:rsidRDefault="00DE2FFE" w:rsidP="004D177E">
            <w:pPr>
              <w:rPr>
                <w:rFonts w:cs="Arial"/>
                <w:color w:val="auto"/>
                <w:sz w:val="16"/>
                <w:szCs w:val="16"/>
              </w:rPr>
            </w:pPr>
          </w:p>
        </w:tc>
      </w:tr>
    </w:tbl>
    <w:p w14:paraId="70DB4212" w14:textId="77777777" w:rsidR="00DE2FFE" w:rsidRDefault="00DE2FFE" w:rsidP="00DE2FFE">
      <w:pPr>
        <w:jc w:val="both"/>
        <w:rPr>
          <w:rFonts w:cs="Arial"/>
          <w:color w:val="auto"/>
        </w:rPr>
      </w:pPr>
    </w:p>
    <w:p w14:paraId="7B94A483" w14:textId="77777777" w:rsidR="00DE2FFE" w:rsidRDefault="00DE2FFE" w:rsidP="00DE2FFE">
      <w:pPr>
        <w:jc w:val="both"/>
        <w:rPr>
          <w:rFonts w:cs="Arial"/>
          <w:b/>
          <w:color w:val="auto"/>
        </w:rPr>
      </w:pPr>
      <w:r>
        <w:rPr>
          <w:rFonts w:cs="Arial"/>
          <w:b/>
          <w:color w:val="auto"/>
        </w:rPr>
        <w:t>ERCOT Contingency Reserve Service (ECRS)</w:t>
      </w:r>
    </w:p>
    <w:p w14:paraId="10783113" w14:textId="30EA5B10" w:rsidR="00DE2FFE" w:rsidRPr="00AA12BC" w:rsidRDefault="00DE2FFE" w:rsidP="00164561">
      <w:pPr>
        <w:spacing w:before="100" w:beforeAutospacing="1" w:after="100" w:afterAutospacing="1"/>
        <w:jc w:val="both"/>
        <w:rPr>
          <w:rFonts w:asciiTheme="majorHAnsi" w:hAnsiTheme="majorHAnsi" w:cstheme="majorHAnsi"/>
          <w:color w:val="000000"/>
        </w:rPr>
      </w:pPr>
      <w:r w:rsidRPr="00AA12BC">
        <w:rPr>
          <w:rFonts w:asciiTheme="majorHAnsi" w:hAnsiTheme="majorHAnsi" w:cstheme="majorHAnsi"/>
          <w:color w:val="000000"/>
        </w:rPr>
        <w:t xml:space="preserve">In June 2023, ERCOT introduced a new Ancillary Service for the first time in 20 years. ECRS was designed to complement and provide support to the four procured </w:t>
      </w:r>
      <w:r>
        <w:rPr>
          <w:rFonts w:asciiTheme="majorHAnsi" w:hAnsiTheme="majorHAnsi" w:cstheme="majorHAnsi"/>
          <w:color w:val="000000"/>
        </w:rPr>
        <w:t xml:space="preserve">ERCOT </w:t>
      </w:r>
      <w:r w:rsidRPr="00AA12BC">
        <w:rPr>
          <w:rFonts w:asciiTheme="majorHAnsi" w:hAnsiTheme="majorHAnsi" w:cstheme="majorHAnsi"/>
          <w:color w:val="000000"/>
        </w:rPr>
        <w:t>Ancillary Services.</w:t>
      </w:r>
    </w:p>
    <w:p w14:paraId="6DFF6690" w14:textId="2C098093" w:rsidR="00DE2FFE" w:rsidRPr="00C955E3" w:rsidRDefault="00DE2FFE" w:rsidP="00164561">
      <w:pPr>
        <w:spacing w:before="100" w:beforeAutospacing="1" w:after="100" w:afterAutospacing="1"/>
        <w:jc w:val="both"/>
        <w:rPr>
          <w:rFonts w:asciiTheme="majorHAnsi" w:hAnsiTheme="majorHAnsi" w:cstheme="majorHAnsi"/>
          <w:color w:val="000000"/>
        </w:rPr>
      </w:pPr>
      <w:r w:rsidRPr="00C955E3">
        <w:rPr>
          <w:rFonts w:asciiTheme="majorHAnsi" w:hAnsiTheme="majorHAnsi" w:cstheme="majorHAnsi"/>
          <w:color w:val="000000"/>
        </w:rPr>
        <w:t>Similar to RRS, ECRS varies slightly from responsive reserve by allowing Load Resources to participate that do or do not have a UFR.</w:t>
      </w:r>
      <w:r>
        <w:rPr>
          <w:rFonts w:asciiTheme="majorHAnsi" w:hAnsiTheme="majorHAnsi" w:cstheme="majorHAnsi"/>
          <w:color w:val="000000"/>
        </w:rPr>
        <w:t xml:space="preserve"> </w:t>
      </w:r>
      <w:r w:rsidRPr="00C955E3">
        <w:rPr>
          <w:rFonts w:asciiTheme="majorHAnsi" w:hAnsiTheme="majorHAnsi" w:cstheme="majorHAnsi"/>
          <w:color w:val="000000"/>
        </w:rPr>
        <w:t>Resources that have been deployed for ECRS have 10 minutes to respond and must restore to pre</w:t>
      </w:r>
      <w:r>
        <w:rPr>
          <w:rFonts w:asciiTheme="majorHAnsi" w:hAnsiTheme="majorHAnsi" w:cstheme="majorHAnsi"/>
          <w:color w:val="000000"/>
        </w:rPr>
        <w:t>-</w:t>
      </w:r>
      <w:r w:rsidRPr="00C955E3">
        <w:rPr>
          <w:rFonts w:asciiTheme="majorHAnsi" w:hAnsiTheme="majorHAnsi" w:cstheme="majorHAnsi"/>
          <w:color w:val="000000"/>
        </w:rPr>
        <w:t>deployment conditions within 3 hours.</w:t>
      </w:r>
    </w:p>
    <w:p w14:paraId="7A0E9925" w14:textId="29F71EAE" w:rsidR="00DE2FFE" w:rsidRPr="00AA12BC" w:rsidRDefault="00DE2FFE" w:rsidP="00164561">
      <w:pPr>
        <w:spacing w:before="100" w:beforeAutospacing="1" w:after="100" w:afterAutospacing="1"/>
        <w:jc w:val="both"/>
        <w:rPr>
          <w:rFonts w:asciiTheme="majorHAnsi" w:hAnsiTheme="majorHAnsi" w:cstheme="majorHAnsi"/>
          <w:color w:val="000000"/>
        </w:rPr>
      </w:pPr>
      <w:r w:rsidRPr="001B4122">
        <w:rPr>
          <w:rFonts w:asciiTheme="majorHAnsi" w:hAnsiTheme="majorHAnsi" w:cstheme="majorHAnsi"/>
          <w:color w:val="000000"/>
        </w:rPr>
        <w:t xml:space="preserve">As of </w:t>
      </w:r>
      <w:r>
        <w:rPr>
          <w:rFonts w:asciiTheme="majorHAnsi" w:hAnsiTheme="majorHAnsi" w:cstheme="majorHAnsi"/>
          <w:color w:val="000000"/>
        </w:rPr>
        <w:t xml:space="preserve">the end of </w:t>
      </w:r>
      <w:r w:rsidRPr="001B4122">
        <w:rPr>
          <w:rFonts w:asciiTheme="majorHAnsi" w:hAnsiTheme="majorHAnsi" w:cstheme="majorHAnsi"/>
          <w:color w:val="000000"/>
        </w:rPr>
        <w:t xml:space="preserve">November 2023, there are 132 </w:t>
      </w:r>
      <w:r w:rsidR="00831917">
        <w:rPr>
          <w:rFonts w:asciiTheme="majorHAnsi" w:hAnsiTheme="majorHAnsi" w:cstheme="majorHAnsi"/>
          <w:color w:val="000000"/>
        </w:rPr>
        <w:t>R</w:t>
      </w:r>
      <w:r w:rsidRPr="001B4122">
        <w:rPr>
          <w:rFonts w:asciiTheme="majorHAnsi" w:hAnsiTheme="majorHAnsi" w:cstheme="majorHAnsi"/>
          <w:color w:val="000000"/>
        </w:rPr>
        <w:t>esources participating in ECRS.</w:t>
      </w:r>
      <w:r w:rsidRPr="00AA12BC">
        <w:rPr>
          <w:rFonts w:asciiTheme="majorHAnsi" w:hAnsiTheme="majorHAnsi" w:cstheme="majorHAnsi"/>
          <w:color w:val="000000"/>
        </w:rPr>
        <w:t xml:space="preserve"> Table</w:t>
      </w:r>
      <w:r>
        <w:rPr>
          <w:rFonts w:asciiTheme="majorHAnsi" w:hAnsiTheme="majorHAnsi" w:cstheme="majorHAnsi"/>
          <w:color w:val="000000"/>
        </w:rPr>
        <w:t>s</w:t>
      </w:r>
      <w:r w:rsidRPr="00AA12BC">
        <w:rPr>
          <w:rFonts w:asciiTheme="majorHAnsi" w:hAnsiTheme="majorHAnsi" w:cstheme="majorHAnsi"/>
          <w:color w:val="000000"/>
        </w:rPr>
        <w:t xml:space="preserve"> </w:t>
      </w:r>
      <w:r>
        <w:rPr>
          <w:rFonts w:asciiTheme="majorHAnsi" w:hAnsiTheme="majorHAnsi" w:cstheme="majorHAnsi"/>
          <w:color w:val="000000"/>
        </w:rPr>
        <w:t>7 and 8</w:t>
      </w:r>
      <w:r w:rsidRPr="00AA12BC">
        <w:rPr>
          <w:rFonts w:asciiTheme="majorHAnsi" w:hAnsiTheme="majorHAnsi" w:cstheme="majorHAnsi"/>
          <w:color w:val="000000"/>
        </w:rPr>
        <w:t xml:space="preserve"> below provide a view of the hourly offers and awards during the first </w:t>
      </w:r>
      <w:r w:rsidR="00831917">
        <w:rPr>
          <w:rFonts w:asciiTheme="majorHAnsi" w:hAnsiTheme="majorHAnsi" w:cstheme="majorHAnsi"/>
          <w:color w:val="000000"/>
        </w:rPr>
        <w:t>six</w:t>
      </w:r>
      <w:r w:rsidRPr="00AA12BC">
        <w:rPr>
          <w:rFonts w:asciiTheme="majorHAnsi" w:hAnsiTheme="majorHAnsi" w:cstheme="majorHAnsi"/>
          <w:color w:val="000000"/>
        </w:rPr>
        <w:t xml:space="preserve"> months </w:t>
      </w:r>
      <w:r w:rsidRPr="00AA12BC">
        <w:rPr>
          <w:rFonts w:asciiTheme="majorHAnsi" w:hAnsiTheme="majorHAnsi" w:cstheme="majorHAnsi"/>
          <w:color w:val="000000"/>
        </w:rPr>
        <w:lastRenderedPageBreak/>
        <w:t xml:space="preserve">of the program. The program continues to show steady growth and </w:t>
      </w:r>
      <w:r>
        <w:rPr>
          <w:rFonts w:asciiTheme="majorHAnsi" w:hAnsiTheme="majorHAnsi" w:cstheme="majorHAnsi"/>
          <w:color w:val="000000"/>
        </w:rPr>
        <w:t xml:space="preserve">ERCOT </w:t>
      </w:r>
      <w:r w:rsidRPr="00AA12BC">
        <w:rPr>
          <w:rFonts w:asciiTheme="majorHAnsi" w:hAnsiTheme="majorHAnsi" w:cstheme="majorHAnsi"/>
          <w:color w:val="000000"/>
        </w:rPr>
        <w:t>continue</w:t>
      </w:r>
      <w:r>
        <w:rPr>
          <w:rFonts w:asciiTheme="majorHAnsi" w:hAnsiTheme="majorHAnsi" w:cstheme="majorHAnsi"/>
          <w:color w:val="000000"/>
        </w:rPr>
        <w:t>s</w:t>
      </w:r>
      <w:r w:rsidRPr="00AA12BC">
        <w:rPr>
          <w:rFonts w:asciiTheme="majorHAnsi" w:hAnsiTheme="majorHAnsi" w:cstheme="majorHAnsi"/>
          <w:color w:val="000000"/>
        </w:rPr>
        <w:t xml:space="preserve"> to receive Load Resource qualifications for the program.</w:t>
      </w:r>
      <w:r>
        <w:rPr>
          <w:rFonts w:asciiTheme="majorHAnsi" w:hAnsiTheme="majorHAnsi" w:cstheme="majorHAnsi"/>
          <w:color w:val="000000"/>
        </w:rPr>
        <w:t xml:space="preserve"> Table 9 </w:t>
      </w:r>
      <w:r>
        <w:rPr>
          <w:rFonts w:cs="Arial"/>
          <w:color w:val="auto"/>
        </w:rPr>
        <w:t xml:space="preserve">below shows the average cost of </w:t>
      </w:r>
      <w:r w:rsidR="00831917">
        <w:rPr>
          <w:rFonts w:cs="Arial"/>
          <w:color w:val="auto"/>
        </w:rPr>
        <w:t>L</w:t>
      </w:r>
      <w:r>
        <w:rPr>
          <w:rFonts w:cs="Arial"/>
          <w:color w:val="auto"/>
        </w:rPr>
        <w:t xml:space="preserve">oad </w:t>
      </w:r>
      <w:r w:rsidR="00831917">
        <w:rPr>
          <w:rFonts w:cs="Arial"/>
          <w:color w:val="auto"/>
        </w:rPr>
        <w:t>R</w:t>
      </w:r>
      <w:r>
        <w:rPr>
          <w:rFonts w:cs="Arial"/>
          <w:color w:val="auto"/>
        </w:rPr>
        <w:t>esources providing ECRS.</w:t>
      </w:r>
    </w:p>
    <w:tbl>
      <w:tblPr>
        <w:tblW w:w="9322" w:type="dxa"/>
        <w:tblLook w:val="04A0" w:firstRow="1" w:lastRow="0" w:firstColumn="1" w:lastColumn="0" w:noHBand="0" w:noVBand="1"/>
      </w:tblPr>
      <w:tblGrid>
        <w:gridCol w:w="2137"/>
        <w:gridCol w:w="2211"/>
        <w:gridCol w:w="2301"/>
        <w:gridCol w:w="2673"/>
      </w:tblGrid>
      <w:tr w:rsidR="00DE2FFE" w:rsidRPr="00245790" w14:paraId="756DA5FF" w14:textId="77777777" w:rsidTr="00837E04">
        <w:trPr>
          <w:trHeight w:val="259"/>
        </w:trPr>
        <w:tc>
          <w:tcPr>
            <w:tcW w:w="9322" w:type="dxa"/>
            <w:gridSpan w:val="4"/>
            <w:tcBorders>
              <w:top w:val="nil"/>
              <w:left w:val="nil"/>
              <w:bottom w:val="single" w:sz="4" w:space="0" w:color="auto"/>
              <w:right w:val="nil"/>
            </w:tcBorders>
            <w:shd w:val="clear" w:color="auto" w:fill="auto"/>
            <w:noWrap/>
            <w:vAlign w:val="bottom"/>
            <w:hideMark/>
          </w:tcPr>
          <w:p w14:paraId="1D1623F1" w14:textId="77777777" w:rsidR="00DE2FFE" w:rsidRPr="00245790" w:rsidRDefault="00DE2FFE" w:rsidP="004D177E">
            <w:pPr>
              <w:rPr>
                <w:rFonts w:cs="Arial"/>
                <w:i/>
                <w:iCs/>
                <w:color w:val="000000"/>
                <w:sz w:val="16"/>
                <w:szCs w:val="16"/>
              </w:rPr>
            </w:pPr>
            <w:r>
              <w:rPr>
                <w:rFonts w:cs="Arial"/>
                <w:i/>
                <w:iCs/>
                <w:color w:val="000000"/>
                <w:sz w:val="16"/>
                <w:szCs w:val="16"/>
              </w:rPr>
              <w:t xml:space="preserve">Table 7:  </w:t>
            </w:r>
            <w:r w:rsidRPr="00245790">
              <w:rPr>
                <w:rFonts w:cs="Arial"/>
                <w:i/>
                <w:iCs/>
                <w:color w:val="000000"/>
                <w:sz w:val="16"/>
                <w:szCs w:val="16"/>
              </w:rPr>
              <w:t xml:space="preserve">ECRS hourly offers (MW) 6/23 through 11/23 </w:t>
            </w:r>
          </w:p>
        </w:tc>
      </w:tr>
      <w:tr w:rsidR="00DE2FFE" w:rsidRPr="00245790" w14:paraId="65CB3277" w14:textId="77777777" w:rsidTr="00837E04">
        <w:trPr>
          <w:trHeight w:val="259"/>
        </w:trPr>
        <w:tc>
          <w:tcPr>
            <w:tcW w:w="2137" w:type="dxa"/>
            <w:tcBorders>
              <w:top w:val="nil"/>
              <w:left w:val="single" w:sz="4" w:space="0" w:color="auto"/>
              <w:bottom w:val="single" w:sz="4" w:space="0" w:color="auto"/>
              <w:right w:val="single" w:sz="4" w:space="0" w:color="auto"/>
            </w:tcBorders>
            <w:shd w:val="clear" w:color="auto" w:fill="auto"/>
            <w:noWrap/>
            <w:vAlign w:val="center"/>
            <w:hideMark/>
          </w:tcPr>
          <w:p w14:paraId="0A86127D" w14:textId="77777777" w:rsidR="00DE2FFE" w:rsidRPr="00245790" w:rsidRDefault="00DE2FFE" w:rsidP="0017768A">
            <w:pPr>
              <w:jc w:val="center"/>
              <w:rPr>
                <w:rFonts w:cs="Arial"/>
                <w:color w:val="auto"/>
                <w:sz w:val="20"/>
                <w:szCs w:val="20"/>
              </w:rPr>
            </w:pPr>
            <w:r w:rsidRPr="00245790">
              <w:rPr>
                <w:rFonts w:cs="Arial"/>
                <w:color w:val="auto"/>
                <w:sz w:val="20"/>
                <w:szCs w:val="20"/>
              </w:rPr>
              <w:t>Month</w:t>
            </w:r>
          </w:p>
        </w:tc>
        <w:tc>
          <w:tcPr>
            <w:tcW w:w="2211" w:type="dxa"/>
            <w:tcBorders>
              <w:top w:val="nil"/>
              <w:left w:val="nil"/>
              <w:bottom w:val="single" w:sz="4" w:space="0" w:color="auto"/>
              <w:right w:val="single" w:sz="4" w:space="0" w:color="auto"/>
            </w:tcBorders>
            <w:shd w:val="clear" w:color="auto" w:fill="auto"/>
            <w:noWrap/>
            <w:vAlign w:val="center"/>
            <w:hideMark/>
          </w:tcPr>
          <w:p w14:paraId="547FF9C9" w14:textId="77777777" w:rsidR="00DE2FFE" w:rsidRPr="00245790" w:rsidRDefault="00DE2FFE" w:rsidP="004D177E">
            <w:pPr>
              <w:jc w:val="center"/>
              <w:rPr>
                <w:rFonts w:cs="Arial"/>
                <w:color w:val="auto"/>
                <w:sz w:val="20"/>
                <w:szCs w:val="20"/>
              </w:rPr>
            </w:pPr>
            <w:r w:rsidRPr="00245790">
              <w:rPr>
                <w:rFonts w:cs="Arial"/>
                <w:color w:val="auto"/>
                <w:sz w:val="20"/>
                <w:szCs w:val="20"/>
              </w:rPr>
              <w:t>Minimum Hour</w:t>
            </w:r>
          </w:p>
        </w:tc>
        <w:tc>
          <w:tcPr>
            <w:tcW w:w="2301" w:type="dxa"/>
            <w:tcBorders>
              <w:top w:val="nil"/>
              <w:left w:val="nil"/>
              <w:bottom w:val="single" w:sz="4" w:space="0" w:color="auto"/>
              <w:right w:val="single" w:sz="4" w:space="0" w:color="auto"/>
            </w:tcBorders>
            <w:shd w:val="clear" w:color="auto" w:fill="auto"/>
            <w:noWrap/>
            <w:vAlign w:val="center"/>
            <w:hideMark/>
          </w:tcPr>
          <w:p w14:paraId="4C9E6C96" w14:textId="77777777" w:rsidR="00DE2FFE" w:rsidRPr="00245790" w:rsidRDefault="00DE2FFE" w:rsidP="004D177E">
            <w:pPr>
              <w:jc w:val="center"/>
              <w:rPr>
                <w:rFonts w:cs="Arial"/>
                <w:color w:val="auto"/>
                <w:sz w:val="20"/>
                <w:szCs w:val="20"/>
              </w:rPr>
            </w:pPr>
            <w:r w:rsidRPr="00245790">
              <w:rPr>
                <w:rFonts w:cs="Arial"/>
                <w:color w:val="auto"/>
                <w:sz w:val="20"/>
                <w:szCs w:val="20"/>
              </w:rPr>
              <w:t>Maximum Hour</w:t>
            </w:r>
          </w:p>
        </w:tc>
        <w:tc>
          <w:tcPr>
            <w:tcW w:w="2672" w:type="dxa"/>
            <w:tcBorders>
              <w:top w:val="nil"/>
              <w:left w:val="nil"/>
              <w:bottom w:val="single" w:sz="4" w:space="0" w:color="auto"/>
              <w:right w:val="single" w:sz="4" w:space="0" w:color="auto"/>
            </w:tcBorders>
            <w:shd w:val="clear" w:color="auto" w:fill="auto"/>
            <w:noWrap/>
            <w:vAlign w:val="center"/>
            <w:hideMark/>
          </w:tcPr>
          <w:p w14:paraId="74B884CA" w14:textId="77777777" w:rsidR="00DE2FFE" w:rsidRPr="00245790" w:rsidRDefault="00DE2FFE" w:rsidP="004D177E">
            <w:pPr>
              <w:jc w:val="center"/>
              <w:rPr>
                <w:rFonts w:cs="Arial"/>
                <w:color w:val="auto"/>
                <w:sz w:val="20"/>
                <w:szCs w:val="20"/>
              </w:rPr>
            </w:pPr>
            <w:r w:rsidRPr="00245790">
              <w:rPr>
                <w:rFonts w:cs="Arial"/>
                <w:color w:val="auto"/>
                <w:sz w:val="20"/>
                <w:szCs w:val="20"/>
              </w:rPr>
              <w:t>Average per Hour</w:t>
            </w:r>
          </w:p>
        </w:tc>
      </w:tr>
      <w:tr w:rsidR="00DE2FFE" w:rsidRPr="00245790" w14:paraId="34CB98C3" w14:textId="77777777" w:rsidTr="00837E04">
        <w:trPr>
          <w:trHeight w:val="259"/>
        </w:trPr>
        <w:tc>
          <w:tcPr>
            <w:tcW w:w="2137" w:type="dxa"/>
            <w:tcBorders>
              <w:top w:val="nil"/>
              <w:left w:val="single" w:sz="4" w:space="0" w:color="auto"/>
              <w:bottom w:val="single" w:sz="4" w:space="0" w:color="auto"/>
              <w:right w:val="single" w:sz="4" w:space="0" w:color="auto"/>
            </w:tcBorders>
            <w:shd w:val="clear" w:color="auto" w:fill="auto"/>
            <w:noWrap/>
            <w:vAlign w:val="center"/>
            <w:hideMark/>
          </w:tcPr>
          <w:p w14:paraId="3F5BED73" w14:textId="77777777" w:rsidR="00DE2FFE" w:rsidRPr="00245790" w:rsidRDefault="00DE2FFE" w:rsidP="004D177E">
            <w:pPr>
              <w:rPr>
                <w:rFonts w:cs="Arial"/>
                <w:color w:val="auto"/>
                <w:sz w:val="20"/>
                <w:szCs w:val="20"/>
              </w:rPr>
            </w:pPr>
            <w:r w:rsidRPr="00245790">
              <w:rPr>
                <w:rFonts w:cs="Arial"/>
                <w:color w:val="auto"/>
                <w:sz w:val="20"/>
                <w:szCs w:val="20"/>
              </w:rPr>
              <w:t>June 23</w:t>
            </w:r>
          </w:p>
        </w:tc>
        <w:tc>
          <w:tcPr>
            <w:tcW w:w="2211" w:type="dxa"/>
            <w:tcBorders>
              <w:top w:val="nil"/>
              <w:left w:val="nil"/>
              <w:bottom w:val="single" w:sz="4" w:space="0" w:color="auto"/>
              <w:right w:val="single" w:sz="4" w:space="0" w:color="auto"/>
            </w:tcBorders>
            <w:shd w:val="clear" w:color="auto" w:fill="auto"/>
            <w:noWrap/>
            <w:vAlign w:val="center"/>
            <w:hideMark/>
          </w:tcPr>
          <w:p w14:paraId="44B13609" w14:textId="77777777" w:rsidR="00DE2FFE" w:rsidRPr="00245790" w:rsidRDefault="00DE2FFE" w:rsidP="004D177E">
            <w:pPr>
              <w:jc w:val="center"/>
              <w:rPr>
                <w:rFonts w:cs="Arial"/>
                <w:color w:val="auto"/>
                <w:sz w:val="20"/>
                <w:szCs w:val="20"/>
              </w:rPr>
            </w:pPr>
            <w:r w:rsidRPr="00245790">
              <w:rPr>
                <w:rFonts w:cs="Arial"/>
                <w:color w:val="auto"/>
                <w:sz w:val="20"/>
                <w:szCs w:val="20"/>
              </w:rPr>
              <w:t>0</w:t>
            </w:r>
          </w:p>
        </w:tc>
        <w:tc>
          <w:tcPr>
            <w:tcW w:w="2301" w:type="dxa"/>
            <w:tcBorders>
              <w:top w:val="nil"/>
              <w:left w:val="nil"/>
              <w:bottom w:val="single" w:sz="4" w:space="0" w:color="auto"/>
              <w:right w:val="single" w:sz="4" w:space="0" w:color="auto"/>
            </w:tcBorders>
            <w:shd w:val="clear" w:color="auto" w:fill="auto"/>
            <w:noWrap/>
            <w:vAlign w:val="center"/>
            <w:hideMark/>
          </w:tcPr>
          <w:p w14:paraId="5D72C844" w14:textId="77777777" w:rsidR="00DE2FFE" w:rsidRPr="00245790" w:rsidRDefault="00DE2FFE" w:rsidP="004D177E">
            <w:pPr>
              <w:jc w:val="center"/>
              <w:rPr>
                <w:rFonts w:cs="Arial"/>
                <w:color w:val="auto"/>
                <w:sz w:val="20"/>
                <w:szCs w:val="20"/>
              </w:rPr>
            </w:pPr>
            <w:r w:rsidRPr="00245790">
              <w:rPr>
                <w:rFonts w:cs="Arial"/>
                <w:color w:val="auto"/>
                <w:sz w:val="20"/>
                <w:szCs w:val="20"/>
              </w:rPr>
              <w:t>181.4</w:t>
            </w:r>
          </w:p>
        </w:tc>
        <w:tc>
          <w:tcPr>
            <w:tcW w:w="2672" w:type="dxa"/>
            <w:tcBorders>
              <w:top w:val="nil"/>
              <w:left w:val="nil"/>
              <w:bottom w:val="single" w:sz="4" w:space="0" w:color="auto"/>
              <w:right w:val="single" w:sz="4" w:space="0" w:color="auto"/>
            </w:tcBorders>
            <w:shd w:val="clear" w:color="auto" w:fill="auto"/>
            <w:noWrap/>
            <w:vAlign w:val="center"/>
            <w:hideMark/>
          </w:tcPr>
          <w:p w14:paraId="1779C01B" w14:textId="77777777" w:rsidR="00DE2FFE" w:rsidRPr="00245790" w:rsidRDefault="00DE2FFE" w:rsidP="004D177E">
            <w:pPr>
              <w:jc w:val="center"/>
              <w:rPr>
                <w:rFonts w:cs="Arial"/>
                <w:color w:val="auto"/>
                <w:sz w:val="20"/>
                <w:szCs w:val="20"/>
              </w:rPr>
            </w:pPr>
            <w:r w:rsidRPr="00245790">
              <w:rPr>
                <w:rFonts w:cs="Arial"/>
                <w:color w:val="auto"/>
                <w:sz w:val="20"/>
                <w:szCs w:val="20"/>
              </w:rPr>
              <w:t>91.1</w:t>
            </w:r>
          </w:p>
        </w:tc>
      </w:tr>
      <w:tr w:rsidR="00DE2FFE" w:rsidRPr="00245790" w14:paraId="671BBC12" w14:textId="77777777" w:rsidTr="00837E04">
        <w:trPr>
          <w:trHeight w:val="259"/>
        </w:trPr>
        <w:tc>
          <w:tcPr>
            <w:tcW w:w="2137" w:type="dxa"/>
            <w:tcBorders>
              <w:top w:val="nil"/>
              <w:left w:val="single" w:sz="4" w:space="0" w:color="auto"/>
              <w:bottom w:val="single" w:sz="4" w:space="0" w:color="auto"/>
              <w:right w:val="single" w:sz="4" w:space="0" w:color="auto"/>
            </w:tcBorders>
            <w:shd w:val="clear" w:color="auto" w:fill="auto"/>
            <w:noWrap/>
            <w:vAlign w:val="center"/>
            <w:hideMark/>
          </w:tcPr>
          <w:p w14:paraId="01B0393A" w14:textId="77777777" w:rsidR="00DE2FFE" w:rsidRPr="00245790" w:rsidRDefault="00DE2FFE" w:rsidP="004D177E">
            <w:pPr>
              <w:rPr>
                <w:rFonts w:cs="Arial"/>
                <w:color w:val="auto"/>
                <w:sz w:val="20"/>
                <w:szCs w:val="20"/>
              </w:rPr>
            </w:pPr>
            <w:r w:rsidRPr="00245790">
              <w:rPr>
                <w:rFonts w:cs="Arial"/>
                <w:color w:val="auto"/>
                <w:sz w:val="20"/>
                <w:szCs w:val="20"/>
              </w:rPr>
              <w:t>July 23</w:t>
            </w:r>
          </w:p>
        </w:tc>
        <w:tc>
          <w:tcPr>
            <w:tcW w:w="2211" w:type="dxa"/>
            <w:tcBorders>
              <w:top w:val="nil"/>
              <w:left w:val="nil"/>
              <w:bottom w:val="single" w:sz="4" w:space="0" w:color="auto"/>
              <w:right w:val="single" w:sz="4" w:space="0" w:color="auto"/>
            </w:tcBorders>
            <w:shd w:val="clear" w:color="auto" w:fill="auto"/>
            <w:noWrap/>
            <w:vAlign w:val="center"/>
            <w:hideMark/>
          </w:tcPr>
          <w:p w14:paraId="60900504" w14:textId="77777777" w:rsidR="00DE2FFE" w:rsidRPr="00245790" w:rsidRDefault="00DE2FFE" w:rsidP="004D177E">
            <w:pPr>
              <w:jc w:val="center"/>
              <w:rPr>
                <w:rFonts w:cs="Arial"/>
                <w:color w:val="auto"/>
                <w:sz w:val="20"/>
                <w:szCs w:val="20"/>
              </w:rPr>
            </w:pPr>
            <w:r w:rsidRPr="00245790">
              <w:rPr>
                <w:rFonts w:cs="Arial"/>
                <w:color w:val="auto"/>
                <w:sz w:val="20"/>
                <w:szCs w:val="20"/>
              </w:rPr>
              <w:t>25.2</w:t>
            </w:r>
          </w:p>
        </w:tc>
        <w:tc>
          <w:tcPr>
            <w:tcW w:w="2301" w:type="dxa"/>
            <w:tcBorders>
              <w:top w:val="nil"/>
              <w:left w:val="nil"/>
              <w:bottom w:val="single" w:sz="4" w:space="0" w:color="auto"/>
              <w:right w:val="single" w:sz="4" w:space="0" w:color="auto"/>
            </w:tcBorders>
            <w:shd w:val="clear" w:color="auto" w:fill="auto"/>
            <w:noWrap/>
            <w:vAlign w:val="center"/>
            <w:hideMark/>
          </w:tcPr>
          <w:p w14:paraId="101D44F9" w14:textId="77777777" w:rsidR="00DE2FFE" w:rsidRPr="00245790" w:rsidRDefault="00DE2FFE" w:rsidP="004D177E">
            <w:pPr>
              <w:jc w:val="center"/>
              <w:rPr>
                <w:rFonts w:cs="Arial"/>
                <w:color w:val="auto"/>
                <w:sz w:val="20"/>
                <w:szCs w:val="20"/>
              </w:rPr>
            </w:pPr>
            <w:r w:rsidRPr="00245790">
              <w:rPr>
                <w:rFonts w:cs="Arial"/>
                <w:color w:val="auto"/>
                <w:sz w:val="20"/>
                <w:szCs w:val="20"/>
              </w:rPr>
              <w:t>237.2</w:t>
            </w:r>
          </w:p>
        </w:tc>
        <w:tc>
          <w:tcPr>
            <w:tcW w:w="2672" w:type="dxa"/>
            <w:tcBorders>
              <w:top w:val="nil"/>
              <w:left w:val="nil"/>
              <w:bottom w:val="single" w:sz="4" w:space="0" w:color="auto"/>
              <w:right w:val="single" w:sz="4" w:space="0" w:color="auto"/>
            </w:tcBorders>
            <w:shd w:val="clear" w:color="auto" w:fill="auto"/>
            <w:noWrap/>
            <w:vAlign w:val="center"/>
            <w:hideMark/>
          </w:tcPr>
          <w:p w14:paraId="4DEBB8C2" w14:textId="77777777" w:rsidR="00DE2FFE" w:rsidRPr="00245790" w:rsidRDefault="00DE2FFE" w:rsidP="004D177E">
            <w:pPr>
              <w:jc w:val="center"/>
              <w:rPr>
                <w:rFonts w:cs="Arial"/>
                <w:color w:val="auto"/>
                <w:sz w:val="20"/>
                <w:szCs w:val="20"/>
              </w:rPr>
            </w:pPr>
            <w:r w:rsidRPr="00245790">
              <w:rPr>
                <w:rFonts w:cs="Arial"/>
                <w:color w:val="auto"/>
                <w:sz w:val="20"/>
                <w:szCs w:val="20"/>
              </w:rPr>
              <w:t>148.0</w:t>
            </w:r>
          </w:p>
        </w:tc>
      </w:tr>
      <w:tr w:rsidR="00DE2FFE" w:rsidRPr="00245790" w14:paraId="1A5F3007" w14:textId="77777777" w:rsidTr="00837E04">
        <w:trPr>
          <w:trHeight w:val="259"/>
        </w:trPr>
        <w:tc>
          <w:tcPr>
            <w:tcW w:w="2137" w:type="dxa"/>
            <w:tcBorders>
              <w:top w:val="nil"/>
              <w:left w:val="single" w:sz="4" w:space="0" w:color="auto"/>
              <w:bottom w:val="single" w:sz="4" w:space="0" w:color="auto"/>
              <w:right w:val="single" w:sz="4" w:space="0" w:color="auto"/>
            </w:tcBorders>
            <w:shd w:val="clear" w:color="auto" w:fill="auto"/>
            <w:noWrap/>
            <w:vAlign w:val="center"/>
            <w:hideMark/>
          </w:tcPr>
          <w:p w14:paraId="2E0AF753" w14:textId="77777777" w:rsidR="00DE2FFE" w:rsidRPr="00245790" w:rsidRDefault="00DE2FFE" w:rsidP="004D177E">
            <w:pPr>
              <w:rPr>
                <w:rFonts w:cs="Arial"/>
                <w:color w:val="auto"/>
                <w:sz w:val="20"/>
                <w:szCs w:val="20"/>
              </w:rPr>
            </w:pPr>
            <w:r w:rsidRPr="00245790">
              <w:rPr>
                <w:rFonts w:cs="Arial"/>
                <w:color w:val="auto"/>
                <w:sz w:val="20"/>
                <w:szCs w:val="20"/>
              </w:rPr>
              <w:t>August 23</w:t>
            </w:r>
          </w:p>
        </w:tc>
        <w:tc>
          <w:tcPr>
            <w:tcW w:w="2211" w:type="dxa"/>
            <w:tcBorders>
              <w:top w:val="nil"/>
              <w:left w:val="nil"/>
              <w:bottom w:val="single" w:sz="4" w:space="0" w:color="auto"/>
              <w:right w:val="single" w:sz="4" w:space="0" w:color="auto"/>
            </w:tcBorders>
            <w:shd w:val="clear" w:color="auto" w:fill="auto"/>
            <w:noWrap/>
            <w:vAlign w:val="center"/>
            <w:hideMark/>
          </w:tcPr>
          <w:p w14:paraId="75BEFD7F" w14:textId="77777777" w:rsidR="00DE2FFE" w:rsidRPr="00245790" w:rsidRDefault="00DE2FFE" w:rsidP="004D177E">
            <w:pPr>
              <w:jc w:val="center"/>
              <w:rPr>
                <w:rFonts w:cs="Arial"/>
                <w:color w:val="auto"/>
                <w:sz w:val="20"/>
                <w:szCs w:val="20"/>
              </w:rPr>
            </w:pPr>
            <w:r w:rsidRPr="00245790">
              <w:rPr>
                <w:rFonts w:cs="Arial"/>
                <w:color w:val="auto"/>
                <w:sz w:val="20"/>
                <w:szCs w:val="20"/>
              </w:rPr>
              <w:t>49.5</w:t>
            </w:r>
          </w:p>
        </w:tc>
        <w:tc>
          <w:tcPr>
            <w:tcW w:w="2301" w:type="dxa"/>
            <w:tcBorders>
              <w:top w:val="nil"/>
              <w:left w:val="nil"/>
              <w:bottom w:val="single" w:sz="4" w:space="0" w:color="auto"/>
              <w:right w:val="single" w:sz="4" w:space="0" w:color="auto"/>
            </w:tcBorders>
            <w:shd w:val="clear" w:color="auto" w:fill="auto"/>
            <w:noWrap/>
            <w:vAlign w:val="center"/>
            <w:hideMark/>
          </w:tcPr>
          <w:p w14:paraId="3B0FE2E1" w14:textId="77777777" w:rsidR="00DE2FFE" w:rsidRPr="00245790" w:rsidRDefault="00DE2FFE" w:rsidP="004D177E">
            <w:pPr>
              <w:jc w:val="center"/>
              <w:rPr>
                <w:rFonts w:cs="Arial"/>
                <w:color w:val="auto"/>
                <w:sz w:val="20"/>
                <w:szCs w:val="20"/>
              </w:rPr>
            </w:pPr>
            <w:r w:rsidRPr="00245790">
              <w:rPr>
                <w:rFonts w:cs="Arial"/>
                <w:color w:val="auto"/>
                <w:sz w:val="20"/>
                <w:szCs w:val="20"/>
              </w:rPr>
              <w:t>422.5</w:t>
            </w:r>
          </w:p>
        </w:tc>
        <w:tc>
          <w:tcPr>
            <w:tcW w:w="2672" w:type="dxa"/>
            <w:tcBorders>
              <w:top w:val="nil"/>
              <w:left w:val="nil"/>
              <w:bottom w:val="single" w:sz="4" w:space="0" w:color="auto"/>
              <w:right w:val="single" w:sz="4" w:space="0" w:color="auto"/>
            </w:tcBorders>
            <w:shd w:val="clear" w:color="auto" w:fill="auto"/>
            <w:noWrap/>
            <w:vAlign w:val="center"/>
            <w:hideMark/>
          </w:tcPr>
          <w:p w14:paraId="6B7FA162" w14:textId="77777777" w:rsidR="00DE2FFE" w:rsidRPr="00245790" w:rsidRDefault="00DE2FFE" w:rsidP="004D177E">
            <w:pPr>
              <w:jc w:val="center"/>
              <w:rPr>
                <w:rFonts w:cs="Arial"/>
                <w:color w:val="auto"/>
                <w:sz w:val="20"/>
                <w:szCs w:val="20"/>
              </w:rPr>
            </w:pPr>
            <w:r w:rsidRPr="00245790">
              <w:rPr>
                <w:rFonts w:cs="Arial"/>
                <w:color w:val="auto"/>
                <w:sz w:val="20"/>
                <w:szCs w:val="20"/>
              </w:rPr>
              <w:t>177.9</w:t>
            </w:r>
          </w:p>
        </w:tc>
      </w:tr>
      <w:tr w:rsidR="00DE2FFE" w:rsidRPr="00245790" w14:paraId="24D2A36F" w14:textId="77777777" w:rsidTr="00837E04">
        <w:trPr>
          <w:trHeight w:val="259"/>
        </w:trPr>
        <w:tc>
          <w:tcPr>
            <w:tcW w:w="2137" w:type="dxa"/>
            <w:tcBorders>
              <w:top w:val="nil"/>
              <w:left w:val="single" w:sz="4" w:space="0" w:color="auto"/>
              <w:bottom w:val="single" w:sz="4" w:space="0" w:color="auto"/>
              <w:right w:val="single" w:sz="4" w:space="0" w:color="auto"/>
            </w:tcBorders>
            <w:shd w:val="clear" w:color="auto" w:fill="auto"/>
            <w:noWrap/>
            <w:vAlign w:val="center"/>
            <w:hideMark/>
          </w:tcPr>
          <w:p w14:paraId="50C24719" w14:textId="77777777" w:rsidR="00DE2FFE" w:rsidRPr="00245790" w:rsidRDefault="00DE2FFE" w:rsidP="004D177E">
            <w:pPr>
              <w:rPr>
                <w:rFonts w:cs="Arial"/>
                <w:color w:val="auto"/>
                <w:sz w:val="20"/>
                <w:szCs w:val="20"/>
              </w:rPr>
            </w:pPr>
            <w:r w:rsidRPr="00245790">
              <w:rPr>
                <w:rFonts w:cs="Arial"/>
                <w:color w:val="auto"/>
                <w:sz w:val="20"/>
                <w:szCs w:val="20"/>
              </w:rPr>
              <w:t>September 23</w:t>
            </w:r>
          </w:p>
        </w:tc>
        <w:tc>
          <w:tcPr>
            <w:tcW w:w="2211" w:type="dxa"/>
            <w:tcBorders>
              <w:top w:val="nil"/>
              <w:left w:val="nil"/>
              <w:bottom w:val="single" w:sz="4" w:space="0" w:color="auto"/>
              <w:right w:val="single" w:sz="4" w:space="0" w:color="auto"/>
            </w:tcBorders>
            <w:shd w:val="clear" w:color="auto" w:fill="auto"/>
            <w:noWrap/>
            <w:vAlign w:val="center"/>
            <w:hideMark/>
          </w:tcPr>
          <w:p w14:paraId="482E59A8" w14:textId="77777777" w:rsidR="00DE2FFE" w:rsidRPr="00245790" w:rsidRDefault="00DE2FFE" w:rsidP="004D177E">
            <w:pPr>
              <w:jc w:val="center"/>
              <w:rPr>
                <w:rFonts w:cs="Arial"/>
                <w:color w:val="auto"/>
                <w:sz w:val="20"/>
                <w:szCs w:val="20"/>
              </w:rPr>
            </w:pPr>
            <w:r w:rsidRPr="00245790">
              <w:rPr>
                <w:rFonts w:cs="Arial"/>
                <w:color w:val="auto"/>
                <w:sz w:val="20"/>
                <w:szCs w:val="20"/>
              </w:rPr>
              <w:t>73.1</w:t>
            </w:r>
          </w:p>
        </w:tc>
        <w:tc>
          <w:tcPr>
            <w:tcW w:w="2301" w:type="dxa"/>
            <w:tcBorders>
              <w:top w:val="nil"/>
              <w:left w:val="nil"/>
              <w:bottom w:val="single" w:sz="4" w:space="0" w:color="auto"/>
              <w:right w:val="single" w:sz="4" w:space="0" w:color="auto"/>
            </w:tcBorders>
            <w:shd w:val="clear" w:color="auto" w:fill="auto"/>
            <w:noWrap/>
            <w:vAlign w:val="center"/>
            <w:hideMark/>
          </w:tcPr>
          <w:p w14:paraId="35325820" w14:textId="77777777" w:rsidR="00DE2FFE" w:rsidRPr="00245790" w:rsidRDefault="00DE2FFE" w:rsidP="004D177E">
            <w:pPr>
              <w:jc w:val="center"/>
              <w:rPr>
                <w:rFonts w:cs="Arial"/>
                <w:color w:val="auto"/>
                <w:sz w:val="20"/>
                <w:szCs w:val="20"/>
              </w:rPr>
            </w:pPr>
            <w:r w:rsidRPr="00245790">
              <w:rPr>
                <w:rFonts w:cs="Arial"/>
                <w:color w:val="auto"/>
                <w:sz w:val="20"/>
                <w:szCs w:val="20"/>
              </w:rPr>
              <w:t>353.1</w:t>
            </w:r>
          </w:p>
        </w:tc>
        <w:tc>
          <w:tcPr>
            <w:tcW w:w="2672" w:type="dxa"/>
            <w:tcBorders>
              <w:top w:val="nil"/>
              <w:left w:val="nil"/>
              <w:bottom w:val="single" w:sz="4" w:space="0" w:color="auto"/>
              <w:right w:val="single" w:sz="4" w:space="0" w:color="auto"/>
            </w:tcBorders>
            <w:shd w:val="clear" w:color="auto" w:fill="auto"/>
            <w:noWrap/>
            <w:vAlign w:val="center"/>
            <w:hideMark/>
          </w:tcPr>
          <w:p w14:paraId="676B9226" w14:textId="77777777" w:rsidR="00DE2FFE" w:rsidRPr="00245790" w:rsidRDefault="00DE2FFE" w:rsidP="004D177E">
            <w:pPr>
              <w:jc w:val="center"/>
              <w:rPr>
                <w:rFonts w:cs="Arial"/>
                <w:color w:val="auto"/>
                <w:sz w:val="20"/>
                <w:szCs w:val="20"/>
              </w:rPr>
            </w:pPr>
            <w:r w:rsidRPr="00245790">
              <w:rPr>
                <w:rFonts w:cs="Arial"/>
                <w:color w:val="auto"/>
                <w:sz w:val="20"/>
                <w:szCs w:val="20"/>
              </w:rPr>
              <w:t>228.4</w:t>
            </w:r>
          </w:p>
        </w:tc>
      </w:tr>
      <w:tr w:rsidR="00DE2FFE" w:rsidRPr="00245790" w14:paraId="3EDBC18B" w14:textId="77777777" w:rsidTr="00837E04">
        <w:trPr>
          <w:trHeight w:val="259"/>
        </w:trPr>
        <w:tc>
          <w:tcPr>
            <w:tcW w:w="2137" w:type="dxa"/>
            <w:tcBorders>
              <w:top w:val="nil"/>
              <w:left w:val="single" w:sz="4" w:space="0" w:color="auto"/>
              <w:bottom w:val="single" w:sz="4" w:space="0" w:color="auto"/>
              <w:right w:val="single" w:sz="4" w:space="0" w:color="auto"/>
            </w:tcBorders>
            <w:shd w:val="clear" w:color="auto" w:fill="auto"/>
            <w:noWrap/>
            <w:vAlign w:val="center"/>
            <w:hideMark/>
          </w:tcPr>
          <w:p w14:paraId="3FD494D1" w14:textId="77777777" w:rsidR="00DE2FFE" w:rsidRPr="00245790" w:rsidRDefault="00DE2FFE" w:rsidP="004D177E">
            <w:pPr>
              <w:rPr>
                <w:rFonts w:cs="Arial"/>
                <w:color w:val="auto"/>
                <w:sz w:val="20"/>
                <w:szCs w:val="20"/>
              </w:rPr>
            </w:pPr>
            <w:r w:rsidRPr="00245790">
              <w:rPr>
                <w:rFonts w:cs="Arial"/>
                <w:color w:val="auto"/>
                <w:sz w:val="20"/>
                <w:szCs w:val="20"/>
              </w:rPr>
              <w:t>October 23</w:t>
            </w:r>
          </w:p>
        </w:tc>
        <w:tc>
          <w:tcPr>
            <w:tcW w:w="2211" w:type="dxa"/>
            <w:tcBorders>
              <w:top w:val="nil"/>
              <w:left w:val="nil"/>
              <w:bottom w:val="single" w:sz="4" w:space="0" w:color="auto"/>
              <w:right w:val="single" w:sz="4" w:space="0" w:color="auto"/>
            </w:tcBorders>
            <w:shd w:val="clear" w:color="auto" w:fill="auto"/>
            <w:noWrap/>
            <w:vAlign w:val="center"/>
            <w:hideMark/>
          </w:tcPr>
          <w:p w14:paraId="595DF84E" w14:textId="77777777" w:rsidR="00DE2FFE" w:rsidRPr="00245790" w:rsidRDefault="00DE2FFE" w:rsidP="004D177E">
            <w:pPr>
              <w:jc w:val="center"/>
              <w:rPr>
                <w:rFonts w:cs="Arial"/>
                <w:color w:val="auto"/>
                <w:sz w:val="20"/>
                <w:szCs w:val="20"/>
              </w:rPr>
            </w:pPr>
            <w:r w:rsidRPr="00245790">
              <w:rPr>
                <w:rFonts w:cs="Arial"/>
                <w:color w:val="auto"/>
                <w:sz w:val="20"/>
                <w:szCs w:val="20"/>
              </w:rPr>
              <w:t>127.6</w:t>
            </w:r>
          </w:p>
        </w:tc>
        <w:tc>
          <w:tcPr>
            <w:tcW w:w="2301" w:type="dxa"/>
            <w:tcBorders>
              <w:top w:val="nil"/>
              <w:left w:val="nil"/>
              <w:bottom w:val="single" w:sz="4" w:space="0" w:color="auto"/>
              <w:right w:val="single" w:sz="4" w:space="0" w:color="auto"/>
            </w:tcBorders>
            <w:shd w:val="clear" w:color="auto" w:fill="auto"/>
            <w:noWrap/>
            <w:vAlign w:val="center"/>
            <w:hideMark/>
          </w:tcPr>
          <w:p w14:paraId="050BB523" w14:textId="77777777" w:rsidR="00DE2FFE" w:rsidRPr="00245790" w:rsidRDefault="00DE2FFE" w:rsidP="004D177E">
            <w:pPr>
              <w:jc w:val="center"/>
              <w:rPr>
                <w:rFonts w:cs="Arial"/>
                <w:color w:val="auto"/>
                <w:sz w:val="20"/>
                <w:szCs w:val="20"/>
              </w:rPr>
            </w:pPr>
            <w:r w:rsidRPr="00245790">
              <w:rPr>
                <w:rFonts w:cs="Arial"/>
                <w:color w:val="auto"/>
                <w:sz w:val="20"/>
                <w:szCs w:val="20"/>
              </w:rPr>
              <w:t>414.3</w:t>
            </w:r>
          </w:p>
        </w:tc>
        <w:tc>
          <w:tcPr>
            <w:tcW w:w="2672" w:type="dxa"/>
            <w:tcBorders>
              <w:top w:val="nil"/>
              <w:left w:val="nil"/>
              <w:bottom w:val="single" w:sz="4" w:space="0" w:color="auto"/>
              <w:right w:val="single" w:sz="4" w:space="0" w:color="auto"/>
            </w:tcBorders>
            <w:shd w:val="clear" w:color="auto" w:fill="auto"/>
            <w:noWrap/>
            <w:vAlign w:val="center"/>
            <w:hideMark/>
          </w:tcPr>
          <w:p w14:paraId="2D30A94D" w14:textId="77777777" w:rsidR="00DE2FFE" w:rsidRPr="00245790" w:rsidRDefault="00DE2FFE" w:rsidP="004D177E">
            <w:pPr>
              <w:jc w:val="center"/>
              <w:rPr>
                <w:rFonts w:cs="Arial"/>
                <w:color w:val="auto"/>
                <w:sz w:val="20"/>
                <w:szCs w:val="20"/>
              </w:rPr>
            </w:pPr>
            <w:r w:rsidRPr="00245790">
              <w:rPr>
                <w:rFonts w:cs="Arial"/>
                <w:color w:val="auto"/>
                <w:sz w:val="20"/>
                <w:szCs w:val="20"/>
              </w:rPr>
              <w:t>299.9</w:t>
            </w:r>
          </w:p>
        </w:tc>
      </w:tr>
      <w:tr w:rsidR="00DE2FFE" w:rsidRPr="00245790" w14:paraId="54EE43A4" w14:textId="77777777" w:rsidTr="00837E04">
        <w:trPr>
          <w:trHeight w:val="259"/>
        </w:trPr>
        <w:tc>
          <w:tcPr>
            <w:tcW w:w="2137" w:type="dxa"/>
            <w:tcBorders>
              <w:top w:val="nil"/>
              <w:left w:val="single" w:sz="4" w:space="0" w:color="auto"/>
              <w:bottom w:val="single" w:sz="4" w:space="0" w:color="auto"/>
              <w:right w:val="single" w:sz="4" w:space="0" w:color="auto"/>
            </w:tcBorders>
            <w:shd w:val="clear" w:color="auto" w:fill="auto"/>
            <w:noWrap/>
            <w:vAlign w:val="center"/>
            <w:hideMark/>
          </w:tcPr>
          <w:p w14:paraId="0F9CD1C8" w14:textId="77777777" w:rsidR="00DE2FFE" w:rsidRPr="00245790" w:rsidRDefault="00DE2FFE" w:rsidP="004D177E">
            <w:pPr>
              <w:rPr>
                <w:rFonts w:cs="Arial"/>
                <w:color w:val="auto"/>
                <w:sz w:val="20"/>
                <w:szCs w:val="20"/>
              </w:rPr>
            </w:pPr>
            <w:r w:rsidRPr="00245790">
              <w:rPr>
                <w:rFonts w:cs="Arial"/>
                <w:color w:val="auto"/>
                <w:sz w:val="20"/>
                <w:szCs w:val="20"/>
              </w:rPr>
              <w:t>November 23</w:t>
            </w:r>
          </w:p>
        </w:tc>
        <w:tc>
          <w:tcPr>
            <w:tcW w:w="2211" w:type="dxa"/>
            <w:tcBorders>
              <w:top w:val="nil"/>
              <w:left w:val="nil"/>
              <w:bottom w:val="single" w:sz="4" w:space="0" w:color="auto"/>
              <w:right w:val="single" w:sz="4" w:space="0" w:color="auto"/>
            </w:tcBorders>
            <w:shd w:val="clear" w:color="auto" w:fill="auto"/>
            <w:noWrap/>
            <w:vAlign w:val="center"/>
            <w:hideMark/>
          </w:tcPr>
          <w:p w14:paraId="0E28A8CC" w14:textId="77777777" w:rsidR="00DE2FFE" w:rsidRPr="00245790" w:rsidRDefault="00DE2FFE" w:rsidP="004D177E">
            <w:pPr>
              <w:jc w:val="center"/>
              <w:rPr>
                <w:rFonts w:cs="Arial"/>
                <w:color w:val="auto"/>
                <w:sz w:val="20"/>
                <w:szCs w:val="20"/>
              </w:rPr>
            </w:pPr>
            <w:r w:rsidRPr="00245790">
              <w:rPr>
                <w:rFonts w:cs="Arial"/>
                <w:color w:val="auto"/>
                <w:sz w:val="20"/>
                <w:szCs w:val="20"/>
              </w:rPr>
              <w:t>259.7</w:t>
            </w:r>
          </w:p>
        </w:tc>
        <w:tc>
          <w:tcPr>
            <w:tcW w:w="2301" w:type="dxa"/>
            <w:tcBorders>
              <w:top w:val="nil"/>
              <w:left w:val="nil"/>
              <w:bottom w:val="single" w:sz="4" w:space="0" w:color="auto"/>
              <w:right w:val="single" w:sz="4" w:space="0" w:color="auto"/>
            </w:tcBorders>
            <w:shd w:val="clear" w:color="auto" w:fill="auto"/>
            <w:noWrap/>
            <w:vAlign w:val="center"/>
            <w:hideMark/>
          </w:tcPr>
          <w:p w14:paraId="48E043FE" w14:textId="77777777" w:rsidR="00DE2FFE" w:rsidRPr="00245790" w:rsidRDefault="00DE2FFE" w:rsidP="004D177E">
            <w:pPr>
              <w:jc w:val="center"/>
              <w:rPr>
                <w:rFonts w:cs="Arial"/>
                <w:color w:val="auto"/>
                <w:sz w:val="20"/>
                <w:szCs w:val="20"/>
              </w:rPr>
            </w:pPr>
            <w:r w:rsidRPr="00245790">
              <w:rPr>
                <w:rFonts w:cs="Arial"/>
                <w:color w:val="auto"/>
                <w:sz w:val="20"/>
                <w:szCs w:val="20"/>
              </w:rPr>
              <w:t>490.7</w:t>
            </w:r>
          </w:p>
        </w:tc>
        <w:tc>
          <w:tcPr>
            <w:tcW w:w="2672" w:type="dxa"/>
            <w:tcBorders>
              <w:top w:val="nil"/>
              <w:left w:val="nil"/>
              <w:bottom w:val="single" w:sz="4" w:space="0" w:color="auto"/>
              <w:right w:val="single" w:sz="4" w:space="0" w:color="auto"/>
            </w:tcBorders>
            <w:shd w:val="clear" w:color="auto" w:fill="auto"/>
            <w:noWrap/>
            <w:vAlign w:val="center"/>
            <w:hideMark/>
          </w:tcPr>
          <w:p w14:paraId="5E9D55B7" w14:textId="77777777" w:rsidR="00DE2FFE" w:rsidRPr="00245790" w:rsidRDefault="00DE2FFE" w:rsidP="004D177E">
            <w:pPr>
              <w:jc w:val="center"/>
              <w:rPr>
                <w:rFonts w:cs="Arial"/>
                <w:color w:val="auto"/>
                <w:sz w:val="20"/>
                <w:szCs w:val="20"/>
              </w:rPr>
            </w:pPr>
            <w:r w:rsidRPr="00245790">
              <w:rPr>
                <w:rFonts w:cs="Arial"/>
                <w:color w:val="auto"/>
                <w:sz w:val="20"/>
                <w:szCs w:val="20"/>
              </w:rPr>
              <w:t>393.7</w:t>
            </w:r>
          </w:p>
        </w:tc>
      </w:tr>
    </w:tbl>
    <w:p w14:paraId="53A5D593" w14:textId="77777777" w:rsidR="00DE2FFE" w:rsidRDefault="00DE2FFE" w:rsidP="00DE2FFE">
      <w:pPr>
        <w:jc w:val="both"/>
        <w:rPr>
          <w:rFonts w:cs="Arial"/>
          <w:b/>
          <w:color w:val="auto"/>
        </w:rPr>
      </w:pPr>
    </w:p>
    <w:tbl>
      <w:tblPr>
        <w:tblW w:w="9336" w:type="dxa"/>
        <w:tblLook w:val="04A0" w:firstRow="1" w:lastRow="0" w:firstColumn="1" w:lastColumn="0" w:noHBand="0" w:noVBand="1"/>
      </w:tblPr>
      <w:tblGrid>
        <w:gridCol w:w="2140"/>
        <w:gridCol w:w="2214"/>
        <w:gridCol w:w="2305"/>
        <w:gridCol w:w="2677"/>
      </w:tblGrid>
      <w:tr w:rsidR="00DE2FFE" w:rsidRPr="00245790" w14:paraId="2CD07CD9" w14:textId="77777777" w:rsidTr="00837E04">
        <w:trPr>
          <w:trHeight w:val="259"/>
        </w:trPr>
        <w:tc>
          <w:tcPr>
            <w:tcW w:w="9336" w:type="dxa"/>
            <w:gridSpan w:val="4"/>
            <w:tcBorders>
              <w:top w:val="nil"/>
              <w:left w:val="nil"/>
              <w:bottom w:val="single" w:sz="4" w:space="0" w:color="auto"/>
              <w:right w:val="nil"/>
            </w:tcBorders>
            <w:shd w:val="clear" w:color="auto" w:fill="auto"/>
            <w:noWrap/>
            <w:vAlign w:val="bottom"/>
            <w:hideMark/>
          </w:tcPr>
          <w:p w14:paraId="1BFF50EE" w14:textId="77777777" w:rsidR="00DE2FFE" w:rsidRPr="00245790" w:rsidRDefault="00DE2FFE" w:rsidP="0017768A">
            <w:pPr>
              <w:keepNext/>
              <w:rPr>
                <w:rFonts w:cs="Arial"/>
                <w:i/>
                <w:iCs/>
                <w:color w:val="000000"/>
                <w:sz w:val="16"/>
                <w:szCs w:val="16"/>
              </w:rPr>
            </w:pPr>
            <w:r>
              <w:rPr>
                <w:rFonts w:cs="Arial"/>
                <w:i/>
                <w:iCs/>
                <w:color w:val="000000"/>
                <w:sz w:val="16"/>
                <w:szCs w:val="16"/>
              </w:rPr>
              <w:t xml:space="preserve">Table 8:  </w:t>
            </w:r>
            <w:r w:rsidRPr="00245790">
              <w:rPr>
                <w:rFonts w:cs="Arial"/>
                <w:i/>
                <w:iCs/>
                <w:color w:val="000000"/>
                <w:sz w:val="16"/>
                <w:szCs w:val="16"/>
              </w:rPr>
              <w:t xml:space="preserve">ECRS hourly awards (MW) 6/23 through 11/23 </w:t>
            </w:r>
          </w:p>
        </w:tc>
      </w:tr>
      <w:tr w:rsidR="00DE2FFE" w:rsidRPr="00245790" w14:paraId="5BABFEB9" w14:textId="77777777" w:rsidTr="00837E04">
        <w:trPr>
          <w:trHeight w:val="259"/>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5552681F" w14:textId="77777777" w:rsidR="00DE2FFE" w:rsidRPr="00245790" w:rsidRDefault="00DE2FFE" w:rsidP="0017768A">
            <w:pPr>
              <w:keepNext/>
              <w:jc w:val="center"/>
              <w:rPr>
                <w:rFonts w:cs="Arial"/>
                <w:color w:val="auto"/>
                <w:sz w:val="20"/>
                <w:szCs w:val="20"/>
              </w:rPr>
            </w:pPr>
            <w:r w:rsidRPr="00245790">
              <w:rPr>
                <w:rFonts w:cs="Arial"/>
                <w:color w:val="auto"/>
                <w:sz w:val="20"/>
                <w:szCs w:val="20"/>
              </w:rPr>
              <w:t>Month</w:t>
            </w:r>
          </w:p>
        </w:tc>
        <w:tc>
          <w:tcPr>
            <w:tcW w:w="2214" w:type="dxa"/>
            <w:tcBorders>
              <w:top w:val="nil"/>
              <w:left w:val="nil"/>
              <w:bottom w:val="single" w:sz="4" w:space="0" w:color="auto"/>
              <w:right w:val="single" w:sz="4" w:space="0" w:color="auto"/>
            </w:tcBorders>
            <w:shd w:val="clear" w:color="auto" w:fill="auto"/>
            <w:noWrap/>
            <w:vAlign w:val="center"/>
            <w:hideMark/>
          </w:tcPr>
          <w:p w14:paraId="55715E8D" w14:textId="77777777" w:rsidR="00DE2FFE" w:rsidRPr="00245790" w:rsidRDefault="00DE2FFE" w:rsidP="0017768A">
            <w:pPr>
              <w:keepNext/>
              <w:jc w:val="center"/>
              <w:rPr>
                <w:rFonts w:cs="Arial"/>
                <w:color w:val="auto"/>
                <w:sz w:val="20"/>
                <w:szCs w:val="20"/>
              </w:rPr>
            </w:pPr>
            <w:r w:rsidRPr="00245790">
              <w:rPr>
                <w:rFonts w:cs="Arial"/>
                <w:color w:val="auto"/>
                <w:sz w:val="20"/>
                <w:szCs w:val="20"/>
              </w:rPr>
              <w:t>Minimum Hour</w:t>
            </w:r>
          </w:p>
        </w:tc>
        <w:tc>
          <w:tcPr>
            <w:tcW w:w="2305" w:type="dxa"/>
            <w:tcBorders>
              <w:top w:val="nil"/>
              <w:left w:val="nil"/>
              <w:bottom w:val="single" w:sz="4" w:space="0" w:color="auto"/>
              <w:right w:val="single" w:sz="4" w:space="0" w:color="auto"/>
            </w:tcBorders>
            <w:shd w:val="clear" w:color="auto" w:fill="auto"/>
            <w:noWrap/>
            <w:vAlign w:val="center"/>
            <w:hideMark/>
          </w:tcPr>
          <w:p w14:paraId="794539A3" w14:textId="77777777" w:rsidR="00DE2FFE" w:rsidRPr="00245790" w:rsidRDefault="00DE2FFE" w:rsidP="0017768A">
            <w:pPr>
              <w:keepNext/>
              <w:jc w:val="center"/>
              <w:rPr>
                <w:rFonts w:cs="Arial"/>
                <w:color w:val="auto"/>
                <w:sz w:val="20"/>
                <w:szCs w:val="20"/>
              </w:rPr>
            </w:pPr>
            <w:r w:rsidRPr="00245790">
              <w:rPr>
                <w:rFonts w:cs="Arial"/>
                <w:color w:val="auto"/>
                <w:sz w:val="20"/>
                <w:szCs w:val="20"/>
              </w:rPr>
              <w:t>Maximum Hour</w:t>
            </w:r>
          </w:p>
        </w:tc>
        <w:tc>
          <w:tcPr>
            <w:tcW w:w="2676" w:type="dxa"/>
            <w:tcBorders>
              <w:top w:val="nil"/>
              <w:left w:val="nil"/>
              <w:bottom w:val="single" w:sz="4" w:space="0" w:color="auto"/>
              <w:right w:val="single" w:sz="4" w:space="0" w:color="auto"/>
            </w:tcBorders>
            <w:shd w:val="clear" w:color="auto" w:fill="auto"/>
            <w:noWrap/>
            <w:vAlign w:val="center"/>
            <w:hideMark/>
          </w:tcPr>
          <w:p w14:paraId="6FC10A10" w14:textId="77777777" w:rsidR="00DE2FFE" w:rsidRPr="00245790" w:rsidRDefault="00DE2FFE" w:rsidP="0017768A">
            <w:pPr>
              <w:keepNext/>
              <w:jc w:val="center"/>
              <w:rPr>
                <w:rFonts w:cs="Arial"/>
                <w:color w:val="auto"/>
                <w:sz w:val="20"/>
                <w:szCs w:val="20"/>
              </w:rPr>
            </w:pPr>
            <w:r w:rsidRPr="00245790">
              <w:rPr>
                <w:rFonts w:cs="Arial"/>
                <w:color w:val="auto"/>
                <w:sz w:val="20"/>
                <w:szCs w:val="20"/>
              </w:rPr>
              <w:t>Average per Hour</w:t>
            </w:r>
          </w:p>
        </w:tc>
      </w:tr>
      <w:tr w:rsidR="00DE2FFE" w:rsidRPr="00245790" w14:paraId="59E27354" w14:textId="77777777" w:rsidTr="00837E04">
        <w:trPr>
          <w:trHeight w:val="259"/>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7057E33C" w14:textId="77777777" w:rsidR="00DE2FFE" w:rsidRPr="00245790" w:rsidRDefault="00DE2FFE" w:rsidP="0017768A">
            <w:pPr>
              <w:keepNext/>
              <w:rPr>
                <w:rFonts w:cs="Arial"/>
                <w:color w:val="auto"/>
                <w:sz w:val="20"/>
                <w:szCs w:val="20"/>
              </w:rPr>
            </w:pPr>
            <w:r w:rsidRPr="00245790">
              <w:rPr>
                <w:rFonts w:cs="Arial"/>
                <w:color w:val="auto"/>
                <w:sz w:val="20"/>
                <w:szCs w:val="20"/>
              </w:rPr>
              <w:t>June 23</w:t>
            </w:r>
          </w:p>
        </w:tc>
        <w:tc>
          <w:tcPr>
            <w:tcW w:w="2214" w:type="dxa"/>
            <w:tcBorders>
              <w:top w:val="nil"/>
              <w:left w:val="nil"/>
              <w:bottom w:val="single" w:sz="4" w:space="0" w:color="auto"/>
              <w:right w:val="single" w:sz="4" w:space="0" w:color="auto"/>
            </w:tcBorders>
            <w:shd w:val="clear" w:color="auto" w:fill="auto"/>
            <w:noWrap/>
            <w:vAlign w:val="center"/>
            <w:hideMark/>
          </w:tcPr>
          <w:p w14:paraId="76B56171" w14:textId="77777777" w:rsidR="00DE2FFE" w:rsidRPr="00245790" w:rsidRDefault="00DE2FFE" w:rsidP="0017768A">
            <w:pPr>
              <w:keepNext/>
              <w:jc w:val="center"/>
              <w:rPr>
                <w:rFonts w:cs="Arial"/>
                <w:color w:val="auto"/>
                <w:sz w:val="20"/>
                <w:szCs w:val="20"/>
              </w:rPr>
            </w:pPr>
            <w:r w:rsidRPr="00245790">
              <w:rPr>
                <w:rFonts w:cs="Arial"/>
                <w:color w:val="auto"/>
                <w:sz w:val="20"/>
                <w:szCs w:val="20"/>
              </w:rPr>
              <w:t>0</w:t>
            </w:r>
          </w:p>
        </w:tc>
        <w:tc>
          <w:tcPr>
            <w:tcW w:w="2305" w:type="dxa"/>
            <w:tcBorders>
              <w:top w:val="nil"/>
              <w:left w:val="nil"/>
              <w:bottom w:val="single" w:sz="4" w:space="0" w:color="auto"/>
              <w:right w:val="single" w:sz="4" w:space="0" w:color="auto"/>
            </w:tcBorders>
            <w:shd w:val="clear" w:color="auto" w:fill="auto"/>
            <w:noWrap/>
            <w:vAlign w:val="center"/>
            <w:hideMark/>
          </w:tcPr>
          <w:p w14:paraId="27681494" w14:textId="77777777" w:rsidR="00DE2FFE" w:rsidRPr="00245790" w:rsidRDefault="00DE2FFE" w:rsidP="0017768A">
            <w:pPr>
              <w:keepNext/>
              <w:jc w:val="center"/>
              <w:rPr>
                <w:rFonts w:cs="Arial"/>
                <w:color w:val="auto"/>
                <w:sz w:val="20"/>
                <w:szCs w:val="20"/>
              </w:rPr>
            </w:pPr>
            <w:r w:rsidRPr="00245790">
              <w:rPr>
                <w:rFonts w:cs="Arial"/>
                <w:color w:val="auto"/>
                <w:sz w:val="20"/>
                <w:szCs w:val="20"/>
              </w:rPr>
              <w:t>165</w:t>
            </w:r>
          </w:p>
        </w:tc>
        <w:tc>
          <w:tcPr>
            <w:tcW w:w="2676" w:type="dxa"/>
            <w:tcBorders>
              <w:top w:val="nil"/>
              <w:left w:val="nil"/>
              <w:bottom w:val="single" w:sz="4" w:space="0" w:color="auto"/>
              <w:right w:val="single" w:sz="4" w:space="0" w:color="auto"/>
            </w:tcBorders>
            <w:shd w:val="clear" w:color="auto" w:fill="auto"/>
            <w:noWrap/>
            <w:vAlign w:val="center"/>
            <w:hideMark/>
          </w:tcPr>
          <w:p w14:paraId="5EEA343A" w14:textId="77777777" w:rsidR="00DE2FFE" w:rsidRPr="00245790" w:rsidRDefault="00DE2FFE" w:rsidP="0017768A">
            <w:pPr>
              <w:keepNext/>
              <w:jc w:val="center"/>
              <w:rPr>
                <w:rFonts w:cs="Arial"/>
                <w:color w:val="auto"/>
                <w:sz w:val="20"/>
                <w:szCs w:val="20"/>
              </w:rPr>
            </w:pPr>
            <w:r w:rsidRPr="00245790">
              <w:rPr>
                <w:rFonts w:cs="Arial"/>
                <w:color w:val="auto"/>
                <w:sz w:val="20"/>
                <w:szCs w:val="20"/>
              </w:rPr>
              <w:t>80.2</w:t>
            </w:r>
          </w:p>
        </w:tc>
      </w:tr>
      <w:tr w:rsidR="00DE2FFE" w:rsidRPr="00245790" w14:paraId="185F2A32" w14:textId="77777777" w:rsidTr="00837E04">
        <w:trPr>
          <w:trHeight w:val="259"/>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5F6F4AAF" w14:textId="77777777" w:rsidR="00DE2FFE" w:rsidRPr="00245790" w:rsidRDefault="00DE2FFE" w:rsidP="0017768A">
            <w:pPr>
              <w:keepNext/>
              <w:rPr>
                <w:rFonts w:cs="Arial"/>
                <w:color w:val="auto"/>
                <w:sz w:val="20"/>
                <w:szCs w:val="20"/>
              </w:rPr>
            </w:pPr>
            <w:r w:rsidRPr="00245790">
              <w:rPr>
                <w:rFonts w:cs="Arial"/>
                <w:color w:val="auto"/>
                <w:sz w:val="20"/>
                <w:szCs w:val="20"/>
              </w:rPr>
              <w:t>July 23</w:t>
            </w:r>
          </w:p>
        </w:tc>
        <w:tc>
          <w:tcPr>
            <w:tcW w:w="2214" w:type="dxa"/>
            <w:tcBorders>
              <w:top w:val="nil"/>
              <w:left w:val="nil"/>
              <w:bottom w:val="single" w:sz="4" w:space="0" w:color="auto"/>
              <w:right w:val="single" w:sz="4" w:space="0" w:color="auto"/>
            </w:tcBorders>
            <w:shd w:val="clear" w:color="auto" w:fill="auto"/>
            <w:noWrap/>
            <w:vAlign w:val="center"/>
            <w:hideMark/>
          </w:tcPr>
          <w:p w14:paraId="4B910E5D" w14:textId="77777777" w:rsidR="00DE2FFE" w:rsidRPr="00245790" w:rsidRDefault="00DE2FFE" w:rsidP="0017768A">
            <w:pPr>
              <w:keepNext/>
              <w:jc w:val="center"/>
              <w:rPr>
                <w:rFonts w:cs="Arial"/>
                <w:color w:val="auto"/>
                <w:sz w:val="20"/>
                <w:szCs w:val="20"/>
              </w:rPr>
            </w:pPr>
            <w:r w:rsidRPr="00245790">
              <w:rPr>
                <w:rFonts w:cs="Arial"/>
                <w:color w:val="auto"/>
                <w:sz w:val="20"/>
                <w:szCs w:val="20"/>
              </w:rPr>
              <w:t>19</w:t>
            </w:r>
          </w:p>
        </w:tc>
        <w:tc>
          <w:tcPr>
            <w:tcW w:w="2305" w:type="dxa"/>
            <w:tcBorders>
              <w:top w:val="nil"/>
              <w:left w:val="nil"/>
              <w:bottom w:val="single" w:sz="4" w:space="0" w:color="auto"/>
              <w:right w:val="single" w:sz="4" w:space="0" w:color="auto"/>
            </w:tcBorders>
            <w:shd w:val="clear" w:color="auto" w:fill="auto"/>
            <w:noWrap/>
            <w:vAlign w:val="center"/>
            <w:hideMark/>
          </w:tcPr>
          <w:p w14:paraId="16E0EA1E" w14:textId="77777777" w:rsidR="00DE2FFE" w:rsidRPr="00245790" w:rsidRDefault="00DE2FFE" w:rsidP="0017768A">
            <w:pPr>
              <w:keepNext/>
              <w:jc w:val="center"/>
              <w:rPr>
                <w:rFonts w:cs="Arial"/>
                <w:color w:val="auto"/>
                <w:sz w:val="20"/>
                <w:szCs w:val="20"/>
              </w:rPr>
            </w:pPr>
            <w:r w:rsidRPr="00245790">
              <w:rPr>
                <w:rFonts w:cs="Arial"/>
                <w:color w:val="auto"/>
                <w:sz w:val="20"/>
                <w:szCs w:val="20"/>
              </w:rPr>
              <w:t>222</w:t>
            </w:r>
          </w:p>
        </w:tc>
        <w:tc>
          <w:tcPr>
            <w:tcW w:w="2676" w:type="dxa"/>
            <w:tcBorders>
              <w:top w:val="nil"/>
              <w:left w:val="nil"/>
              <w:bottom w:val="single" w:sz="4" w:space="0" w:color="auto"/>
              <w:right w:val="single" w:sz="4" w:space="0" w:color="auto"/>
            </w:tcBorders>
            <w:shd w:val="clear" w:color="auto" w:fill="auto"/>
            <w:noWrap/>
            <w:vAlign w:val="center"/>
            <w:hideMark/>
          </w:tcPr>
          <w:p w14:paraId="4D823CB1" w14:textId="77777777" w:rsidR="00DE2FFE" w:rsidRPr="00245790" w:rsidRDefault="00DE2FFE" w:rsidP="0017768A">
            <w:pPr>
              <w:keepNext/>
              <w:jc w:val="center"/>
              <w:rPr>
                <w:rFonts w:cs="Arial"/>
                <w:color w:val="auto"/>
                <w:sz w:val="20"/>
                <w:szCs w:val="20"/>
              </w:rPr>
            </w:pPr>
            <w:r w:rsidRPr="00245790">
              <w:rPr>
                <w:rFonts w:cs="Arial"/>
                <w:color w:val="auto"/>
                <w:sz w:val="20"/>
                <w:szCs w:val="20"/>
              </w:rPr>
              <w:t>127.9</w:t>
            </w:r>
          </w:p>
        </w:tc>
      </w:tr>
      <w:tr w:rsidR="00DE2FFE" w:rsidRPr="00245790" w14:paraId="1BF776C5" w14:textId="77777777" w:rsidTr="00837E04">
        <w:trPr>
          <w:trHeight w:val="259"/>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15E2761E" w14:textId="77777777" w:rsidR="00DE2FFE" w:rsidRPr="00245790" w:rsidRDefault="00DE2FFE" w:rsidP="0017768A">
            <w:pPr>
              <w:keepNext/>
              <w:rPr>
                <w:rFonts w:cs="Arial"/>
                <w:color w:val="auto"/>
                <w:sz w:val="20"/>
                <w:szCs w:val="20"/>
              </w:rPr>
            </w:pPr>
            <w:r w:rsidRPr="00245790">
              <w:rPr>
                <w:rFonts w:cs="Arial"/>
                <w:color w:val="auto"/>
                <w:sz w:val="20"/>
                <w:szCs w:val="20"/>
              </w:rPr>
              <w:t>August 23</w:t>
            </w:r>
          </w:p>
        </w:tc>
        <w:tc>
          <w:tcPr>
            <w:tcW w:w="2214" w:type="dxa"/>
            <w:tcBorders>
              <w:top w:val="nil"/>
              <w:left w:val="nil"/>
              <w:bottom w:val="single" w:sz="4" w:space="0" w:color="auto"/>
              <w:right w:val="single" w:sz="4" w:space="0" w:color="auto"/>
            </w:tcBorders>
            <w:shd w:val="clear" w:color="auto" w:fill="auto"/>
            <w:noWrap/>
            <w:vAlign w:val="center"/>
            <w:hideMark/>
          </w:tcPr>
          <w:p w14:paraId="2BDA07FC" w14:textId="77777777" w:rsidR="00DE2FFE" w:rsidRPr="00245790" w:rsidRDefault="00DE2FFE" w:rsidP="0017768A">
            <w:pPr>
              <w:keepNext/>
              <w:jc w:val="center"/>
              <w:rPr>
                <w:rFonts w:cs="Arial"/>
                <w:color w:val="auto"/>
                <w:sz w:val="20"/>
                <w:szCs w:val="20"/>
              </w:rPr>
            </w:pPr>
            <w:r w:rsidRPr="00245790">
              <w:rPr>
                <w:rFonts w:cs="Arial"/>
                <w:color w:val="auto"/>
                <w:sz w:val="20"/>
                <w:szCs w:val="20"/>
              </w:rPr>
              <w:t>30.1</w:t>
            </w:r>
          </w:p>
        </w:tc>
        <w:tc>
          <w:tcPr>
            <w:tcW w:w="2305" w:type="dxa"/>
            <w:tcBorders>
              <w:top w:val="nil"/>
              <w:left w:val="nil"/>
              <w:bottom w:val="single" w:sz="4" w:space="0" w:color="auto"/>
              <w:right w:val="single" w:sz="4" w:space="0" w:color="auto"/>
            </w:tcBorders>
            <w:shd w:val="clear" w:color="auto" w:fill="auto"/>
            <w:noWrap/>
            <w:vAlign w:val="center"/>
            <w:hideMark/>
          </w:tcPr>
          <w:p w14:paraId="66711308" w14:textId="77777777" w:rsidR="00DE2FFE" w:rsidRPr="00245790" w:rsidRDefault="00DE2FFE" w:rsidP="0017768A">
            <w:pPr>
              <w:keepNext/>
              <w:jc w:val="center"/>
              <w:rPr>
                <w:rFonts w:cs="Arial"/>
                <w:color w:val="auto"/>
                <w:sz w:val="20"/>
                <w:szCs w:val="20"/>
              </w:rPr>
            </w:pPr>
            <w:r w:rsidRPr="00245790">
              <w:rPr>
                <w:rFonts w:cs="Arial"/>
                <w:color w:val="auto"/>
                <w:sz w:val="20"/>
                <w:szCs w:val="20"/>
              </w:rPr>
              <w:t>406.5</w:t>
            </w:r>
          </w:p>
        </w:tc>
        <w:tc>
          <w:tcPr>
            <w:tcW w:w="2676" w:type="dxa"/>
            <w:tcBorders>
              <w:top w:val="nil"/>
              <w:left w:val="nil"/>
              <w:bottom w:val="single" w:sz="4" w:space="0" w:color="auto"/>
              <w:right w:val="single" w:sz="4" w:space="0" w:color="auto"/>
            </w:tcBorders>
            <w:shd w:val="clear" w:color="auto" w:fill="auto"/>
            <w:noWrap/>
            <w:vAlign w:val="center"/>
            <w:hideMark/>
          </w:tcPr>
          <w:p w14:paraId="1AF3F47F" w14:textId="77777777" w:rsidR="00DE2FFE" w:rsidRPr="00245790" w:rsidRDefault="00DE2FFE" w:rsidP="0017768A">
            <w:pPr>
              <w:keepNext/>
              <w:jc w:val="center"/>
              <w:rPr>
                <w:rFonts w:cs="Arial"/>
                <w:color w:val="auto"/>
                <w:sz w:val="20"/>
                <w:szCs w:val="20"/>
              </w:rPr>
            </w:pPr>
            <w:r w:rsidRPr="00245790">
              <w:rPr>
                <w:rFonts w:cs="Arial"/>
                <w:color w:val="auto"/>
                <w:sz w:val="20"/>
                <w:szCs w:val="20"/>
              </w:rPr>
              <w:t>133.6</w:t>
            </w:r>
          </w:p>
        </w:tc>
      </w:tr>
      <w:tr w:rsidR="00DE2FFE" w:rsidRPr="00245790" w14:paraId="054B3B19" w14:textId="77777777" w:rsidTr="00837E04">
        <w:trPr>
          <w:trHeight w:val="259"/>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7F9413BE" w14:textId="77777777" w:rsidR="00DE2FFE" w:rsidRPr="00245790" w:rsidRDefault="00DE2FFE" w:rsidP="0017768A">
            <w:pPr>
              <w:keepNext/>
              <w:rPr>
                <w:rFonts w:cs="Arial"/>
                <w:color w:val="auto"/>
                <w:sz w:val="20"/>
                <w:szCs w:val="20"/>
              </w:rPr>
            </w:pPr>
            <w:r w:rsidRPr="00245790">
              <w:rPr>
                <w:rFonts w:cs="Arial"/>
                <w:color w:val="auto"/>
                <w:sz w:val="20"/>
                <w:szCs w:val="20"/>
              </w:rPr>
              <w:t>September 23</w:t>
            </w:r>
          </w:p>
        </w:tc>
        <w:tc>
          <w:tcPr>
            <w:tcW w:w="2214" w:type="dxa"/>
            <w:tcBorders>
              <w:top w:val="nil"/>
              <w:left w:val="nil"/>
              <w:bottom w:val="single" w:sz="4" w:space="0" w:color="auto"/>
              <w:right w:val="single" w:sz="4" w:space="0" w:color="auto"/>
            </w:tcBorders>
            <w:shd w:val="clear" w:color="auto" w:fill="auto"/>
            <w:noWrap/>
            <w:vAlign w:val="center"/>
            <w:hideMark/>
          </w:tcPr>
          <w:p w14:paraId="6EC6585B" w14:textId="77777777" w:rsidR="00DE2FFE" w:rsidRPr="00245790" w:rsidRDefault="00DE2FFE" w:rsidP="0017768A">
            <w:pPr>
              <w:keepNext/>
              <w:jc w:val="center"/>
              <w:rPr>
                <w:rFonts w:cs="Arial"/>
                <w:color w:val="auto"/>
                <w:sz w:val="20"/>
                <w:szCs w:val="20"/>
              </w:rPr>
            </w:pPr>
            <w:r w:rsidRPr="00245790">
              <w:rPr>
                <w:rFonts w:cs="Arial"/>
                <w:color w:val="auto"/>
                <w:sz w:val="20"/>
                <w:szCs w:val="20"/>
              </w:rPr>
              <w:t>53</w:t>
            </w:r>
          </w:p>
        </w:tc>
        <w:tc>
          <w:tcPr>
            <w:tcW w:w="2305" w:type="dxa"/>
            <w:tcBorders>
              <w:top w:val="nil"/>
              <w:left w:val="nil"/>
              <w:bottom w:val="single" w:sz="4" w:space="0" w:color="auto"/>
              <w:right w:val="single" w:sz="4" w:space="0" w:color="auto"/>
            </w:tcBorders>
            <w:shd w:val="clear" w:color="auto" w:fill="auto"/>
            <w:noWrap/>
            <w:vAlign w:val="center"/>
            <w:hideMark/>
          </w:tcPr>
          <w:p w14:paraId="4A389079" w14:textId="77777777" w:rsidR="00DE2FFE" w:rsidRPr="00245790" w:rsidRDefault="00DE2FFE" w:rsidP="0017768A">
            <w:pPr>
              <w:keepNext/>
              <w:jc w:val="center"/>
              <w:rPr>
                <w:rFonts w:cs="Arial"/>
                <w:color w:val="auto"/>
                <w:sz w:val="20"/>
                <w:szCs w:val="20"/>
              </w:rPr>
            </w:pPr>
            <w:r w:rsidRPr="00245790">
              <w:rPr>
                <w:rFonts w:cs="Arial"/>
                <w:color w:val="auto"/>
                <w:sz w:val="20"/>
                <w:szCs w:val="20"/>
              </w:rPr>
              <w:t>333.8</w:t>
            </w:r>
          </w:p>
        </w:tc>
        <w:tc>
          <w:tcPr>
            <w:tcW w:w="2676" w:type="dxa"/>
            <w:tcBorders>
              <w:top w:val="nil"/>
              <w:left w:val="nil"/>
              <w:bottom w:val="single" w:sz="4" w:space="0" w:color="auto"/>
              <w:right w:val="single" w:sz="4" w:space="0" w:color="auto"/>
            </w:tcBorders>
            <w:shd w:val="clear" w:color="auto" w:fill="auto"/>
            <w:noWrap/>
            <w:vAlign w:val="center"/>
            <w:hideMark/>
          </w:tcPr>
          <w:p w14:paraId="770B3DB5" w14:textId="77777777" w:rsidR="00DE2FFE" w:rsidRPr="00245790" w:rsidRDefault="00DE2FFE" w:rsidP="0017768A">
            <w:pPr>
              <w:keepNext/>
              <w:jc w:val="center"/>
              <w:rPr>
                <w:rFonts w:cs="Arial"/>
                <w:color w:val="auto"/>
                <w:sz w:val="20"/>
                <w:szCs w:val="20"/>
              </w:rPr>
            </w:pPr>
            <w:r w:rsidRPr="00245790">
              <w:rPr>
                <w:rFonts w:cs="Arial"/>
                <w:color w:val="auto"/>
                <w:sz w:val="20"/>
                <w:szCs w:val="20"/>
              </w:rPr>
              <w:t>197.0</w:t>
            </w:r>
          </w:p>
        </w:tc>
      </w:tr>
      <w:tr w:rsidR="00DE2FFE" w:rsidRPr="00245790" w14:paraId="1483C0DF" w14:textId="77777777" w:rsidTr="00837E04">
        <w:trPr>
          <w:trHeight w:val="259"/>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3226E8C1" w14:textId="77777777" w:rsidR="00DE2FFE" w:rsidRPr="00245790" w:rsidRDefault="00DE2FFE" w:rsidP="0017768A">
            <w:pPr>
              <w:keepNext/>
              <w:rPr>
                <w:rFonts w:cs="Arial"/>
                <w:color w:val="auto"/>
                <w:sz w:val="20"/>
                <w:szCs w:val="20"/>
              </w:rPr>
            </w:pPr>
            <w:r w:rsidRPr="00245790">
              <w:rPr>
                <w:rFonts w:cs="Arial"/>
                <w:color w:val="auto"/>
                <w:sz w:val="20"/>
                <w:szCs w:val="20"/>
              </w:rPr>
              <w:t>October 23</w:t>
            </w:r>
          </w:p>
        </w:tc>
        <w:tc>
          <w:tcPr>
            <w:tcW w:w="2214" w:type="dxa"/>
            <w:tcBorders>
              <w:top w:val="nil"/>
              <w:left w:val="nil"/>
              <w:bottom w:val="single" w:sz="4" w:space="0" w:color="auto"/>
              <w:right w:val="single" w:sz="4" w:space="0" w:color="auto"/>
            </w:tcBorders>
            <w:shd w:val="clear" w:color="auto" w:fill="auto"/>
            <w:noWrap/>
            <w:vAlign w:val="center"/>
            <w:hideMark/>
          </w:tcPr>
          <w:p w14:paraId="19BBF035" w14:textId="77777777" w:rsidR="00DE2FFE" w:rsidRPr="00245790" w:rsidRDefault="00DE2FFE" w:rsidP="0017768A">
            <w:pPr>
              <w:keepNext/>
              <w:jc w:val="center"/>
              <w:rPr>
                <w:rFonts w:cs="Arial"/>
                <w:color w:val="auto"/>
                <w:sz w:val="20"/>
                <w:szCs w:val="20"/>
              </w:rPr>
            </w:pPr>
            <w:r w:rsidRPr="00245790">
              <w:rPr>
                <w:rFonts w:cs="Arial"/>
                <w:color w:val="auto"/>
                <w:sz w:val="20"/>
                <w:szCs w:val="20"/>
              </w:rPr>
              <w:t>0</w:t>
            </w:r>
          </w:p>
        </w:tc>
        <w:tc>
          <w:tcPr>
            <w:tcW w:w="2305" w:type="dxa"/>
            <w:tcBorders>
              <w:top w:val="nil"/>
              <w:left w:val="nil"/>
              <w:bottom w:val="single" w:sz="4" w:space="0" w:color="auto"/>
              <w:right w:val="single" w:sz="4" w:space="0" w:color="auto"/>
            </w:tcBorders>
            <w:shd w:val="clear" w:color="auto" w:fill="auto"/>
            <w:noWrap/>
            <w:vAlign w:val="center"/>
            <w:hideMark/>
          </w:tcPr>
          <w:p w14:paraId="59FAEEA7" w14:textId="77777777" w:rsidR="00DE2FFE" w:rsidRPr="00245790" w:rsidRDefault="00DE2FFE" w:rsidP="0017768A">
            <w:pPr>
              <w:keepNext/>
              <w:jc w:val="center"/>
              <w:rPr>
                <w:rFonts w:cs="Arial"/>
                <w:color w:val="auto"/>
                <w:sz w:val="20"/>
                <w:szCs w:val="20"/>
              </w:rPr>
            </w:pPr>
            <w:r w:rsidRPr="00245790">
              <w:rPr>
                <w:rFonts w:cs="Arial"/>
                <w:color w:val="auto"/>
                <w:sz w:val="20"/>
                <w:szCs w:val="20"/>
              </w:rPr>
              <w:t>358.9</w:t>
            </w:r>
          </w:p>
        </w:tc>
        <w:tc>
          <w:tcPr>
            <w:tcW w:w="2676" w:type="dxa"/>
            <w:tcBorders>
              <w:top w:val="nil"/>
              <w:left w:val="nil"/>
              <w:bottom w:val="single" w:sz="4" w:space="0" w:color="auto"/>
              <w:right w:val="single" w:sz="4" w:space="0" w:color="auto"/>
            </w:tcBorders>
            <w:shd w:val="clear" w:color="auto" w:fill="auto"/>
            <w:noWrap/>
            <w:vAlign w:val="center"/>
            <w:hideMark/>
          </w:tcPr>
          <w:p w14:paraId="0AA26EDD" w14:textId="77777777" w:rsidR="00DE2FFE" w:rsidRPr="00245790" w:rsidRDefault="00DE2FFE" w:rsidP="0017768A">
            <w:pPr>
              <w:keepNext/>
              <w:jc w:val="center"/>
              <w:rPr>
                <w:rFonts w:cs="Arial"/>
                <w:color w:val="auto"/>
                <w:sz w:val="20"/>
                <w:szCs w:val="20"/>
              </w:rPr>
            </w:pPr>
            <w:r w:rsidRPr="00245790">
              <w:rPr>
                <w:rFonts w:cs="Arial"/>
                <w:color w:val="auto"/>
                <w:sz w:val="20"/>
                <w:szCs w:val="20"/>
              </w:rPr>
              <w:t>187.0</w:t>
            </w:r>
          </w:p>
        </w:tc>
      </w:tr>
      <w:tr w:rsidR="00DE2FFE" w:rsidRPr="00245790" w14:paraId="66D90D23" w14:textId="77777777" w:rsidTr="00837E04">
        <w:trPr>
          <w:trHeight w:val="259"/>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1D8AE169" w14:textId="77777777" w:rsidR="00DE2FFE" w:rsidRPr="00245790" w:rsidRDefault="00DE2FFE" w:rsidP="0017768A">
            <w:pPr>
              <w:keepNext/>
              <w:rPr>
                <w:rFonts w:cs="Arial"/>
                <w:color w:val="auto"/>
                <w:sz w:val="20"/>
                <w:szCs w:val="20"/>
              </w:rPr>
            </w:pPr>
            <w:r w:rsidRPr="00245790">
              <w:rPr>
                <w:rFonts w:cs="Arial"/>
                <w:color w:val="auto"/>
                <w:sz w:val="20"/>
                <w:szCs w:val="20"/>
              </w:rPr>
              <w:t>November 23</w:t>
            </w:r>
          </w:p>
        </w:tc>
        <w:tc>
          <w:tcPr>
            <w:tcW w:w="2214" w:type="dxa"/>
            <w:tcBorders>
              <w:top w:val="nil"/>
              <w:left w:val="nil"/>
              <w:bottom w:val="single" w:sz="4" w:space="0" w:color="auto"/>
              <w:right w:val="single" w:sz="4" w:space="0" w:color="auto"/>
            </w:tcBorders>
            <w:shd w:val="clear" w:color="auto" w:fill="auto"/>
            <w:noWrap/>
            <w:vAlign w:val="center"/>
            <w:hideMark/>
          </w:tcPr>
          <w:p w14:paraId="73F64E09" w14:textId="77777777" w:rsidR="00DE2FFE" w:rsidRPr="00245790" w:rsidRDefault="00DE2FFE" w:rsidP="0017768A">
            <w:pPr>
              <w:keepNext/>
              <w:jc w:val="center"/>
              <w:rPr>
                <w:rFonts w:cs="Arial"/>
                <w:color w:val="auto"/>
                <w:sz w:val="20"/>
                <w:szCs w:val="20"/>
              </w:rPr>
            </w:pPr>
            <w:r w:rsidRPr="00245790">
              <w:rPr>
                <w:rFonts w:cs="Arial"/>
                <w:color w:val="auto"/>
                <w:sz w:val="20"/>
                <w:szCs w:val="20"/>
              </w:rPr>
              <w:t>27.7</w:t>
            </w:r>
          </w:p>
        </w:tc>
        <w:tc>
          <w:tcPr>
            <w:tcW w:w="2305" w:type="dxa"/>
            <w:tcBorders>
              <w:top w:val="nil"/>
              <w:left w:val="nil"/>
              <w:bottom w:val="single" w:sz="4" w:space="0" w:color="auto"/>
              <w:right w:val="single" w:sz="4" w:space="0" w:color="auto"/>
            </w:tcBorders>
            <w:shd w:val="clear" w:color="auto" w:fill="auto"/>
            <w:noWrap/>
            <w:vAlign w:val="center"/>
            <w:hideMark/>
          </w:tcPr>
          <w:p w14:paraId="4B1CA7C1" w14:textId="77777777" w:rsidR="00DE2FFE" w:rsidRPr="00245790" w:rsidRDefault="00DE2FFE" w:rsidP="0017768A">
            <w:pPr>
              <w:keepNext/>
              <w:jc w:val="center"/>
              <w:rPr>
                <w:rFonts w:cs="Arial"/>
                <w:color w:val="auto"/>
                <w:sz w:val="20"/>
                <w:szCs w:val="20"/>
              </w:rPr>
            </w:pPr>
            <w:r w:rsidRPr="00245790">
              <w:rPr>
                <w:rFonts w:cs="Arial"/>
                <w:color w:val="auto"/>
                <w:sz w:val="20"/>
                <w:szCs w:val="20"/>
              </w:rPr>
              <w:t>432.8</w:t>
            </w:r>
          </w:p>
        </w:tc>
        <w:tc>
          <w:tcPr>
            <w:tcW w:w="2676" w:type="dxa"/>
            <w:tcBorders>
              <w:top w:val="nil"/>
              <w:left w:val="nil"/>
              <w:bottom w:val="single" w:sz="4" w:space="0" w:color="auto"/>
              <w:right w:val="single" w:sz="4" w:space="0" w:color="auto"/>
            </w:tcBorders>
            <w:shd w:val="clear" w:color="auto" w:fill="auto"/>
            <w:noWrap/>
            <w:vAlign w:val="center"/>
            <w:hideMark/>
          </w:tcPr>
          <w:p w14:paraId="255C73F4" w14:textId="77777777" w:rsidR="00DE2FFE" w:rsidRPr="00245790" w:rsidRDefault="00DE2FFE" w:rsidP="0017768A">
            <w:pPr>
              <w:keepNext/>
              <w:jc w:val="center"/>
              <w:rPr>
                <w:rFonts w:cs="Arial"/>
                <w:color w:val="auto"/>
                <w:sz w:val="20"/>
                <w:szCs w:val="20"/>
              </w:rPr>
            </w:pPr>
            <w:r w:rsidRPr="00245790">
              <w:rPr>
                <w:rFonts w:cs="Arial"/>
                <w:color w:val="auto"/>
                <w:sz w:val="20"/>
                <w:szCs w:val="20"/>
              </w:rPr>
              <w:t>242.0</w:t>
            </w:r>
          </w:p>
        </w:tc>
      </w:tr>
    </w:tbl>
    <w:p w14:paraId="2FD9EC14" w14:textId="77777777" w:rsidR="00DE2FFE" w:rsidRDefault="00DE2FFE" w:rsidP="00DE2FFE">
      <w:pPr>
        <w:jc w:val="both"/>
        <w:rPr>
          <w:rFonts w:cs="Arial"/>
          <w:b/>
          <w:color w:val="auto"/>
        </w:rPr>
      </w:pPr>
    </w:p>
    <w:tbl>
      <w:tblPr>
        <w:tblW w:w="0" w:type="auto"/>
        <w:tblLook w:val="04A0" w:firstRow="1" w:lastRow="0" w:firstColumn="1" w:lastColumn="0" w:noHBand="0" w:noVBand="1"/>
      </w:tblPr>
      <w:tblGrid>
        <w:gridCol w:w="1530"/>
        <w:gridCol w:w="3330"/>
        <w:gridCol w:w="2250"/>
      </w:tblGrid>
      <w:tr w:rsidR="00DE2FFE" w:rsidRPr="00390177" w14:paraId="53E058A9" w14:textId="77777777" w:rsidTr="004D177E">
        <w:trPr>
          <w:trHeight w:val="300"/>
        </w:trPr>
        <w:tc>
          <w:tcPr>
            <w:tcW w:w="7110" w:type="dxa"/>
            <w:gridSpan w:val="3"/>
            <w:tcBorders>
              <w:top w:val="nil"/>
              <w:left w:val="nil"/>
              <w:bottom w:val="nil"/>
              <w:right w:val="nil"/>
            </w:tcBorders>
            <w:shd w:val="clear" w:color="auto" w:fill="auto"/>
            <w:noWrap/>
            <w:vAlign w:val="center"/>
            <w:hideMark/>
          </w:tcPr>
          <w:p w14:paraId="5642987A" w14:textId="77777777" w:rsidR="00DE2FFE" w:rsidRPr="00390177" w:rsidRDefault="00DE2FFE" w:rsidP="004D177E">
            <w:pPr>
              <w:rPr>
                <w:rFonts w:cs="Arial"/>
                <w:i/>
                <w:iCs/>
                <w:color w:val="auto"/>
                <w:sz w:val="16"/>
                <w:szCs w:val="16"/>
              </w:rPr>
            </w:pPr>
            <w:r>
              <w:rPr>
                <w:rFonts w:cs="Arial"/>
                <w:i/>
                <w:iCs/>
                <w:color w:val="auto"/>
                <w:sz w:val="16"/>
                <w:szCs w:val="16"/>
              </w:rPr>
              <w:t xml:space="preserve">Table 9:  </w:t>
            </w:r>
            <w:r w:rsidRPr="00390177">
              <w:rPr>
                <w:rFonts w:cs="Arial"/>
                <w:i/>
                <w:iCs/>
                <w:color w:val="auto"/>
                <w:sz w:val="16"/>
                <w:szCs w:val="16"/>
              </w:rPr>
              <w:t xml:space="preserve">Average cost of Load Resources providing </w:t>
            </w:r>
            <w:r>
              <w:rPr>
                <w:rFonts w:cs="Arial"/>
                <w:i/>
                <w:iCs/>
                <w:color w:val="auto"/>
                <w:sz w:val="16"/>
                <w:szCs w:val="16"/>
              </w:rPr>
              <w:t>ECRS</w:t>
            </w:r>
            <w:r w:rsidRPr="00390177">
              <w:rPr>
                <w:rFonts w:cs="Arial"/>
                <w:i/>
                <w:iCs/>
                <w:color w:val="auto"/>
                <w:sz w:val="16"/>
                <w:szCs w:val="16"/>
              </w:rPr>
              <w:t xml:space="preserve"> and total estimated annual</w:t>
            </w:r>
            <w:r>
              <w:rPr>
                <w:rFonts w:cs="Arial"/>
                <w:i/>
                <w:iCs/>
                <w:color w:val="auto"/>
                <w:sz w:val="16"/>
                <w:szCs w:val="16"/>
              </w:rPr>
              <w:t xml:space="preserve"> </w:t>
            </w:r>
            <w:r w:rsidRPr="00390177">
              <w:rPr>
                <w:rFonts w:cs="Arial"/>
                <w:i/>
                <w:iCs/>
                <w:color w:val="auto"/>
                <w:sz w:val="16"/>
                <w:szCs w:val="16"/>
              </w:rPr>
              <w:t>cost</w:t>
            </w:r>
          </w:p>
        </w:tc>
      </w:tr>
      <w:tr w:rsidR="00DE2FFE" w:rsidRPr="00390177" w14:paraId="0BD395CB" w14:textId="77777777" w:rsidTr="004D177E">
        <w:trPr>
          <w:trHeight w:val="30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62B27" w14:textId="77777777" w:rsidR="00DE2FFE" w:rsidRPr="00390177" w:rsidRDefault="00DE2FFE" w:rsidP="004D177E">
            <w:pPr>
              <w:jc w:val="both"/>
              <w:rPr>
                <w:rFonts w:cs="Arial"/>
                <w:color w:val="auto"/>
                <w:sz w:val="20"/>
                <w:szCs w:val="20"/>
              </w:rPr>
            </w:pPr>
            <w:r w:rsidRPr="00390177">
              <w:rPr>
                <w:rFonts w:cs="Arial"/>
                <w:color w:val="auto"/>
                <w:sz w:val="20"/>
                <w:szCs w:val="20"/>
              </w:rPr>
              <w:t>Calendar Year</w:t>
            </w:r>
          </w:p>
        </w:tc>
        <w:tc>
          <w:tcPr>
            <w:tcW w:w="3330" w:type="dxa"/>
            <w:tcBorders>
              <w:top w:val="single" w:sz="4" w:space="0" w:color="auto"/>
              <w:left w:val="nil"/>
              <w:bottom w:val="single" w:sz="4" w:space="0" w:color="auto"/>
              <w:right w:val="single" w:sz="4" w:space="0" w:color="auto"/>
            </w:tcBorders>
            <w:shd w:val="clear" w:color="auto" w:fill="auto"/>
            <w:noWrap/>
            <w:vAlign w:val="center"/>
            <w:hideMark/>
          </w:tcPr>
          <w:p w14:paraId="47A25640" w14:textId="77777777" w:rsidR="00DE2FFE" w:rsidRPr="00390177" w:rsidRDefault="00DE2FFE" w:rsidP="004D177E">
            <w:pPr>
              <w:jc w:val="center"/>
              <w:rPr>
                <w:rFonts w:cs="Arial"/>
                <w:color w:val="auto"/>
                <w:sz w:val="20"/>
                <w:szCs w:val="20"/>
              </w:rPr>
            </w:pPr>
            <w:r w:rsidRPr="00390177">
              <w:rPr>
                <w:rFonts w:cs="Arial"/>
                <w:color w:val="auto"/>
                <w:sz w:val="20"/>
                <w:szCs w:val="20"/>
              </w:rPr>
              <w:t>Average NSPIN Payment $/MW/hr</w:t>
            </w:r>
          </w:p>
        </w:tc>
        <w:tc>
          <w:tcPr>
            <w:tcW w:w="2250" w:type="dxa"/>
            <w:tcBorders>
              <w:top w:val="single" w:sz="4" w:space="0" w:color="auto"/>
              <w:left w:val="nil"/>
              <w:bottom w:val="single" w:sz="4" w:space="0" w:color="auto"/>
              <w:right w:val="single" w:sz="4" w:space="0" w:color="auto"/>
            </w:tcBorders>
            <w:shd w:val="clear" w:color="auto" w:fill="auto"/>
            <w:noWrap/>
            <w:vAlign w:val="center"/>
            <w:hideMark/>
          </w:tcPr>
          <w:p w14:paraId="39D3C259" w14:textId="77777777" w:rsidR="00DE2FFE" w:rsidRPr="00390177" w:rsidRDefault="00DE2FFE" w:rsidP="004D177E">
            <w:pPr>
              <w:jc w:val="center"/>
              <w:rPr>
                <w:rFonts w:cs="Arial"/>
                <w:color w:val="auto"/>
                <w:sz w:val="20"/>
                <w:szCs w:val="20"/>
              </w:rPr>
            </w:pPr>
            <w:r w:rsidRPr="00390177">
              <w:rPr>
                <w:rFonts w:cs="Arial"/>
                <w:color w:val="auto"/>
                <w:sz w:val="20"/>
                <w:szCs w:val="20"/>
              </w:rPr>
              <w:t>Total Estimated Cost $</w:t>
            </w:r>
          </w:p>
        </w:tc>
      </w:tr>
      <w:tr w:rsidR="00DE2FFE" w:rsidRPr="00390177" w14:paraId="62351C40" w14:textId="77777777" w:rsidTr="004D177E">
        <w:trPr>
          <w:trHeight w:val="30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4F264ED5" w14:textId="77777777" w:rsidR="00DE2FFE" w:rsidRPr="00390177" w:rsidRDefault="00DE2FFE" w:rsidP="004D177E">
            <w:pPr>
              <w:rPr>
                <w:rFonts w:cs="Arial"/>
                <w:color w:val="auto"/>
                <w:sz w:val="20"/>
                <w:szCs w:val="20"/>
              </w:rPr>
            </w:pPr>
            <w:r>
              <w:rPr>
                <w:rFonts w:cs="Arial"/>
                <w:sz w:val="20"/>
                <w:szCs w:val="20"/>
              </w:rPr>
              <w:t>2023*</w:t>
            </w:r>
          </w:p>
        </w:tc>
        <w:tc>
          <w:tcPr>
            <w:tcW w:w="3330" w:type="dxa"/>
            <w:tcBorders>
              <w:top w:val="nil"/>
              <w:left w:val="nil"/>
              <w:bottom w:val="single" w:sz="4" w:space="0" w:color="auto"/>
              <w:right w:val="single" w:sz="4" w:space="0" w:color="auto"/>
            </w:tcBorders>
            <w:shd w:val="clear" w:color="auto" w:fill="auto"/>
            <w:noWrap/>
            <w:vAlign w:val="center"/>
            <w:hideMark/>
          </w:tcPr>
          <w:p w14:paraId="0BAB232A" w14:textId="77777777" w:rsidR="00DE2FFE" w:rsidRPr="00390177" w:rsidRDefault="00DE2FFE" w:rsidP="004D177E">
            <w:pPr>
              <w:jc w:val="center"/>
              <w:rPr>
                <w:rFonts w:cs="Arial"/>
                <w:color w:val="auto"/>
                <w:sz w:val="20"/>
                <w:szCs w:val="20"/>
              </w:rPr>
            </w:pPr>
            <w:r>
              <w:rPr>
                <w:rFonts w:cs="Arial"/>
                <w:sz w:val="20"/>
                <w:szCs w:val="20"/>
              </w:rPr>
              <w:t>67.97</w:t>
            </w:r>
          </w:p>
        </w:tc>
        <w:tc>
          <w:tcPr>
            <w:tcW w:w="2250" w:type="dxa"/>
            <w:tcBorders>
              <w:top w:val="nil"/>
              <w:left w:val="nil"/>
              <w:bottom w:val="single" w:sz="4" w:space="0" w:color="auto"/>
              <w:right w:val="single" w:sz="4" w:space="0" w:color="auto"/>
            </w:tcBorders>
            <w:shd w:val="clear" w:color="auto" w:fill="auto"/>
            <w:noWrap/>
            <w:vAlign w:val="center"/>
            <w:hideMark/>
          </w:tcPr>
          <w:p w14:paraId="3F70B74F" w14:textId="77777777" w:rsidR="00DE2FFE" w:rsidRPr="00390177" w:rsidRDefault="00DE2FFE" w:rsidP="004D177E">
            <w:pPr>
              <w:jc w:val="center"/>
              <w:rPr>
                <w:rFonts w:cs="Arial"/>
                <w:color w:val="auto"/>
                <w:sz w:val="20"/>
                <w:szCs w:val="20"/>
              </w:rPr>
            </w:pPr>
            <w:r>
              <w:rPr>
                <w:rFonts w:cs="Arial"/>
                <w:sz w:val="20"/>
                <w:szCs w:val="20"/>
              </w:rPr>
              <w:t xml:space="preserve">                 34,476,761 </w:t>
            </w:r>
          </w:p>
        </w:tc>
      </w:tr>
      <w:tr w:rsidR="00DE2FFE" w:rsidRPr="00390177" w14:paraId="0528FBEF" w14:textId="77777777" w:rsidTr="004D177E">
        <w:trPr>
          <w:trHeight w:val="300"/>
        </w:trPr>
        <w:tc>
          <w:tcPr>
            <w:tcW w:w="4860" w:type="dxa"/>
            <w:gridSpan w:val="2"/>
            <w:tcBorders>
              <w:top w:val="nil"/>
              <w:left w:val="nil"/>
              <w:bottom w:val="nil"/>
              <w:right w:val="nil"/>
            </w:tcBorders>
            <w:shd w:val="clear" w:color="auto" w:fill="auto"/>
            <w:noWrap/>
            <w:vAlign w:val="center"/>
            <w:hideMark/>
          </w:tcPr>
          <w:p w14:paraId="2A89B930" w14:textId="77777777" w:rsidR="00DE2FFE" w:rsidRPr="00390177" w:rsidRDefault="00DE2FFE" w:rsidP="004D177E">
            <w:pPr>
              <w:rPr>
                <w:rFonts w:cs="Arial"/>
                <w:color w:val="auto"/>
                <w:sz w:val="16"/>
                <w:szCs w:val="16"/>
              </w:rPr>
            </w:pPr>
            <w:r w:rsidRPr="00390177">
              <w:rPr>
                <w:rFonts w:cs="Arial"/>
                <w:color w:val="auto"/>
                <w:sz w:val="16"/>
                <w:szCs w:val="16"/>
              </w:rPr>
              <w:t>*Data for January 1 to November 30, 2023</w:t>
            </w:r>
          </w:p>
        </w:tc>
        <w:tc>
          <w:tcPr>
            <w:tcW w:w="2250" w:type="dxa"/>
            <w:tcBorders>
              <w:top w:val="nil"/>
              <w:left w:val="nil"/>
              <w:bottom w:val="nil"/>
              <w:right w:val="nil"/>
            </w:tcBorders>
            <w:shd w:val="clear" w:color="auto" w:fill="auto"/>
            <w:noWrap/>
            <w:vAlign w:val="bottom"/>
            <w:hideMark/>
          </w:tcPr>
          <w:p w14:paraId="00923C89" w14:textId="77777777" w:rsidR="00DE2FFE" w:rsidRPr="00390177" w:rsidRDefault="00DE2FFE" w:rsidP="004D177E">
            <w:pPr>
              <w:rPr>
                <w:rFonts w:cs="Arial"/>
                <w:color w:val="auto"/>
                <w:sz w:val="16"/>
                <w:szCs w:val="16"/>
              </w:rPr>
            </w:pPr>
          </w:p>
        </w:tc>
      </w:tr>
    </w:tbl>
    <w:p w14:paraId="7178CDDC" w14:textId="1FD95BAE" w:rsidR="002A1F57" w:rsidRDefault="002A1F57" w:rsidP="00E25355">
      <w:pPr>
        <w:jc w:val="both"/>
        <w:rPr>
          <w:rFonts w:cs="Arial"/>
          <w:b/>
          <w:color w:val="auto"/>
        </w:rPr>
      </w:pPr>
    </w:p>
    <w:p w14:paraId="498D6E4E" w14:textId="77777777" w:rsidR="00E25355" w:rsidRPr="00CA5E96" w:rsidRDefault="00E25355" w:rsidP="00E25355">
      <w:pPr>
        <w:jc w:val="both"/>
        <w:rPr>
          <w:rFonts w:cs="Arial"/>
          <w:b/>
          <w:color w:val="auto"/>
        </w:rPr>
      </w:pPr>
      <w:r w:rsidRPr="00CA5E96">
        <w:rPr>
          <w:rFonts w:cs="Arial"/>
          <w:b/>
          <w:color w:val="auto"/>
        </w:rPr>
        <w:t>Controllable Load Resource (CLR) Participation in Ancillary Services:</w:t>
      </w:r>
    </w:p>
    <w:p w14:paraId="51CD7BE7" w14:textId="77777777" w:rsidR="00E25355" w:rsidRPr="00CA5E96" w:rsidRDefault="00E25355" w:rsidP="00E25355">
      <w:pPr>
        <w:jc w:val="both"/>
        <w:rPr>
          <w:rFonts w:cs="Arial"/>
          <w:b/>
          <w:color w:val="auto"/>
        </w:rPr>
      </w:pPr>
    </w:p>
    <w:p w14:paraId="53173764" w14:textId="10902EDF" w:rsidR="00E25355" w:rsidRPr="00CA5E96" w:rsidRDefault="00E25355" w:rsidP="00E25355">
      <w:pPr>
        <w:jc w:val="both"/>
        <w:rPr>
          <w:rFonts w:cs="Arial"/>
          <w:color w:val="auto"/>
        </w:rPr>
      </w:pPr>
      <w:r w:rsidRPr="0046397D">
        <w:rPr>
          <w:rFonts w:cs="Arial"/>
          <w:color w:val="auto"/>
        </w:rPr>
        <w:t>During 2023, one new Load-only CLR was registered and added to the Network Operations Model and downstream market systems. CLRs use fast-acting control systems to respond to primary frequency deviations, similar to the governors on a conventional thermal plant. The control systems give these CLRs the ability to follow SCED basepoint and Load Frequency Control (LFC) Dispatch Instructions. CLRs can participate in RRS, Regulation-Up/Regulation-Down, Non-Spin, and ECRS. There are currently 14 registered CLRs with 607.1 MW of capacity.</w:t>
      </w:r>
    </w:p>
    <w:p w14:paraId="3CB4D570" w14:textId="77777777" w:rsidR="00E25355" w:rsidRPr="00CA5E96" w:rsidRDefault="00E25355" w:rsidP="00E25355">
      <w:pPr>
        <w:jc w:val="both"/>
        <w:rPr>
          <w:rFonts w:cs="Arial"/>
          <w:color w:val="auto"/>
        </w:rPr>
      </w:pPr>
    </w:p>
    <w:p w14:paraId="71FC1A67" w14:textId="63174778" w:rsidR="00E25355" w:rsidRDefault="00E25355" w:rsidP="00E25355">
      <w:pPr>
        <w:jc w:val="both"/>
        <w:rPr>
          <w:rFonts w:cs="Arial"/>
          <w:b/>
          <w:color w:val="auto"/>
        </w:rPr>
      </w:pPr>
      <w:r>
        <w:rPr>
          <w:rFonts w:cs="Arial"/>
          <w:b/>
          <w:color w:val="auto"/>
        </w:rPr>
        <w:t xml:space="preserve">RRS </w:t>
      </w:r>
      <w:r w:rsidR="00AE1E32">
        <w:rPr>
          <w:rFonts w:cs="Arial"/>
          <w:b/>
          <w:color w:val="auto"/>
        </w:rPr>
        <w:t xml:space="preserve">and ECRS </w:t>
      </w:r>
      <w:r>
        <w:rPr>
          <w:rFonts w:cs="Arial"/>
          <w:b/>
          <w:color w:val="auto"/>
        </w:rPr>
        <w:t>Deployment of Load Resources</w:t>
      </w:r>
    </w:p>
    <w:p w14:paraId="6F8DC4FF" w14:textId="77777777" w:rsidR="00E25355" w:rsidRDefault="00E25355" w:rsidP="00E25355">
      <w:pPr>
        <w:jc w:val="both"/>
        <w:rPr>
          <w:rFonts w:cs="Arial"/>
          <w:b/>
          <w:color w:val="auto"/>
        </w:rPr>
      </w:pPr>
    </w:p>
    <w:p w14:paraId="2CCB5F74" w14:textId="1F9E336F" w:rsidR="00E25355" w:rsidRDefault="00E25355" w:rsidP="00E25355">
      <w:pPr>
        <w:jc w:val="both"/>
        <w:rPr>
          <w:rFonts w:cs="Arial"/>
          <w:color w:val="auto"/>
        </w:rPr>
      </w:pPr>
      <w:r>
        <w:rPr>
          <w:rFonts w:cs="Arial"/>
          <w:color w:val="auto"/>
        </w:rPr>
        <w:t>T</w:t>
      </w:r>
      <w:r w:rsidRPr="00C955E3">
        <w:rPr>
          <w:rFonts w:cs="Arial"/>
          <w:color w:val="auto"/>
        </w:rPr>
        <w:t xml:space="preserve">here was an </w:t>
      </w:r>
      <w:r>
        <w:rPr>
          <w:rFonts w:cs="Arial"/>
          <w:color w:val="auto"/>
        </w:rPr>
        <w:t>Energy Emergency Alert (</w:t>
      </w:r>
      <w:r w:rsidRPr="00C955E3">
        <w:rPr>
          <w:rFonts w:cs="Arial"/>
          <w:color w:val="auto"/>
        </w:rPr>
        <w:t>EEA</w:t>
      </w:r>
      <w:r>
        <w:rPr>
          <w:rFonts w:cs="Arial"/>
          <w:color w:val="auto"/>
        </w:rPr>
        <w:t>)</w:t>
      </w:r>
      <w:r w:rsidRPr="00C955E3">
        <w:rPr>
          <w:rFonts w:cs="Arial"/>
          <w:color w:val="auto"/>
        </w:rPr>
        <w:t xml:space="preserve"> event on </w:t>
      </w:r>
      <w:r>
        <w:rPr>
          <w:rFonts w:cs="Arial"/>
          <w:color w:val="auto"/>
        </w:rPr>
        <w:t xml:space="preserve">September 6, 2023, </w:t>
      </w:r>
      <w:r w:rsidRPr="00C955E3">
        <w:rPr>
          <w:rFonts w:cs="Arial"/>
          <w:color w:val="auto"/>
        </w:rPr>
        <w:t>that resulted in the deployment of NCLRs providing RRS and ECRS. An EEA Level 2 was declared at 19:25 as reserves had fallen below 1</w:t>
      </w:r>
      <w:r w:rsidR="001C34F6">
        <w:rPr>
          <w:rFonts w:cs="Arial"/>
          <w:color w:val="auto"/>
        </w:rPr>
        <w:t>,</w:t>
      </w:r>
      <w:r w:rsidRPr="00C955E3">
        <w:rPr>
          <w:rFonts w:cs="Arial"/>
          <w:color w:val="auto"/>
        </w:rPr>
        <w:t>750 MW. At 19:26, 113.4 MW of ECRS and 1</w:t>
      </w:r>
      <w:r w:rsidR="001C34F6">
        <w:rPr>
          <w:rFonts w:cs="Arial"/>
          <w:color w:val="auto"/>
        </w:rPr>
        <w:t>,</w:t>
      </w:r>
      <w:r w:rsidRPr="00C955E3">
        <w:rPr>
          <w:rFonts w:cs="Arial"/>
          <w:color w:val="auto"/>
        </w:rPr>
        <w:t>482 MW of RRS w</w:t>
      </w:r>
      <w:r>
        <w:rPr>
          <w:rFonts w:cs="Arial"/>
          <w:color w:val="auto"/>
        </w:rPr>
        <w:t>ere</w:t>
      </w:r>
      <w:r w:rsidRPr="00C955E3">
        <w:rPr>
          <w:rFonts w:cs="Arial"/>
          <w:color w:val="auto"/>
        </w:rPr>
        <w:t xml:space="preserve"> deployed to arrest frequency decay. At 20:37</w:t>
      </w:r>
      <w:r>
        <w:rPr>
          <w:rFonts w:cs="Arial"/>
          <w:color w:val="auto"/>
        </w:rPr>
        <w:t>,</w:t>
      </w:r>
      <w:r w:rsidRPr="00C955E3">
        <w:rPr>
          <w:rFonts w:cs="Arial"/>
          <w:color w:val="auto"/>
        </w:rPr>
        <w:t xml:space="preserve"> ERCOT operations stabilized, and all EEA</w:t>
      </w:r>
      <w:r>
        <w:rPr>
          <w:rFonts w:cs="Arial"/>
          <w:color w:val="auto"/>
        </w:rPr>
        <w:t>s</w:t>
      </w:r>
      <w:r w:rsidRPr="00C955E3">
        <w:rPr>
          <w:rFonts w:cs="Arial"/>
          <w:color w:val="auto"/>
        </w:rPr>
        <w:t xml:space="preserve"> were rescinded.</w:t>
      </w:r>
    </w:p>
    <w:p w14:paraId="5F65A1A2" w14:textId="77777777" w:rsidR="00514C7B" w:rsidRDefault="00514C7B" w:rsidP="00E25355">
      <w:pPr>
        <w:jc w:val="both"/>
        <w:rPr>
          <w:rFonts w:cs="Arial"/>
          <w:b/>
          <w:color w:val="000000" w:themeColor="text1"/>
        </w:rPr>
      </w:pPr>
    </w:p>
    <w:p w14:paraId="3DCA14DF" w14:textId="0662DC49" w:rsidR="00E25355" w:rsidRPr="00F60B30" w:rsidRDefault="00E25355" w:rsidP="001C34F6">
      <w:pPr>
        <w:keepNext/>
        <w:jc w:val="both"/>
        <w:rPr>
          <w:rFonts w:cs="Arial"/>
          <w:b/>
          <w:color w:val="000000" w:themeColor="text1"/>
          <w:sz w:val="28"/>
          <w:szCs w:val="28"/>
        </w:rPr>
      </w:pPr>
      <w:r w:rsidRPr="00F60B30">
        <w:rPr>
          <w:rFonts w:cs="Arial"/>
          <w:b/>
          <w:color w:val="000000" w:themeColor="text1"/>
          <w:sz w:val="28"/>
          <w:szCs w:val="28"/>
        </w:rPr>
        <w:lastRenderedPageBreak/>
        <w:t xml:space="preserve">Efforts to improve participation by Load Resources </w:t>
      </w:r>
      <w:r w:rsidR="00D13316" w:rsidRPr="00F60B30">
        <w:rPr>
          <w:rFonts w:cs="Arial"/>
          <w:b/>
          <w:color w:val="000000" w:themeColor="text1"/>
          <w:sz w:val="28"/>
          <w:szCs w:val="28"/>
        </w:rPr>
        <w:t>and Settlement</w:t>
      </w:r>
      <w:r w:rsidR="001C34F6">
        <w:rPr>
          <w:rFonts w:cs="Arial"/>
          <w:b/>
          <w:color w:val="000000" w:themeColor="text1"/>
          <w:sz w:val="28"/>
          <w:szCs w:val="28"/>
        </w:rPr>
        <w:t>-</w:t>
      </w:r>
      <w:r w:rsidR="00D13316" w:rsidRPr="00F60B30">
        <w:rPr>
          <w:rFonts w:cs="Arial"/>
          <w:b/>
          <w:color w:val="000000" w:themeColor="text1"/>
          <w:sz w:val="28"/>
          <w:szCs w:val="28"/>
        </w:rPr>
        <w:t>Only Distribution Generators</w:t>
      </w:r>
      <w:r w:rsidR="001C34F6">
        <w:rPr>
          <w:rFonts w:cs="Arial"/>
          <w:b/>
          <w:color w:val="000000" w:themeColor="text1"/>
          <w:sz w:val="28"/>
          <w:szCs w:val="28"/>
        </w:rPr>
        <w:t xml:space="preserve"> (SODG)</w:t>
      </w:r>
      <w:r w:rsidR="00D13316" w:rsidRPr="00F60B30">
        <w:rPr>
          <w:rFonts w:cs="Arial"/>
          <w:b/>
          <w:color w:val="000000" w:themeColor="text1"/>
          <w:sz w:val="28"/>
          <w:szCs w:val="28"/>
        </w:rPr>
        <w:t xml:space="preserve"> </w:t>
      </w:r>
      <w:r w:rsidRPr="00F60B30">
        <w:rPr>
          <w:rFonts w:cs="Arial"/>
          <w:b/>
          <w:color w:val="000000" w:themeColor="text1"/>
          <w:sz w:val="28"/>
          <w:szCs w:val="28"/>
        </w:rPr>
        <w:t xml:space="preserve">in ERCOT </w:t>
      </w:r>
    </w:p>
    <w:p w14:paraId="0C8F7958" w14:textId="77777777" w:rsidR="00E25355" w:rsidRDefault="00E25355" w:rsidP="001C34F6">
      <w:pPr>
        <w:keepNext/>
        <w:jc w:val="both"/>
        <w:rPr>
          <w:rFonts w:cs="Arial"/>
          <w:b/>
          <w:color w:val="auto"/>
        </w:rPr>
      </w:pPr>
    </w:p>
    <w:p w14:paraId="772EDFA2" w14:textId="77777777" w:rsidR="00E25355" w:rsidRPr="00EF14A8" w:rsidRDefault="00E25355" w:rsidP="001C34F6">
      <w:pPr>
        <w:keepNext/>
        <w:jc w:val="both"/>
        <w:rPr>
          <w:rFonts w:cs="Arial"/>
          <w:b/>
          <w:bCs/>
          <w:color w:val="auto"/>
        </w:rPr>
      </w:pPr>
      <w:r w:rsidRPr="00EF14A8">
        <w:rPr>
          <w:rFonts w:cs="Arial"/>
          <w:b/>
          <w:bCs/>
          <w:color w:val="auto"/>
        </w:rPr>
        <w:t>Improved registration application</w:t>
      </w:r>
    </w:p>
    <w:p w14:paraId="5C4652AB" w14:textId="77777777" w:rsidR="00E25355" w:rsidRDefault="00E25355" w:rsidP="001C34F6">
      <w:pPr>
        <w:keepNext/>
        <w:jc w:val="both"/>
        <w:rPr>
          <w:rFonts w:cs="Arial"/>
          <w:color w:val="auto"/>
        </w:rPr>
      </w:pPr>
    </w:p>
    <w:p w14:paraId="10DE5E0A" w14:textId="197E7F86" w:rsidR="00E25355" w:rsidRPr="00CA5E96" w:rsidRDefault="00E25355" w:rsidP="001C34F6">
      <w:pPr>
        <w:keepNext/>
        <w:jc w:val="both"/>
        <w:rPr>
          <w:rFonts w:cs="Arial"/>
          <w:color w:val="auto"/>
        </w:rPr>
      </w:pPr>
      <w:r>
        <w:rPr>
          <w:rFonts w:cs="Arial"/>
          <w:color w:val="auto"/>
        </w:rPr>
        <w:t xml:space="preserve">In December 2022, ERCOT implemented a new registration system for Load Resources and SODGs. Resource Entities </w:t>
      </w:r>
      <w:r w:rsidRPr="00CA5E96">
        <w:rPr>
          <w:rFonts w:cs="Arial"/>
          <w:color w:val="auto"/>
        </w:rPr>
        <w:t>now register</w:t>
      </w:r>
      <w:r>
        <w:rPr>
          <w:rFonts w:cs="Arial"/>
          <w:color w:val="auto"/>
        </w:rPr>
        <w:t xml:space="preserve"> Load Resources and </w:t>
      </w:r>
      <w:r w:rsidRPr="00CA5E96">
        <w:rPr>
          <w:rFonts w:cs="Arial"/>
          <w:color w:val="auto"/>
        </w:rPr>
        <w:t xml:space="preserve">SODGs using </w:t>
      </w:r>
      <w:r>
        <w:rPr>
          <w:rFonts w:cs="Arial"/>
          <w:color w:val="auto"/>
        </w:rPr>
        <w:t xml:space="preserve">the online Resource Integration and Ongoing Operations (RIOO) </w:t>
      </w:r>
      <w:r w:rsidRPr="00CA5E96">
        <w:rPr>
          <w:rFonts w:cs="Arial"/>
          <w:color w:val="auto"/>
        </w:rPr>
        <w:t>application</w:t>
      </w:r>
      <w:r>
        <w:rPr>
          <w:rFonts w:cs="Arial"/>
          <w:color w:val="auto"/>
        </w:rPr>
        <w:t xml:space="preserve">. RIOO </w:t>
      </w:r>
      <w:r w:rsidRPr="00CA5E96">
        <w:rPr>
          <w:rFonts w:cs="Arial"/>
          <w:color w:val="auto"/>
        </w:rPr>
        <w:t>replace</w:t>
      </w:r>
      <w:r>
        <w:rPr>
          <w:rFonts w:cs="Arial"/>
          <w:color w:val="auto"/>
        </w:rPr>
        <w:t>d</w:t>
      </w:r>
      <w:r w:rsidRPr="00CA5E96">
        <w:rPr>
          <w:rFonts w:cs="Arial"/>
          <w:color w:val="auto"/>
        </w:rPr>
        <w:t xml:space="preserve"> the Resource Asset Registration Form</w:t>
      </w:r>
      <w:r>
        <w:rPr>
          <w:rFonts w:cs="Arial"/>
          <w:color w:val="auto"/>
        </w:rPr>
        <w:t xml:space="preserve"> (RARF)</w:t>
      </w:r>
      <w:r w:rsidRPr="00CA5E96">
        <w:rPr>
          <w:rFonts w:cs="Arial"/>
          <w:color w:val="auto"/>
        </w:rPr>
        <w:t xml:space="preserve"> and </w:t>
      </w:r>
      <w:r>
        <w:rPr>
          <w:rFonts w:cs="Arial"/>
          <w:color w:val="auto"/>
        </w:rPr>
        <w:t xml:space="preserve">provides </w:t>
      </w:r>
      <w:r w:rsidRPr="00CA5E96">
        <w:rPr>
          <w:rFonts w:cs="Arial"/>
          <w:color w:val="auto"/>
        </w:rPr>
        <w:t>a significant improvement in the initial registration and updating of demand</w:t>
      </w:r>
      <w:r w:rsidR="001C34F6">
        <w:rPr>
          <w:rFonts w:cs="Arial"/>
          <w:color w:val="auto"/>
        </w:rPr>
        <w:t>-</w:t>
      </w:r>
      <w:r w:rsidRPr="00CA5E96">
        <w:rPr>
          <w:rFonts w:cs="Arial"/>
          <w:color w:val="auto"/>
        </w:rPr>
        <w:t xml:space="preserve">side </w:t>
      </w:r>
      <w:r w:rsidR="001C34F6">
        <w:rPr>
          <w:rFonts w:cs="Arial"/>
          <w:color w:val="auto"/>
        </w:rPr>
        <w:t>R</w:t>
      </w:r>
      <w:r w:rsidRPr="00CA5E96">
        <w:rPr>
          <w:rFonts w:cs="Arial"/>
          <w:color w:val="auto"/>
        </w:rPr>
        <w:t>esource</w:t>
      </w:r>
      <w:r>
        <w:rPr>
          <w:rFonts w:cs="Arial"/>
          <w:color w:val="auto"/>
        </w:rPr>
        <w:t xml:space="preserve"> data and operational parameters</w:t>
      </w:r>
      <w:r w:rsidRPr="00CA5E96">
        <w:rPr>
          <w:rFonts w:cs="Arial"/>
          <w:color w:val="auto"/>
        </w:rPr>
        <w:t xml:space="preserve">. </w:t>
      </w:r>
    </w:p>
    <w:p w14:paraId="3DCA5909" w14:textId="77777777" w:rsidR="00E25355" w:rsidRPr="00EF14A8" w:rsidRDefault="00E25355" w:rsidP="00E25355">
      <w:pPr>
        <w:spacing w:before="100" w:beforeAutospacing="1" w:after="100" w:afterAutospacing="1"/>
        <w:rPr>
          <w:rFonts w:asciiTheme="majorHAnsi" w:hAnsiTheme="majorHAnsi" w:cstheme="majorHAnsi"/>
          <w:b/>
          <w:bCs/>
          <w:color w:val="000000"/>
        </w:rPr>
      </w:pPr>
      <w:r w:rsidRPr="001A2469">
        <w:rPr>
          <w:rFonts w:asciiTheme="majorHAnsi" w:hAnsiTheme="majorHAnsi" w:cstheme="majorHAnsi"/>
          <w:b/>
          <w:bCs/>
          <w:color w:val="000000"/>
        </w:rPr>
        <w:t xml:space="preserve">Aggregate Distributed Energy Resource (ADER) Pilot Project </w:t>
      </w:r>
    </w:p>
    <w:p w14:paraId="16C678FA" w14:textId="24EEE6F6" w:rsidR="00E25355" w:rsidRPr="001A2469" w:rsidRDefault="00E25355" w:rsidP="00164561">
      <w:pPr>
        <w:spacing w:before="100" w:beforeAutospacing="1" w:after="100" w:afterAutospacing="1"/>
        <w:jc w:val="both"/>
        <w:rPr>
          <w:rFonts w:asciiTheme="majorHAnsi" w:hAnsiTheme="majorHAnsi" w:cstheme="majorHAnsi"/>
          <w:color w:val="000000"/>
        </w:rPr>
      </w:pPr>
      <w:r>
        <w:rPr>
          <w:rFonts w:asciiTheme="majorHAnsi" w:hAnsiTheme="majorHAnsi" w:cstheme="majorHAnsi"/>
          <w:color w:val="000000"/>
        </w:rPr>
        <w:t xml:space="preserve">The ADER Pilot Project </w:t>
      </w:r>
      <w:r w:rsidRPr="001A2469">
        <w:rPr>
          <w:rFonts w:asciiTheme="majorHAnsi" w:hAnsiTheme="majorHAnsi" w:cstheme="majorHAnsi"/>
          <w:color w:val="000000"/>
        </w:rPr>
        <w:t xml:space="preserve">aims to explore and assess the integration of diverse, distributed energy resources into the ERCOT wholesale market. The </w:t>
      </w:r>
      <w:r>
        <w:rPr>
          <w:rFonts w:asciiTheme="majorHAnsi" w:hAnsiTheme="majorHAnsi" w:cstheme="majorHAnsi"/>
          <w:color w:val="000000"/>
        </w:rPr>
        <w:t>p</w:t>
      </w:r>
      <w:r w:rsidRPr="001A2469">
        <w:rPr>
          <w:rFonts w:asciiTheme="majorHAnsi" w:hAnsiTheme="majorHAnsi" w:cstheme="majorHAnsi"/>
          <w:color w:val="000000"/>
        </w:rPr>
        <w:t xml:space="preserve">ilot </w:t>
      </w:r>
      <w:r>
        <w:rPr>
          <w:rFonts w:asciiTheme="majorHAnsi" w:hAnsiTheme="majorHAnsi" w:cstheme="majorHAnsi"/>
          <w:color w:val="000000"/>
        </w:rPr>
        <w:t>p</w:t>
      </w:r>
      <w:r w:rsidRPr="001A2469">
        <w:rPr>
          <w:rFonts w:asciiTheme="majorHAnsi" w:hAnsiTheme="majorHAnsi" w:cstheme="majorHAnsi"/>
          <w:color w:val="000000"/>
        </w:rPr>
        <w:t xml:space="preserve">roject was established </w:t>
      </w:r>
      <w:r w:rsidR="001C34F6">
        <w:rPr>
          <w:rFonts w:asciiTheme="majorHAnsi" w:hAnsiTheme="majorHAnsi" w:cstheme="majorHAnsi"/>
          <w:color w:val="000000"/>
        </w:rPr>
        <w:t>by</w:t>
      </w:r>
      <w:r w:rsidRPr="001A2469">
        <w:rPr>
          <w:rFonts w:asciiTheme="majorHAnsi" w:hAnsiTheme="majorHAnsi" w:cstheme="majorHAnsi"/>
          <w:color w:val="000000"/>
        </w:rPr>
        <w:t xml:space="preserve"> the </w:t>
      </w:r>
      <w:r>
        <w:rPr>
          <w:rFonts w:asciiTheme="majorHAnsi" w:hAnsiTheme="majorHAnsi" w:cstheme="majorHAnsi"/>
          <w:color w:val="000000"/>
        </w:rPr>
        <w:t>Public Utility Commission of Texas (</w:t>
      </w:r>
      <w:r w:rsidRPr="001A2469">
        <w:rPr>
          <w:rFonts w:asciiTheme="majorHAnsi" w:hAnsiTheme="majorHAnsi" w:cstheme="majorHAnsi"/>
          <w:color w:val="000000"/>
        </w:rPr>
        <w:t>PUCT</w:t>
      </w:r>
      <w:r>
        <w:rPr>
          <w:rFonts w:asciiTheme="majorHAnsi" w:hAnsiTheme="majorHAnsi" w:cstheme="majorHAnsi"/>
          <w:color w:val="000000"/>
        </w:rPr>
        <w:t>)</w:t>
      </w:r>
      <w:r w:rsidRPr="001A2469">
        <w:rPr>
          <w:rFonts w:asciiTheme="majorHAnsi" w:hAnsiTheme="majorHAnsi" w:cstheme="majorHAnsi"/>
          <w:color w:val="000000"/>
        </w:rPr>
        <w:t xml:space="preserve"> and will be used to </w:t>
      </w:r>
      <w:r>
        <w:rPr>
          <w:rFonts w:asciiTheme="majorHAnsi" w:hAnsiTheme="majorHAnsi" w:cstheme="majorHAnsi"/>
          <w:color w:val="000000"/>
        </w:rPr>
        <w:t>develop</w:t>
      </w:r>
      <w:r w:rsidRPr="001A2469">
        <w:rPr>
          <w:rFonts w:asciiTheme="majorHAnsi" w:hAnsiTheme="majorHAnsi" w:cstheme="majorHAnsi"/>
          <w:color w:val="000000"/>
        </w:rPr>
        <w:t xml:space="preserve"> evaluation criteria for the participation of ADERs in the ERCOT wholesale market. It seeks to enhance grid reliability, support load management during emergencies, and potentially reduce transmission and distribution investments.</w:t>
      </w:r>
    </w:p>
    <w:p w14:paraId="571BC5F7" w14:textId="77777777" w:rsidR="00E25355" w:rsidRPr="001A2469" w:rsidRDefault="00E25355" w:rsidP="00164561">
      <w:pPr>
        <w:spacing w:before="100" w:beforeAutospacing="1" w:after="100" w:afterAutospacing="1"/>
        <w:jc w:val="both"/>
        <w:rPr>
          <w:rFonts w:asciiTheme="majorHAnsi" w:hAnsiTheme="majorHAnsi" w:cstheme="majorHAnsi"/>
          <w:color w:val="000000"/>
        </w:rPr>
      </w:pPr>
      <w:r w:rsidRPr="001A2469">
        <w:rPr>
          <w:rFonts w:asciiTheme="majorHAnsi" w:hAnsiTheme="majorHAnsi" w:cstheme="majorHAnsi"/>
          <w:color w:val="000000"/>
        </w:rPr>
        <w:t>An ADER is a Resource consisting of multiple individual metered sites/Premises connected at the distribution system level that has the ability in aggregate to respond to ERCOT Dispatch Instructions.</w:t>
      </w:r>
    </w:p>
    <w:p w14:paraId="5F8688F1" w14:textId="54788D67" w:rsidR="00E25355" w:rsidRPr="001A2469" w:rsidRDefault="00E25355" w:rsidP="00164561">
      <w:pPr>
        <w:spacing w:before="100" w:beforeAutospacing="1" w:after="100" w:afterAutospacing="1"/>
        <w:jc w:val="both"/>
        <w:rPr>
          <w:rFonts w:asciiTheme="majorHAnsi" w:hAnsiTheme="majorHAnsi" w:cstheme="majorHAnsi"/>
          <w:color w:val="000000"/>
        </w:rPr>
      </w:pPr>
      <w:r w:rsidRPr="001A2469">
        <w:rPr>
          <w:rFonts w:asciiTheme="majorHAnsi" w:hAnsiTheme="majorHAnsi" w:cstheme="majorHAnsi"/>
          <w:color w:val="000000"/>
        </w:rPr>
        <w:t xml:space="preserve">As of </w:t>
      </w:r>
      <w:r>
        <w:rPr>
          <w:rFonts w:asciiTheme="majorHAnsi" w:hAnsiTheme="majorHAnsi" w:cstheme="majorHAnsi"/>
          <w:color w:val="000000"/>
        </w:rPr>
        <w:t xml:space="preserve">the end of </w:t>
      </w:r>
      <w:r w:rsidRPr="001A2469">
        <w:rPr>
          <w:rFonts w:asciiTheme="majorHAnsi" w:hAnsiTheme="majorHAnsi" w:cstheme="majorHAnsi"/>
          <w:color w:val="000000"/>
        </w:rPr>
        <w:t xml:space="preserve">November 2023, there are </w:t>
      </w:r>
      <w:r w:rsidR="00166661">
        <w:rPr>
          <w:rFonts w:asciiTheme="majorHAnsi" w:hAnsiTheme="majorHAnsi" w:cstheme="majorHAnsi"/>
          <w:color w:val="000000"/>
        </w:rPr>
        <w:t>eight</w:t>
      </w:r>
      <w:r w:rsidRPr="001A2469">
        <w:rPr>
          <w:rFonts w:asciiTheme="majorHAnsi" w:hAnsiTheme="majorHAnsi" w:cstheme="majorHAnsi"/>
          <w:color w:val="000000"/>
        </w:rPr>
        <w:t xml:space="preserve"> ADERs that are </w:t>
      </w:r>
      <w:r>
        <w:rPr>
          <w:rFonts w:asciiTheme="majorHAnsi" w:hAnsiTheme="majorHAnsi" w:cstheme="majorHAnsi"/>
          <w:color w:val="000000"/>
        </w:rPr>
        <w:t xml:space="preserve">registered to participate </w:t>
      </w:r>
      <w:r w:rsidRPr="001A2469">
        <w:rPr>
          <w:rFonts w:asciiTheme="majorHAnsi" w:hAnsiTheme="majorHAnsi" w:cstheme="majorHAnsi"/>
          <w:color w:val="000000"/>
        </w:rPr>
        <w:t xml:space="preserve">in the project. </w:t>
      </w:r>
      <w:r w:rsidR="00166661">
        <w:rPr>
          <w:rFonts w:asciiTheme="majorHAnsi" w:hAnsiTheme="majorHAnsi" w:cstheme="majorHAnsi"/>
          <w:color w:val="000000"/>
        </w:rPr>
        <w:t>In total, t</w:t>
      </w:r>
      <w:r w:rsidRPr="001A2469">
        <w:rPr>
          <w:rFonts w:asciiTheme="majorHAnsi" w:hAnsiTheme="majorHAnsi" w:cstheme="majorHAnsi"/>
          <w:color w:val="000000"/>
        </w:rPr>
        <w:t xml:space="preserve">he participants make up </w:t>
      </w:r>
      <w:r>
        <w:rPr>
          <w:rFonts w:asciiTheme="majorHAnsi" w:hAnsiTheme="majorHAnsi" w:cstheme="majorHAnsi"/>
          <w:color w:val="000000"/>
        </w:rPr>
        <w:t>12.5</w:t>
      </w:r>
      <w:r w:rsidRPr="001A2469">
        <w:rPr>
          <w:rFonts w:asciiTheme="majorHAnsi" w:hAnsiTheme="majorHAnsi" w:cstheme="majorHAnsi"/>
          <w:color w:val="000000"/>
        </w:rPr>
        <w:t xml:space="preserve"> MW of </w:t>
      </w:r>
      <w:r>
        <w:rPr>
          <w:rFonts w:asciiTheme="majorHAnsi" w:hAnsiTheme="majorHAnsi" w:cstheme="majorHAnsi"/>
          <w:color w:val="000000"/>
        </w:rPr>
        <w:t>c</w:t>
      </w:r>
      <w:r w:rsidRPr="001A2469">
        <w:rPr>
          <w:rFonts w:asciiTheme="majorHAnsi" w:hAnsiTheme="majorHAnsi" w:cstheme="majorHAnsi"/>
          <w:color w:val="000000"/>
        </w:rPr>
        <w:t>apacity and 4.</w:t>
      </w:r>
      <w:r>
        <w:rPr>
          <w:rFonts w:asciiTheme="majorHAnsi" w:hAnsiTheme="majorHAnsi" w:cstheme="majorHAnsi"/>
          <w:color w:val="000000"/>
        </w:rPr>
        <w:t>3</w:t>
      </w:r>
      <w:r w:rsidRPr="001A2469">
        <w:rPr>
          <w:rFonts w:asciiTheme="majorHAnsi" w:hAnsiTheme="majorHAnsi" w:cstheme="majorHAnsi"/>
          <w:color w:val="000000"/>
        </w:rPr>
        <w:t xml:space="preserve"> MW of </w:t>
      </w:r>
      <w:r>
        <w:rPr>
          <w:rFonts w:asciiTheme="majorHAnsi" w:hAnsiTheme="majorHAnsi" w:cstheme="majorHAnsi"/>
          <w:color w:val="000000"/>
        </w:rPr>
        <w:t>q</w:t>
      </w:r>
      <w:r w:rsidRPr="001A2469">
        <w:rPr>
          <w:rFonts w:asciiTheme="majorHAnsi" w:hAnsiTheme="majorHAnsi" w:cstheme="majorHAnsi"/>
          <w:color w:val="000000"/>
        </w:rPr>
        <w:t xml:space="preserve">ualified Non-Spin </w:t>
      </w:r>
      <w:r>
        <w:rPr>
          <w:rFonts w:asciiTheme="majorHAnsi" w:hAnsiTheme="majorHAnsi" w:cstheme="majorHAnsi"/>
          <w:color w:val="000000"/>
        </w:rPr>
        <w:t>c</w:t>
      </w:r>
      <w:r w:rsidRPr="001A2469">
        <w:rPr>
          <w:rFonts w:asciiTheme="majorHAnsi" w:hAnsiTheme="majorHAnsi" w:cstheme="majorHAnsi"/>
          <w:color w:val="000000"/>
        </w:rPr>
        <w:t xml:space="preserve">apabilities. </w:t>
      </w:r>
      <w:r>
        <w:rPr>
          <w:rFonts w:asciiTheme="majorHAnsi" w:hAnsiTheme="majorHAnsi" w:cstheme="majorHAnsi"/>
          <w:color w:val="000000"/>
        </w:rPr>
        <w:t xml:space="preserve">Two of the registered ADERs have completed all qualifications and are actively participating in the Ancillary Service market, representing 9.4 MW of capacity and 3.1 MW of Non-Spin. </w:t>
      </w:r>
      <w:r w:rsidRPr="001A2469">
        <w:rPr>
          <w:rFonts w:asciiTheme="majorHAnsi" w:hAnsiTheme="majorHAnsi" w:cstheme="majorHAnsi"/>
          <w:color w:val="000000"/>
        </w:rPr>
        <w:t xml:space="preserve">Currently still in Phase 1, the </w:t>
      </w:r>
      <w:r>
        <w:rPr>
          <w:rFonts w:asciiTheme="majorHAnsi" w:hAnsiTheme="majorHAnsi" w:cstheme="majorHAnsi"/>
          <w:color w:val="000000"/>
        </w:rPr>
        <w:t>p</w:t>
      </w:r>
      <w:r w:rsidRPr="001A2469">
        <w:rPr>
          <w:rFonts w:asciiTheme="majorHAnsi" w:hAnsiTheme="majorHAnsi" w:cstheme="majorHAnsi"/>
          <w:color w:val="000000"/>
        </w:rPr>
        <w:t xml:space="preserve">ilot </w:t>
      </w:r>
      <w:r>
        <w:rPr>
          <w:rFonts w:asciiTheme="majorHAnsi" w:hAnsiTheme="majorHAnsi" w:cstheme="majorHAnsi"/>
          <w:color w:val="000000"/>
        </w:rPr>
        <w:t>p</w:t>
      </w:r>
      <w:r w:rsidRPr="001A2469">
        <w:rPr>
          <w:rFonts w:asciiTheme="majorHAnsi" w:hAnsiTheme="majorHAnsi" w:cstheme="majorHAnsi"/>
          <w:color w:val="000000"/>
        </w:rPr>
        <w:t>roject looks to enter Phase 2 in early 2024.</w:t>
      </w:r>
    </w:p>
    <w:p w14:paraId="3C153BE3" w14:textId="7F2C3C9C" w:rsidR="00F644D7" w:rsidRDefault="00F644D7" w:rsidP="00F60B30">
      <w:pPr>
        <w:jc w:val="both"/>
        <w:rPr>
          <w:rFonts w:cs="Arial"/>
          <w:b/>
          <w:color w:val="000000" w:themeColor="text1"/>
          <w:sz w:val="28"/>
          <w:szCs w:val="28"/>
        </w:rPr>
      </w:pPr>
      <w:r w:rsidRPr="00F60B30">
        <w:rPr>
          <w:rFonts w:cs="Arial"/>
          <w:b/>
          <w:color w:val="000000" w:themeColor="text1"/>
          <w:sz w:val="28"/>
          <w:szCs w:val="28"/>
        </w:rPr>
        <w:t>Emergency Response Service (ERS)</w:t>
      </w:r>
    </w:p>
    <w:p w14:paraId="5F1E32B8" w14:textId="77777777" w:rsidR="00F60B30" w:rsidRPr="00F60B30" w:rsidRDefault="00F60B30" w:rsidP="00F60B30">
      <w:pPr>
        <w:jc w:val="both"/>
        <w:rPr>
          <w:rFonts w:cs="Arial"/>
          <w:b/>
          <w:color w:val="000000" w:themeColor="text1"/>
          <w:sz w:val="28"/>
          <w:szCs w:val="28"/>
        </w:rPr>
      </w:pPr>
    </w:p>
    <w:p w14:paraId="7AA0820D" w14:textId="0D3D031C" w:rsidR="004026C3" w:rsidRDefault="007A21C3" w:rsidP="000407F4">
      <w:pPr>
        <w:spacing w:after="200"/>
        <w:jc w:val="both"/>
        <w:rPr>
          <w:rFonts w:eastAsiaTheme="minorHAnsi" w:cs="Arial"/>
          <w:color w:val="auto"/>
        </w:rPr>
      </w:pPr>
      <w:r w:rsidRPr="00BA0B32">
        <w:rPr>
          <w:rFonts w:eastAsiaTheme="minorHAnsi" w:cs="Arial"/>
          <w:color w:val="auto"/>
        </w:rPr>
        <w:t xml:space="preserve">The Emergency Interruptible Load Service (EILS) was originally developed and implemented in </w:t>
      </w:r>
      <w:r w:rsidRPr="00081E3C">
        <w:rPr>
          <w:rFonts w:eastAsiaTheme="minorHAnsi" w:cs="Arial"/>
          <w:color w:val="auto"/>
        </w:rPr>
        <w:t xml:space="preserve">2007 as a </w:t>
      </w:r>
      <w:r w:rsidR="00E2359E">
        <w:rPr>
          <w:rFonts w:eastAsiaTheme="minorHAnsi" w:cs="Arial"/>
          <w:color w:val="auto"/>
        </w:rPr>
        <w:t>L</w:t>
      </w:r>
      <w:r w:rsidRPr="00081E3C">
        <w:rPr>
          <w:rFonts w:eastAsiaTheme="minorHAnsi" w:cs="Arial"/>
          <w:color w:val="auto"/>
        </w:rPr>
        <w:t xml:space="preserve">oad reduction service with a 10-minute ramp requirement to be deployed in the late stages of a grid emergency. </w:t>
      </w:r>
      <w:r>
        <w:rPr>
          <w:rFonts w:eastAsiaTheme="minorHAnsi" w:cs="Arial"/>
          <w:color w:val="auto"/>
        </w:rPr>
        <w:t>I</w:t>
      </w:r>
      <w:r w:rsidRPr="00081E3C">
        <w:rPr>
          <w:rFonts w:eastAsiaTheme="minorHAnsi" w:cs="Arial"/>
          <w:color w:val="auto"/>
        </w:rPr>
        <w:t>n 2012</w:t>
      </w:r>
      <w:r>
        <w:rPr>
          <w:rFonts w:eastAsiaTheme="minorHAnsi" w:cs="Arial"/>
          <w:color w:val="auto"/>
        </w:rPr>
        <w:t>,</w:t>
      </w:r>
      <w:r w:rsidRPr="00081E3C">
        <w:rPr>
          <w:rFonts w:eastAsiaTheme="minorHAnsi" w:cs="Arial"/>
          <w:color w:val="auto"/>
        </w:rPr>
        <w:t xml:space="preserve"> this service was modified to allow certain types of small generators to participate</w:t>
      </w:r>
      <w:r>
        <w:rPr>
          <w:rFonts w:eastAsiaTheme="minorHAnsi" w:cs="Arial"/>
          <w:color w:val="auto"/>
        </w:rPr>
        <w:t>.  T</w:t>
      </w:r>
      <w:r w:rsidRPr="00081E3C">
        <w:rPr>
          <w:rFonts w:eastAsiaTheme="minorHAnsi" w:cs="Arial"/>
          <w:color w:val="auto"/>
        </w:rPr>
        <w:t xml:space="preserve">o reflect the broader participation, the service was renamed </w:t>
      </w:r>
      <w:r>
        <w:rPr>
          <w:rFonts w:eastAsiaTheme="minorHAnsi" w:cs="Arial"/>
          <w:color w:val="auto"/>
        </w:rPr>
        <w:t>ERS</w:t>
      </w:r>
      <w:r w:rsidRPr="00081E3C">
        <w:rPr>
          <w:rFonts w:eastAsiaTheme="minorHAnsi" w:cs="Arial"/>
          <w:color w:val="auto"/>
        </w:rPr>
        <w:t>. Additional significant changes to this service occurred in 2014 when the 30-minute ramp service type was implemented</w:t>
      </w:r>
      <w:r w:rsidR="00CA06AB">
        <w:rPr>
          <w:rFonts w:eastAsiaTheme="minorHAnsi" w:cs="Arial"/>
          <w:color w:val="auto"/>
        </w:rPr>
        <w:t>,</w:t>
      </w:r>
      <w:r w:rsidRPr="00081E3C">
        <w:rPr>
          <w:rFonts w:eastAsiaTheme="minorHAnsi" w:cs="Arial"/>
          <w:color w:val="auto"/>
        </w:rPr>
        <w:t xml:space="preserve"> as well as Weather-Sensitive ERS with both </w:t>
      </w:r>
      <w:r w:rsidR="0084198B" w:rsidRPr="00081E3C">
        <w:rPr>
          <w:rFonts w:eastAsiaTheme="minorHAnsi" w:cs="Arial"/>
          <w:color w:val="auto"/>
        </w:rPr>
        <w:t>10- and 30-minute</w:t>
      </w:r>
      <w:r w:rsidRPr="00081E3C">
        <w:rPr>
          <w:rFonts w:eastAsiaTheme="minorHAnsi" w:cs="Arial"/>
          <w:color w:val="auto"/>
        </w:rPr>
        <w:t xml:space="preserve"> ramp requirements. </w:t>
      </w:r>
    </w:p>
    <w:p w14:paraId="15A75ACB" w14:textId="09EC3D1C" w:rsidR="007A21C3" w:rsidRDefault="004B4CB9" w:rsidP="000407F4">
      <w:pPr>
        <w:spacing w:after="200"/>
        <w:jc w:val="both"/>
        <w:rPr>
          <w:rFonts w:eastAsiaTheme="minorHAnsi" w:cs="Arial"/>
          <w:color w:val="auto"/>
        </w:rPr>
      </w:pPr>
      <w:r>
        <w:rPr>
          <w:rFonts w:eastAsiaTheme="minorHAnsi" w:cs="Arial"/>
          <w:color w:val="auto"/>
        </w:rPr>
        <w:t>For</w:t>
      </w:r>
      <w:r w:rsidR="000D71D1">
        <w:rPr>
          <w:rFonts w:eastAsiaTheme="minorHAnsi" w:cs="Arial"/>
          <w:color w:val="auto"/>
        </w:rPr>
        <w:t xml:space="preserve"> the 202</w:t>
      </w:r>
      <w:r w:rsidR="00342345">
        <w:rPr>
          <w:rFonts w:eastAsiaTheme="minorHAnsi" w:cs="Arial"/>
          <w:color w:val="auto"/>
        </w:rPr>
        <w:t>3</w:t>
      </w:r>
      <w:r w:rsidR="000D71D1">
        <w:rPr>
          <w:rFonts w:eastAsiaTheme="minorHAnsi" w:cs="Arial"/>
          <w:color w:val="auto"/>
        </w:rPr>
        <w:t xml:space="preserve"> ERS </w:t>
      </w:r>
      <w:r w:rsidR="005B3632">
        <w:rPr>
          <w:rFonts w:eastAsiaTheme="minorHAnsi" w:cs="Arial"/>
          <w:color w:val="auto"/>
        </w:rPr>
        <w:t>program</w:t>
      </w:r>
      <w:r w:rsidR="000D71D1">
        <w:rPr>
          <w:rFonts w:eastAsiaTheme="minorHAnsi" w:cs="Arial"/>
          <w:color w:val="auto"/>
        </w:rPr>
        <w:t xml:space="preserve"> year</w:t>
      </w:r>
      <w:r w:rsidR="008B30E7">
        <w:rPr>
          <w:rFonts w:eastAsiaTheme="minorHAnsi" w:cs="Arial"/>
          <w:color w:val="auto"/>
        </w:rPr>
        <w:t>,</w:t>
      </w:r>
      <w:r w:rsidR="000D71D1">
        <w:rPr>
          <w:rFonts w:eastAsiaTheme="minorHAnsi" w:cs="Arial"/>
          <w:color w:val="auto"/>
        </w:rPr>
        <w:t xml:space="preserve"> </w:t>
      </w:r>
      <w:r>
        <w:rPr>
          <w:rFonts w:eastAsiaTheme="minorHAnsi" w:cs="Arial"/>
          <w:color w:val="auto"/>
        </w:rPr>
        <w:t xml:space="preserve">two notable changes </w:t>
      </w:r>
      <w:r w:rsidR="00526536">
        <w:rPr>
          <w:rFonts w:eastAsiaTheme="minorHAnsi" w:cs="Arial"/>
          <w:color w:val="auto"/>
        </w:rPr>
        <w:t xml:space="preserve">occurred affecting ERS service. </w:t>
      </w:r>
      <w:r w:rsidR="000D71D1">
        <w:rPr>
          <w:rFonts w:eastAsiaTheme="minorHAnsi" w:cs="Arial"/>
          <w:color w:val="auto"/>
        </w:rPr>
        <w:t xml:space="preserve"> </w:t>
      </w:r>
      <w:r w:rsidR="00342345">
        <w:rPr>
          <w:rFonts w:eastAsiaTheme="minorHAnsi" w:cs="Arial"/>
          <w:color w:val="auto"/>
        </w:rPr>
        <w:t>During the later part of the 2022 ERS program year</w:t>
      </w:r>
      <w:r w:rsidR="00C71BA6">
        <w:rPr>
          <w:rFonts w:eastAsiaTheme="minorHAnsi" w:cs="Arial"/>
          <w:color w:val="auto"/>
        </w:rPr>
        <w:t>,</w:t>
      </w:r>
      <w:r w:rsidR="00342345">
        <w:rPr>
          <w:rFonts w:eastAsiaTheme="minorHAnsi" w:cs="Arial"/>
          <w:color w:val="auto"/>
        </w:rPr>
        <w:t xml:space="preserve"> </w:t>
      </w:r>
      <w:r w:rsidR="005A4422">
        <w:rPr>
          <w:rFonts w:eastAsiaTheme="minorHAnsi" w:cs="Arial"/>
          <w:color w:val="auto"/>
        </w:rPr>
        <w:t>the PUCT approved amendment</w:t>
      </w:r>
      <w:r w:rsidR="001D2D22">
        <w:rPr>
          <w:rFonts w:eastAsiaTheme="minorHAnsi" w:cs="Arial"/>
          <w:color w:val="auto"/>
        </w:rPr>
        <w:t>s</w:t>
      </w:r>
      <w:r w:rsidR="005A4422">
        <w:rPr>
          <w:rFonts w:eastAsiaTheme="minorHAnsi" w:cs="Arial"/>
          <w:color w:val="auto"/>
        </w:rPr>
        <w:t xml:space="preserve"> to </w:t>
      </w:r>
      <w:r w:rsidR="007B47FB">
        <w:rPr>
          <w:rFonts w:eastAsiaTheme="minorHAnsi" w:cs="Arial"/>
          <w:color w:val="auto"/>
        </w:rPr>
        <w:t xml:space="preserve">its </w:t>
      </w:r>
      <w:r w:rsidR="00C71BA6">
        <w:rPr>
          <w:rFonts w:eastAsiaTheme="minorHAnsi" w:cs="Arial"/>
          <w:color w:val="auto"/>
        </w:rPr>
        <w:t>r</w:t>
      </w:r>
      <w:r w:rsidR="0000070E">
        <w:rPr>
          <w:rFonts w:eastAsiaTheme="minorHAnsi" w:cs="Arial"/>
          <w:color w:val="auto"/>
        </w:rPr>
        <w:t>ule</w:t>
      </w:r>
      <w:r w:rsidR="00C71BA6">
        <w:rPr>
          <w:rFonts w:eastAsiaTheme="minorHAnsi" w:cs="Arial"/>
          <w:color w:val="auto"/>
        </w:rPr>
        <w:t xml:space="preserve"> 16 </w:t>
      </w:r>
      <w:r w:rsidR="00C71BA6" w:rsidRPr="00C71BA6">
        <w:rPr>
          <w:rFonts w:eastAsiaTheme="minorHAnsi" w:cs="Arial"/>
          <w:smallCaps/>
          <w:color w:val="auto"/>
        </w:rPr>
        <w:t>Texas Administrative Code</w:t>
      </w:r>
      <w:r w:rsidR="00C71BA6">
        <w:rPr>
          <w:rFonts w:eastAsiaTheme="minorHAnsi" w:cs="Arial"/>
          <w:smallCaps/>
          <w:color w:val="auto"/>
        </w:rPr>
        <w:t xml:space="preserve"> (TAC)</w:t>
      </w:r>
      <w:r w:rsidR="00C71BA6">
        <w:rPr>
          <w:rFonts w:eastAsiaTheme="minorHAnsi" w:cs="Arial"/>
          <w:color w:val="auto"/>
        </w:rPr>
        <w:t xml:space="preserve"> §</w:t>
      </w:r>
      <w:r w:rsidR="0000070E">
        <w:rPr>
          <w:rFonts w:eastAsiaTheme="minorHAnsi" w:cs="Arial"/>
          <w:color w:val="auto"/>
        </w:rPr>
        <w:t xml:space="preserve"> 25.507</w:t>
      </w:r>
      <w:r w:rsidR="007B47FB">
        <w:rPr>
          <w:rFonts w:eastAsiaTheme="minorHAnsi" w:cs="Arial"/>
          <w:color w:val="auto"/>
        </w:rPr>
        <w:t xml:space="preserve">, </w:t>
      </w:r>
      <w:r w:rsidR="001E74AE">
        <w:rPr>
          <w:rFonts w:eastAsiaTheme="minorHAnsi" w:cs="Arial"/>
          <w:i/>
          <w:iCs/>
          <w:color w:val="auto"/>
        </w:rPr>
        <w:t>Electric Reliability Council of Texas (ERCOT) Emergency Response Service</w:t>
      </w:r>
      <w:r w:rsidR="0000070E">
        <w:rPr>
          <w:rFonts w:eastAsiaTheme="minorHAnsi" w:cs="Arial"/>
          <w:color w:val="auto"/>
        </w:rPr>
        <w:t xml:space="preserve"> </w:t>
      </w:r>
      <w:r w:rsidR="001E74AE" w:rsidRPr="001E74AE">
        <w:rPr>
          <w:rFonts w:eastAsiaTheme="minorHAnsi" w:cs="Arial"/>
          <w:i/>
          <w:iCs/>
          <w:color w:val="auto"/>
        </w:rPr>
        <w:t>(</w:t>
      </w:r>
      <w:r w:rsidR="005A4422" w:rsidRPr="001E74AE">
        <w:rPr>
          <w:rFonts w:eastAsiaTheme="minorHAnsi" w:cs="Arial"/>
          <w:i/>
          <w:iCs/>
          <w:color w:val="auto"/>
        </w:rPr>
        <w:t>ERS</w:t>
      </w:r>
      <w:r w:rsidR="001E74AE" w:rsidRPr="001E74AE">
        <w:rPr>
          <w:rFonts w:eastAsiaTheme="minorHAnsi" w:cs="Arial"/>
          <w:i/>
          <w:iCs/>
          <w:color w:val="auto"/>
        </w:rPr>
        <w:t>)</w:t>
      </w:r>
      <w:r w:rsidR="00C71BA6">
        <w:rPr>
          <w:rFonts w:eastAsiaTheme="minorHAnsi" w:cs="Arial"/>
          <w:color w:val="auto"/>
        </w:rPr>
        <w:t>,</w:t>
      </w:r>
      <w:r w:rsidR="005A4422">
        <w:rPr>
          <w:rFonts w:eastAsiaTheme="minorHAnsi" w:cs="Arial"/>
          <w:color w:val="auto"/>
        </w:rPr>
        <w:t xml:space="preserve"> </w:t>
      </w:r>
      <w:r w:rsidR="00C71BA6">
        <w:rPr>
          <w:rFonts w:eastAsiaTheme="minorHAnsi" w:cs="Arial"/>
          <w:color w:val="auto"/>
        </w:rPr>
        <w:t xml:space="preserve">which </w:t>
      </w:r>
      <w:r w:rsidR="005A4422">
        <w:rPr>
          <w:rFonts w:eastAsiaTheme="minorHAnsi" w:cs="Arial"/>
          <w:color w:val="auto"/>
        </w:rPr>
        <w:t>increase</w:t>
      </w:r>
      <w:r w:rsidR="00C71BA6">
        <w:rPr>
          <w:rFonts w:eastAsiaTheme="minorHAnsi" w:cs="Arial"/>
          <w:color w:val="auto"/>
        </w:rPr>
        <w:t>d</w:t>
      </w:r>
      <w:r w:rsidR="005A4422">
        <w:rPr>
          <w:rFonts w:eastAsiaTheme="minorHAnsi" w:cs="Arial"/>
          <w:color w:val="auto"/>
        </w:rPr>
        <w:t xml:space="preserve"> the annual budget for ERS and allows ERCOT the flexibility to</w:t>
      </w:r>
      <w:r w:rsidR="006A3AC7">
        <w:rPr>
          <w:rFonts w:eastAsiaTheme="minorHAnsi" w:cs="Arial"/>
          <w:color w:val="auto"/>
        </w:rPr>
        <w:t xml:space="preserve"> procure</w:t>
      </w:r>
      <w:r w:rsidR="005A4422">
        <w:rPr>
          <w:rFonts w:eastAsiaTheme="minorHAnsi" w:cs="Arial"/>
          <w:color w:val="auto"/>
        </w:rPr>
        <w:t xml:space="preserve"> ERS for up to 24 hours in a </w:t>
      </w:r>
      <w:r w:rsidR="005A4422">
        <w:rPr>
          <w:rFonts w:eastAsiaTheme="minorHAnsi" w:cs="Arial"/>
          <w:color w:val="auto"/>
        </w:rPr>
        <w:lastRenderedPageBreak/>
        <w:t xml:space="preserve">contract term </w:t>
      </w:r>
      <w:r w:rsidR="00C71BA6">
        <w:rPr>
          <w:rFonts w:eastAsiaTheme="minorHAnsi" w:cs="Arial"/>
          <w:color w:val="auto"/>
        </w:rPr>
        <w:t xml:space="preserve">in order </w:t>
      </w:r>
      <w:r w:rsidR="005A4422">
        <w:rPr>
          <w:rFonts w:eastAsiaTheme="minorHAnsi" w:cs="Arial"/>
          <w:color w:val="auto"/>
        </w:rPr>
        <w:t xml:space="preserve">to better address seasonal needs. </w:t>
      </w:r>
      <w:r w:rsidR="00342345">
        <w:rPr>
          <w:rFonts w:eastAsiaTheme="minorHAnsi" w:cs="Arial"/>
          <w:color w:val="auto"/>
        </w:rPr>
        <w:t xml:space="preserve">Both of these changes went into effect </w:t>
      </w:r>
      <w:r w:rsidR="000E55D9">
        <w:rPr>
          <w:rFonts w:eastAsiaTheme="minorHAnsi" w:cs="Arial"/>
          <w:color w:val="auto"/>
        </w:rPr>
        <w:t>on</w:t>
      </w:r>
      <w:r w:rsidR="00F80F88">
        <w:rPr>
          <w:rFonts w:eastAsiaTheme="minorHAnsi" w:cs="Arial"/>
          <w:color w:val="auto"/>
        </w:rPr>
        <w:t xml:space="preserve"> </w:t>
      </w:r>
      <w:r w:rsidR="005A4422">
        <w:rPr>
          <w:rFonts w:eastAsiaTheme="minorHAnsi" w:cs="Arial"/>
          <w:color w:val="auto"/>
        </w:rPr>
        <w:t>December 1, 2022</w:t>
      </w:r>
      <w:r w:rsidR="000E55D9">
        <w:rPr>
          <w:rFonts w:eastAsiaTheme="minorHAnsi" w:cs="Arial"/>
          <w:color w:val="auto"/>
        </w:rPr>
        <w:t>, the start of the 2023 program year</w:t>
      </w:r>
      <w:r w:rsidR="005A4422">
        <w:rPr>
          <w:rFonts w:eastAsiaTheme="minorHAnsi" w:cs="Arial"/>
          <w:color w:val="auto"/>
        </w:rPr>
        <w:t xml:space="preserve">. </w:t>
      </w:r>
    </w:p>
    <w:p w14:paraId="3C14FCE3" w14:textId="6CC15CDA" w:rsidR="00D41A06" w:rsidRDefault="007A21C3" w:rsidP="00CE56BA">
      <w:pPr>
        <w:jc w:val="both"/>
        <w:rPr>
          <w:rFonts w:eastAsiaTheme="minorHAnsi" w:cs="Arial"/>
          <w:color w:val="auto"/>
        </w:rPr>
      </w:pPr>
      <w:r>
        <w:rPr>
          <w:rFonts w:eastAsiaTheme="minorHAnsi" w:cs="Arial"/>
          <w:color w:val="auto"/>
        </w:rPr>
        <w:t xml:space="preserve">The procurement of ERS is administered in accordance with the </w:t>
      </w:r>
      <w:r w:rsidR="00CA06AB">
        <w:rPr>
          <w:rFonts w:eastAsiaTheme="minorHAnsi" w:cs="Arial"/>
          <w:color w:val="auto"/>
        </w:rPr>
        <w:t>ERS</w:t>
      </w:r>
      <w:r>
        <w:rPr>
          <w:rFonts w:eastAsiaTheme="minorHAnsi" w:cs="Arial"/>
          <w:color w:val="auto"/>
        </w:rPr>
        <w:t xml:space="preserve"> Procurement Methodology document posted to the Demand Response </w:t>
      </w:r>
      <w:r w:rsidR="00244ABA">
        <w:rPr>
          <w:rFonts w:eastAsiaTheme="minorHAnsi" w:cs="Arial"/>
          <w:color w:val="auto"/>
        </w:rPr>
        <w:t xml:space="preserve">webpage </w:t>
      </w:r>
      <w:r>
        <w:rPr>
          <w:rFonts w:eastAsiaTheme="minorHAnsi" w:cs="Arial"/>
          <w:color w:val="auto"/>
        </w:rPr>
        <w:t>on</w:t>
      </w:r>
      <w:r w:rsidR="00CA06AB">
        <w:rPr>
          <w:rFonts w:eastAsiaTheme="minorHAnsi" w:cs="Arial"/>
          <w:color w:val="auto"/>
        </w:rPr>
        <w:t xml:space="preserve"> ercot</w:t>
      </w:r>
      <w:r>
        <w:rPr>
          <w:rFonts w:eastAsiaTheme="minorHAnsi" w:cs="Arial"/>
          <w:color w:val="auto"/>
        </w:rPr>
        <w:t>.com.</w:t>
      </w:r>
      <w:r w:rsidR="00C71BA6">
        <w:rPr>
          <w:rStyle w:val="FootnoteReference"/>
          <w:rFonts w:eastAsiaTheme="minorHAnsi" w:cs="Arial"/>
          <w:color w:val="auto"/>
        </w:rPr>
        <w:footnoteReference w:id="2"/>
      </w:r>
      <w:r>
        <w:rPr>
          <w:rFonts w:eastAsiaTheme="minorHAnsi" w:cs="Arial"/>
          <w:color w:val="auto"/>
        </w:rPr>
        <w:t xml:space="preserve"> </w:t>
      </w:r>
      <w:r w:rsidR="00C635EA">
        <w:rPr>
          <w:rFonts w:eastAsiaTheme="minorHAnsi" w:cs="Arial"/>
          <w:color w:val="auto"/>
        </w:rPr>
        <w:t xml:space="preserve">The maximum annual spend limit for the 2023 program year was $75 million </w:t>
      </w:r>
      <w:r w:rsidR="00C71BA6">
        <w:rPr>
          <w:rFonts w:eastAsiaTheme="minorHAnsi" w:cs="Arial"/>
          <w:color w:val="auto"/>
        </w:rPr>
        <w:t>following</w:t>
      </w:r>
      <w:r w:rsidR="00C635EA">
        <w:rPr>
          <w:rFonts w:eastAsiaTheme="minorHAnsi" w:cs="Arial"/>
          <w:color w:val="auto"/>
        </w:rPr>
        <w:t xml:space="preserve"> the change </w:t>
      </w:r>
      <w:r w:rsidR="00C71BA6">
        <w:rPr>
          <w:rFonts w:eastAsiaTheme="minorHAnsi" w:cs="Arial"/>
          <w:color w:val="auto"/>
        </w:rPr>
        <w:t xml:space="preserve">to 16 TAC § 25.507 </w:t>
      </w:r>
      <w:r w:rsidR="00C635EA">
        <w:rPr>
          <w:rFonts w:eastAsiaTheme="minorHAnsi" w:cs="Arial"/>
          <w:color w:val="auto"/>
        </w:rPr>
        <w:t>previously mentioned.</w:t>
      </w:r>
      <w:r>
        <w:rPr>
          <w:rFonts w:eastAsiaTheme="minorHAnsi" w:cs="Arial"/>
          <w:color w:val="auto"/>
        </w:rPr>
        <w:t xml:space="preserve"> </w:t>
      </w:r>
      <w:r w:rsidR="00C635EA">
        <w:rPr>
          <w:rFonts w:eastAsiaTheme="minorHAnsi" w:cs="Arial"/>
          <w:color w:val="auto"/>
        </w:rPr>
        <w:t>As with previous years</w:t>
      </w:r>
      <w:r w:rsidR="00C71BA6">
        <w:rPr>
          <w:rFonts w:eastAsiaTheme="minorHAnsi" w:cs="Arial"/>
          <w:color w:val="auto"/>
        </w:rPr>
        <w:t>,</w:t>
      </w:r>
      <w:r w:rsidR="00C635EA">
        <w:rPr>
          <w:rFonts w:eastAsiaTheme="minorHAnsi" w:cs="Arial"/>
          <w:color w:val="auto"/>
        </w:rPr>
        <w:t xml:space="preserve"> t</w:t>
      </w:r>
      <w:r>
        <w:rPr>
          <w:rFonts w:eastAsiaTheme="minorHAnsi" w:cs="Arial"/>
          <w:color w:val="auto"/>
        </w:rPr>
        <w:t xml:space="preserve">his spend limit is allocated over each of the </w:t>
      </w:r>
      <w:r w:rsidR="00CE56BA">
        <w:rPr>
          <w:rFonts w:eastAsiaTheme="minorHAnsi" w:cs="Arial"/>
          <w:color w:val="auto"/>
        </w:rPr>
        <w:t>ERS Ti</w:t>
      </w:r>
      <w:r>
        <w:rPr>
          <w:rFonts w:eastAsiaTheme="minorHAnsi" w:cs="Arial"/>
          <w:color w:val="auto"/>
        </w:rPr>
        <w:t xml:space="preserve">me </w:t>
      </w:r>
      <w:r w:rsidR="00CE56BA">
        <w:rPr>
          <w:rFonts w:eastAsiaTheme="minorHAnsi" w:cs="Arial"/>
          <w:color w:val="auto"/>
        </w:rPr>
        <w:t>P</w:t>
      </w:r>
      <w:r>
        <w:rPr>
          <w:rFonts w:eastAsiaTheme="minorHAnsi" w:cs="Arial"/>
          <w:color w:val="auto"/>
        </w:rPr>
        <w:t xml:space="preserve">eriods in the </w:t>
      </w:r>
      <w:r w:rsidR="00244ABA">
        <w:rPr>
          <w:rFonts w:eastAsiaTheme="minorHAnsi" w:cs="Arial"/>
          <w:color w:val="auto"/>
        </w:rPr>
        <w:t xml:space="preserve">ERS </w:t>
      </w:r>
      <w:r>
        <w:rPr>
          <w:rFonts w:eastAsiaTheme="minorHAnsi" w:cs="Arial"/>
          <w:color w:val="auto"/>
        </w:rPr>
        <w:t>program year using risk</w:t>
      </w:r>
      <w:r w:rsidR="00C71BA6">
        <w:rPr>
          <w:rFonts w:eastAsiaTheme="minorHAnsi" w:cs="Arial"/>
          <w:color w:val="auto"/>
        </w:rPr>
        <w:t>-</w:t>
      </w:r>
      <w:r>
        <w:rPr>
          <w:rFonts w:eastAsiaTheme="minorHAnsi" w:cs="Arial"/>
          <w:color w:val="auto"/>
        </w:rPr>
        <w:t xml:space="preserve">weighting factors assigned to each </w:t>
      </w:r>
      <w:r w:rsidR="00CE56BA">
        <w:rPr>
          <w:rFonts w:eastAsiaTheme="minorHAnsi" w:cs="Arial"/>
          <w:color w:val="auto"/>
        </w:rPr>
        <w:t xml:space="preserve">ERS Time Period </w:t>
      </w:r>
      <w:r>
        <w:rPr>
          <w:rFonts w:eastAsiaTheme="minorHAnsi" w:cs="Arial"/>
          <w:color w:val="auto"/>
        </w:rPr>
        <w:t>by ERCOT operations. The risk</w:t>
      </w:r>
      <w:r w:rsidR="00C71BA6">
        <w:rPr>
          <w:rFonts w:eastAsiaTheme="minorHAnsi" w:cs="Arial"/>
          <w:color w:val="auto"/>
        </w:rPr>
        <w:t>-</w:t>
      </w:r>
      <w:r>
        <w:rPr>
          <w:rFonts w:eastAsiaTheme="minorHAnsi" w:cs="Arial"/>
          <w:color w:val="auto"/>
        </w:rPr>
        <w:t>weighting factors are values from 1 to 100</w:t>
      </w:r>
      <w:r w:rsidR="00606B25">
        <w:rPr>
          <w:rFonts w:eastAsiaTheme="minorHAnsi" w:cs="Arial"/>
          <w:color w:val="auto"/>
        </w:rPr>
        <w:t>,</w:t>
      </w:r>
      <w:r>
        <w:rPr>
          <w:rFonts w:eastAsiaTheme="minorHAnsi" w:cs="Arial"/>
          <w:color w:val="auto"/>
        </w:rPr>
        <w:t xml:space="preserve"> with 100 representing the highest risk of ERCOT </w:t>
      </w:r>
      <w:r w:rsidR="000D71D1">
        <w:rPr>
          <w:rFonts w:eastAsiaTheme="minorHAnsi" w:cs="Arial"/>
          <w:color w:val="auto"/>
        </w:rPr>
        <w:t xml:space="preserve">deploying ERS when the </w:t>
      </w:r>
      <w:r w:rsidR="005E4D8B">
        <w:rPr>
          <w:rFonts w:eastAsiaTheme="minorHAnsi" w:cs="Arial"/>
          <w:color w:val="auto"/>
        </w:rPr>
        <w:t>PRC drops below the 3,000 MW threshold</w:t>
      </w:r>
      <w:r>
        <w:rPr>
          <w:rFonts w:eastAsiaTheme="minorHAnsi" w:cs="Arial"/>
          <w:color w:val="auto"/>
        </w:rPr>
        <w:t xml:space="preserve">. </w:t>
      </w:r>
    </w:p>
    <w:p w14:paraId="722D5077" w14:textId="77777777" w:rsidR="000E55D9" w:rsidRDefault="000E55D9" w:rsidP="00CE56BA">
      <w:pPr>
        <w:jc w:val="both"/>
        <w:rPr>
          <w:rFonts w:eastAsiaTheme="minorHAnsi" w:cs="Arial"/>
          <w:color w:val="auto"/>
        </w:rPr>
      </w:pPr>
    </w:p>
    <w:p w14:paraId="53D8C572" w14:textId="5113FF7F" w:rsidR="000E55D9" w:rsidRDefault="007A21C3" w:rsidP="00383089">
      <w:pPr>
        <w:jc w:val="both"/>
        <w:rPr>
          <w:rFonts w:eastAsiaTheme="minorHAnsi" w:cs="Arial"/>
          <w:color w:val="auto"/>
        </w:rPr>
      </w:pPr>
      <w:r>
        <w:rPr>
          <w:rFonts w:eastAsiaTheme="minorHAnsi" w:cs="Arial"/>
          <w:color w:val="auto"/>
        </w:rPr>
        <w:t xml:space="preserve">The procured capacity for each ERS </w:t>
      </w:r>
      <w:r w:rsidR="00864DAB">
        <w:rPr>
          <w:rFonts w:eastAsiaTheme="minorHAnsi" w:cs="Arial"/>
          <w:color w:val="auto"/>
        </w:rPr>
        <w:t xml:space="preserve">service </w:t>
      </w:r>
      <w:r>
        <w:rPr>
          <w:rFonts w:eastAsiaTheme="minorHAnsi" w:cs="Arial"/>
          <w:color w:val="auto"/>
        </w:rPr>
        <w:t xml:space="preserve">type, by </w:t>
      </w:r>
      <w:r w:rsidR="00CE56BA">
        <w:rPr>
          <w:rFonts w:eastAsiaTheme="minorHAnsi" w:cs="Arial"/>
          <w:color w:val="auto"/>
        </w:rPr>
        <w:t xml:space="preserve">ERS Time Period </w:t>
      </w:r>
      <w:r>
        <w:rPr>
          <w:rFonts w:eastAsiaTheme="minorHAnsi" w:cs="Arial"/>
          <w:color w:val="auto"/>
        </w:rPr>
        <w:t>and by Standard Contract Term</w:t>
      </w:r>
      <w:r w:rsidR="00194E63">
        <w:rPr>
          <w:rFonts w:eastAsiaTheme="minorHAnsi" w:cs="Arial"/>
          <w:color w:val="auto"/>
        </w:rPr>
        <w:t xml:space="preserve"> (SCT)</w:t>
      </w:r>
      <w:r>
        <w:rPr>
          <w:rFonts w:eastAsiaTheme="minorHAnsi" w:cs="Arial"/>
          <w:color w:val="auto"/>
        </w:rPr>
        <w:t xml:space="preserve">, for the </w:t>
      </w:r>
      <w:r w:rsidR="00B22A34">
        <w:rPr>
          <w:rFonts w:eastAsiaTheme="minorHAnsi" w:cs="Arial"/>
          <w:color w:val="auto"/>
        </w:rPr>
        <w:t>202</w:t>
      </w:r>
      <w:r w:rsidR="000E55D9">
        <w:rPr>
          <w:rFonts w:eastAsiaTheme="minorHAnsi" w:cs="Arial"/>
          <w:color w:val="auto"/>
        </w:rPr>
        <w:t>3</w:t>
      </w:r>
      <w:r w:rsidR="00B22A34">
        <w:rPr>
          <w:rFonts w:eastAsiaTheme="minorHAnsi" w:cs="Arial"/>
          <w:color w:val="auto"/>
        </w:rPr>
        <w:t xml:space="preserve"> </w:t>
      </w:r>
      <w:r>
        <w:rPr>
          <w:rFonts w:eastAsiaTheme="minorHAnsi" w:cs="Arial"/>
          <w:color w:val="auto"/>
        </w:rPr>
        <w:t xml:space="preserve">ERS </w:t>
      </w:r>
      <w:r w:rsidR="00C71BA6">
        <w:rPr>
          <w:rFonts w:eastAsiaTheme="minorHAnsi" w:cs="Arial"/>
          <w:color w:val="auto"/>
        </w:rPr>
        <w:t>program</w:t>
      </w:r>
      <w:r w:rsidR="00514C7B">
        <w:rPr>
          <w:rFonts w:eastAsiaTheme="minorHAnsi" w:cs="Arial"/>
          <w:color w:val="auto"/>
        </w:rPr>
        <w:t xml:space="preserve"> </w:t>
      </w:r>
      <w:r w:rsidR="00607581">
        <w:rPr>
          <w:rFonts w:eastAsiaTheme="minorHAnsi" w:cs="Arial"/>
          <w:color w:val="auto"/>
        </w:rPr>
        <w:t>year</w:t>
      </w:r>
      <w:r w:rsidR="006A3AC7">
        <w:rPr>
          <w:rFonts w:eastAsiaTheme="minorHAnsi" w:cs="Arial"/>
          <w:color w:val="auto"/>
        </w:rPr>
        <w:t xml:space="preserve"> is</w:t>
      </w:r>
      <w:r w:rsidR="00607581">
        <w:rPr>
          <w:rFonts w:eastAsiaTheme="minorHAnsi" w:cs="Arial"/>
          <w:color w:val="auto"/>
        </w:rPr>
        <w:t xml:space="preserve"> shown in Table </w:t>
      </w:r>
      <w:r w:rsidR="009370FC">
        <w:rPr>
          <w:rFonts w:eastAsiaTheme="minorHAnsi" w:cs="Arial"/>
          <w:color w:val="auto"/>
        </w:rPr>
        <w:t>10</w:t>
      </w:r>
      <w:r w:rsidR="00D12D73">
        <w:rPr>
          <w:rFonts w:eastAsiaTheme="minorHAnsi" w:cs="Arial"/>
          <w:color w:val="auto"/>
        </w:rPr>
        <w:t xml:space="preserve"> </w:t>
      </w:r>
      <w:r>
        <w:rPr>
          <w:rFonts w:eastAsiaTheme="minorHAnsi" w:cs="Arial"/>
          <w:color w:val="auto"/>
        </w:rPr>
        <w:t>below.</w:t>
      </w:r>
    </w:p>
    <w:p w14:paraId="06430B00" w14:textId="77777777" w:rsidR="0014079F" w:rsidRDefault="0014079F" w:rsidP="00383089">
      <w:pPr>
        <w:jc w:val="both"/>
        <w:rPr>
          <w:rFonts w:eastAsiaTheme="minorHAnsi" w:cs="Arial"/>
          <w:color w:val="auto"/>
        </w:rPr>
      </w:pPr>
    </w:p>
    <w:p w14:paraId="1800F1EF" w14:textId="12D36FEA" w:rsidR="000E55D9" w:rsidRDefault="000E55D9" w:rsidP="00383089">
      <w:pPr>
        <w:jc w:val="both"/>
        <w:rPr>
          <w:i/>
          <w:iCs/>
          <w:color w:val="000000" w:themeColor="text1"/>
          <w:sz w:val="16"/>
          <w:szCs w:val="16"/>
        </w:rPr>
      </w:pPr>
      <w:r w:rsidRPr="000E55D9">
        <w:rPr>
          <w:rFonts w:eastAsiaTheme="minorHAnsi" w:cs="Arial"/>
          <w:i/>
          <w:iCs/>
          <w:color w:val="auto"/>
          <w:sz w:val="16"/>
          <w:szCs w:val="16"/>
        </w:rPr>
        <w:t xml:space="preserve">Table </w:t>
      </w:r>
      <w:r w:rsidR="009370FC">
        <w:rPr>
          <w:i/>
          <w:iCs/>
          <w:color w:val="auto"/>
          <w:sz w:val="16"/>
          <w:szCs w:val="16"/>
        </w:rPr>
        <w:t>10</w:t>
      </w:r>
      <w:r w:rsidR="00C71BA6">
        <w:rPr>
          <w:i/>
          <w:iCs/>
          <w:color w:val="auto"/>
          <w:sz w:val="16"/>
          <w:szCs w:val="16"/>
        </w:rPr>
        <w:t xml:space="preserve">: </w:t>
      </w:r>
      <w:r w:rsidR="007A21C3" w:rsidRPr="000E55D9">
        <w:rPr>
          <w:i/>
          <w:iCs/>
          <w:color w:val="auto"/>
          <w:sz w:val="16"/>
          <w:szCs w:val="16"/>
        </w:rPr>
        <w:t xml:space="preserve">Procured </w:t>
      </w:r>
      <w:r w:rsidR="007A21C3" w:rsidRPr="000E55D9">
        <w:rPr>
          <w:i/>
          <w:iCs/>
          <w:color w:val="000000" w:themeColor="text1"/>
          <w:sz w:val="16"/>
          <w:szCs w:val="16"/>
        </w:rPr>
        <w:t>capacity (MWs) by time</w:t>
      </w:r>
      <w:r w:rsidR="00383089" w:rsidRPr="000E55D9">
        <w:rPr>
          <w:i/>
          <w:iCs/>
          <w:color w:val="000000" w:themeColor="text1"/>
          <w:sz w:val="16"/>
          <w:szCs w:val="16"/>
        </w:rPr>
        <w:t>-</w:t>
      </w:r>
      <w:r w:rsidR="007A21C3" w:rsidRPr="000E55D9">
        <w:rPr>
          <w:i/>
          <w:iCs/>
          <w:color w:val="000000" w:themeColor="text1"/>
          <w:sz w:val="16"/>
          <w:szCs w:val="16"/>
        </w:rPr>
        <w:t>period for the four service types during each of the</w:t>
      </w:r>
      <w:r w:rsidR="00B22A34" w:rsidRPr="000E55D9">
        <w:rPr>
          <w:i/>
          <w:iCs/>
          <w:color w:val="000000" w:themeColor="text1"/>
          <w:sz w:val="16"/>
          <w:szCs w:val="16"/>
        </w:rPr>
        <w:t xml:space="preserve"> four</w:t>
      </w:r>
      <w:r w:rsidR="007A21C3" w:rsidRPr="000E55D9">
        <w:rPr>
          <w:i/>
          <w:iCs/>
          <w:color w:val="000000" w:themeColor="text1"/>
          <w:sz w:val="16"/>
          <w:szCs w:val="16"/>
        </w:rPr>
        <w:t xml:space="preserve"> ERS </w:t>
      </w:r>
      <w:r w:rsidR="00194E63">
        <w:rPr>
          <w:i/>
          <w:iCs/>
          <w:color w:val="000000" w:themeColor="text1"/>
          <w:sz w:val="16"/>
          <w:szCs w:val="16"/>
        </w:rPr>
        <w:t>SCT</w:t>
      </w:r>
      <w:r w:rsidR="007A21C3" w:rsidRPr="000E55D9">
        <w:rPr>
          <w:i/>
          <w:iCs/>
          <w:color w:val="000000" w:themeColor="text1"/>
          <w:sz w:val="16"/>
          <w:szCs w:val="16"/>
        </w:rPr>
        <w:t>s</w:t>
      </w:r>
    </w:p>
    <w:p w14:paraId="273B32A3" w14:textId="30B246EB" w:rsidR="00E25355" w:rsidRPr="00E25355" w:rsidRDefault="00E25355" w:rsidP="00383089">
      <w:pPr>
        <w:jc w:val="both"/>
        <w:rPr>
          <w:iCs/>
          <w:sz w:val="16"/>
          <w:szCs w:val="16"/>
        </w:rPr>
      </w:pPr>
      <w:r>
        <w:rPr>
          <w:noProof/>
        </w:rPr>
        <w:drawing>
          <wp:inline distT="0" distB="0" distL="0" distR="0" wp14:anchorId="42576B48" wp14:editId="26530C47">
            <wp:extent cx="5943600" cy="37007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00780"/>
                    </a:xfrm>
                    <a:prstGeom prst="rect">
                      <a:avLst/>
                    </a:prstGeom>
                  </pic:spPr>
                </pic:pic>
              </a:graphicData>
            </a:graphic>
          </wp:inline>
        </w:drawing>
      </w:r>
    </w:p>
    <w:p w14:paraId="06EED961" w14:textId="6C4CDCEA" w:rsidR="007A21C3" w:rsidRPr="00E25355" w:rsidRDefault="007A21C3" w:rsidP="00383089">
      <w:pPr>
        <w:jc w:val="both"/>
        <w:rPr>
          <w:iCs/>
          <w:sz w:val="16"/>
          <w:szCs w:val="16"/>
        </w:rPr>
      </w:pPr>
      <w:r w:rsidRPr="00E25355">
        <w:rPr>
          <w:iCs/>
          <w:sz w:val="16"/>
          <w:szCs w:val="16"/>
        </w:rPr>
        <w:lastRenderedPageBreak/>
        <w:t xml:space="preserve"> </w:t>
      </w:r>
      <w:r w:rsidR="00D41A06" w:rsidRPr="007D58D5">
        <w:rPr>
          <w:rFonts w:eastAsiaTheme="minorHAnsi"/>
          <w:noProof/>
        </w:rPr>
        <w:drawing>
          <wp:inline distT="0" distB="0" distL="0" distR="0" wp14:anchorId="5BC3DF3D" wp14:editId="70D7652B">
            <wp:extent cx="5943600" cy="18273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288" r="30452" b="-1647"/>
                    <a:stretch/>
                  </pic:blipFill>
                  <pic:spPr bwMode="auto">
                    <a:xfrm>
                      <a:off x="0" y="0"/>
                      <a:ext cx="5943600" cy="1827396"/>
                    </a:xfrm>
                    <a:prstGeom prst="rect">
                      <a:avLst/>
                    </a:prstGeom>
                    <a:noFill/>
                    <a:ln>
                      <a:noFill/>
                    </a:ln>
                    <a:extLst>
                      <a:ext uri="{53640926-AAD7-44D8-BBD7-CCE9431645EC}">
                        <a14:shadowObscured xmlns:a14="http://schemas.microsoft.com/office/drawing/2010/main"/>
                      </a:ext>
                    </a:extLst>
                  </pic:spPr>
                </pic:pic>
              </a:graphicData>
            </a:graphic>
          </wp:inline>
        </w:drawing>
      </w:r>
    </w:p>
    <w:p w14:paraId="20A27F95" w14:textId="77777777" w:rsidR="00D41A06" w:rsidRDefault="00D41A06" w:rsidP="007A21C3">
      <w:pPr>
        <w:jc w:val="both"/>
        <w:rPr>
          <w:rFonts w:eastAsiaTheme="minorHAnsi" w:cs="Arial"/>
          <w:color w:val="auto"/>
        </w:rPr>
      </w:pPr>
    </w:p>
    <w:p w14:paraId="6C4FA5AE" w14:textId="001F3225" w:rsidR="007A21C3" w:rsidRDefault="00607581" w:rsidP="007A21C3">
      <w:pPr>
        <w:jc w:val="both"/>
        <w:rPr>
          <w:rFonts w:eastAsiaTheme="minorHAnsi" w:cs="Arial"/>
          <w:color w:val="auto"/>
        </w:rPr>
      </w:pPr>
      <w:r>
        <w:rPr>
          <w:rFonts w:eastAsiaTheme="minorHAnsi" w:cs="Arial"/>
          <w:color w:val="auto"/>
        </w:rPr>
        <w:t xml:space="preserve">Table </w:t>
      </w:r>
      <w:r w:rsidR="009370FC">
        <w:rPr>
          <w:rFonts w:eastAsiaTheme="minorHAnsi" w:cs="Arial"/>
          <w:color w:val="auto"/>
        </w:rPr>
        <w:t>11</w:t>
      </w:r>
      <w:r w:rsidR="00D12D73">
        <w:rPr>
          <w:rFonts w:eastAsiaTheme="minorHAnsi" w:cs="Arial"/>
          <w:color w:val="auto"/>
        </w:rPr>
        <w:t xml:space="preserve"> </w:t>
      </w:r>
      <w:r w:rsidR="007A21C3">
        <w:rPr>
          <w:rFonts w:eastAsiaTheme="minorHAnsi" w:cs="Arial"/>
          <w:color w:val="auto"/>
        </w:rPr>
        <w:t>below represents the MW</w:t>
      </w:r>
      <w:r w:rsidR="00C71BA6">
        <w:rPr>
          <w:rFonts w:eastAsiaTheme="minorHAnsi" w:cs="Arial"/>
          <w:color w:val="auto"/>
        </w:rPr>
        <w:t>-</w:t>
      </w:r>
      <w:r w:rsidR="007A21C3">
        <w:rPr>
          <w:rFonts w:eastAsiaTheme="minorHAnsi" w:cs="Arial"/>
          <w:color w:val="auto"/>
        </w:rPr>
        <w:t>per</w:t>
      </w:r>
      <w:r w:rsidR="00C71BA6">
        <w:rPr>
          <w:rFonts w:eastAsiaTheme="minorHAnsi" w:cs="Arial"/>
          <w:color w:val="auto"/>
        </w:rPr>
        <w:t>-</w:t>
      </w:r>
      <w:r w:rsidR="007A21C3">
        <w:rPr>
          <w:rFonts w:eastAsiaTheme="minorHAnsi" w:cs="Arial"/>
          <w:color w:val="auto"/>
        </w:rPr>
        <w:t xml:space="preserve">hour cost of ERS for each </w:t>
      </w:r>
      <w:r w:rsidR="00C71BA6">
        <w:rPr>
          <w:rFonts w:eastAsiaTheme="minorHAnsi" w:cs="Arial"/>
          <w:color w:val="auto"/>
        </w:rPr>
        <w:t>ERS T</w:t>
      </w:r>
      <w:r w:rsidR="007A21C3">
        <w:rPr>
          <w:rFonts w:eastAsiaTheme="minorHAnsi" w:cs="Arial"/>
          <w:color w:val="auto"/>
        </w:rPr>
        <w:t xml:space="preserve">ime </w:t>
      </w:r>
      <w:r w:rsidR="00C71BA6">
        <w:rPr>
          <w:rFonts w:eastAsiaTheme="minorHAnsi" w:cs="Arial"/>
          <w:color w:val="auto"/>
        </w:rPr>
        <w:t>P</w:t>
      </w:r>
      <w:r w:rsidR="007A21C3">
        <w:rPr>
          <w:rFonts w:eastAsiaTheme="minorHAnsi" w:cs="Arial"/>
          <w:color w:val="auto"/>
        </w:rPr>
        <w:t>eriod dating back to the February through May 20</w:t>
      </w:r>
      <w:r w:rsidR="00E25355">
        <w:rPr>
          <w:rFonts w:eastAsiaTheme="minorHAnsi" w:cs="Arial"/>
          <w:color w:val="auto"/>
        </w:rPr>
        <w:t>21</w:t>
      </w:r>
      <w:r w:rsidR="007A21C3">
        <w:rPr>
          <w:rFonts w:eastAsiaTheme="minorHAnsi" w:cs="Arial"/>
          <w:color w:val="auto"/>
        </w:rPr>
        <w:t xml:space="preserve"> </w:t>
      </w:r>
      <w:r w:rsidR="00194E63">
        <w:rPr>
          <w:rFonts w:eastAsiaTheme="minorHAnsi" w:cs="Arial"/>
          <w:color w:val="auto"/>
        </w:rPr>
        <w:t>SCT</w:t>
      </w:r>
      <w:r w:rsidR="007A21C3">
        <w:rPr>
          <w:rFonts w:eastAsiaTheme="minorHAnsi" w:cs="Arial"/>
          <w:color w:val="auto"/>
        </w:rPr>
        <w:t xml:space="preserve">. </w:t>
      </w:r>
    </w:p>
    <w:p w14:paraId="4693FEA5" w14:textId="77777777" w:rsidR="000B538D" w:rsidRDefault="000B538D">
      <w:pPr>
        <w:rPr>
          <w:i/>
          <w:sz w:val="18"/>
          <w:szCs w:val="18"/>
        </w:rPr>
      </w:pPr>
    </w:p>
    <w:p w14:paraId="45B61777" w14:textId="13F1369C" w:rsidR="0038226F" w:rsidRPr="005405A7" w:rsidRDefault="007A21C3" w:rsidP="007A21C3">
      <w:pPr>
        <w:jc w:val="both"/>
        <w:rPr>
          <w:rFonts w:eastAsiaTheme="minorHAnsi" w:cs="Arial"/>
          <w:iCs/>
          <w:color w:val="auto"/>
          <w:sz w:val="18"/>
          <w:szCs w:val="18"/>
        </w:rPr>
      </w:pPr>
      <w:r w:rsidRPr="00383089">
        <w:rPr>
          <w:i/>
          <w:sz w:val="16"/>
          <w:szCs w:val="16"/>
        </w:rPr>
        <w:t xml:space="preserve">Table </w:t>
      </w:r>
      <w:r w:rsidR="009370FC">
        <w:rPr>
          <w:i/>
          <w:sz w:val="16"/>
          <w:szCs w:val="16"/>
        </w:rPr>
        <w:t>11</w:t>
      </w:r>
      <w:r w:rsidR="00C71BA6">
        <w:rPr>
          <w:i/>
          <w:sz w:val="16"/>
          <w:szCs w:val="16"/>
        </w:rPr>
        <w:t xml:space="preserve">: </w:t>
      </w:r>
      <w:r w:rsidRPr="00383089">
        <w:rPr>
          <w:i/>
          <w:sz w:val="16"/>
          <w:szCs w:val="16"/>
        </w:rPr>
        <w:t xml:space="preserve">Unit cost per ERS Time Period per </w:t>
      </w:r>
      <w:r w:rsidR="00194E63">
        <w:rPr>
          <w:i/>
          <w:sz w:val="16"/>
          <w:szCs w:val="16"/>
        </w:rPr>
        <w:t>SCT</w:t>
      </w:r>
    </w:p>
    <w:p w14:paraId="4F5AC9E0" w14:textId="5CE73CF7" w:rsidR="00543394" w:rsidRDefault="0097670B" w:rsidP="007A21C3">
      <w:pPr>
        <w:jc w:val="both"/>
        <w:rPr>
          <w:rFonts w:eastAsiaTheme="minorHAnsi" w:cs="Arial"/>
          <w:color w:val="auto"/>
        </w:rPr>
      </w:pPr>
      <w:r>
        <w:rPr>
          <w:noProof/>
        </w:rPr>
        <w:drawing>
          <wp:inline distT="0" distB="0" distL="0" distR="0" wp14:anchorId="2E1AB3C3" wp14:editId="47B2A865">
            <wp:extent cx="5943600" cy="17684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68475"/>
                    </a:xfrm>
                    <a:prstGeom prst="rect">
                      <a:avLst/>
                    </a:prstGeom>
                  </pic:spPr>
                </pic:pic>
              </a:graphicData>
            </a:graphic>
          </wp:inline>
        </w:drawing>
      </w:r>
    </w:p>
    <w:p w14:paraId="17936AD2" w14:textId="77777777" w:rsidR="00AC2178" w:rsidRDefault="00AC2178" w:rsidP="007A21C3">
      <w:pPr>
        <w:jc w:val="both"/>
        <w:rPr>
          <w:rFonts w:eastAsiaTheme="minorHAnsi" w:cs="Arial"/>
          <w:color w:val="auto"/>
        </w:rPr>
      </w:pPr>
    </w:p>
    <w:p w14:paraId="076A683C" w14:textId="05CEC1B3" w:rsidR="007A21C3" w:rsidRDefault="007A21C3" w:rsidP="007A21C3">
      <w:pPr>
        <w:jc w:val="both"/>
        <w:rPr>
          <w:rFonts w:eastAsiaTheme="minorHAnsi" w:cs="Arial"/>
          <w:color w:val="auto"/>
        </w:rPr>
      </w:pPr>
      <w:r>
        <w:rPr>
          <w:rFonts w:eastAsiaTheme="minorHAnsi" w:cs="Arial"/>
          <w:color w:val="auto"/>
        </w:rPr>
        <w:t xml:space="preserve">Starting with the February through May 2013 </w:t>
      </w:r>
      <w:r w:rsidR="00194E63">
        <w:rPr>
          <w:rFonts w:eastAsiaTheme="minorHAnsi" w:cs="Arial"/>
          <w:color w:val="auto"/>
        </w:rPr>
        <w:t>SCT</w:t>
      </w:r>
      <w:r w:rsidR="00CE56BA">
        <w:rPr>
          <w:rFonts w:eastAsiaTheme="minorHAnsi" w:cs="Arial"/>
          <w:color w:val="auto"/>
        </w:rPr>
        <w:t>,</w:t>
      </w:r>
      <w:r>
        <w:rPr>
          <w:rFonts w:eastAsiaTheme="minorHAnsi" w:cs="Arial"/>
          <w:color w:val="auto"/>
        </w:rPr>
        <w:t xml:space="preserve"> ERCOT implemented changes that allowed certain types of small generators to provide ERS </w:t>
      </w:r>
      <w:r w:rsidR="00CE56BA">
        <w:rPr>
          <w:rFonts w:eastAsiaTheme="minorHAnsi" w:cs="Arial"/>
          <w:color w:val="auto"/>
        </w:rPr>
        <w:t xml:space="preserve">if </w:t>
      </w:r>
      <w:r>
        <w:rPr>
          <w:rFonts w:eastAsiaTheme="minorHAnsi" w:cs="Arial"/>
          <w:color w:val="auto"/>
        </w:rPr>
        <w:t xml:space="preserve">they are not a Generation Resource or a source of intermittent renewable generation. </w:t>
      </w:r>
      <w:r w:rsidR="00CE56BA">
        <w:rPr>
          <w:rFonts w:eastAsiaTheme="minorHAnsi" w:cs="Arial"/>
          <w:color w:val="auto"/>
        </w:rPr>
        <w:t xml:space="preserve">These ERS Generators </w:t>
      </w:r>
      <w:r>
        <w:rPr>
          <w:rFonts w:eastAsiaTheme="minorHAnsi" w:cs="Arial"/>
          <w:color w:val="auto"/>
        </w:rPr>
        <w:t>can consist of an individual generator or an aggregation of such generators</w:t>
      </w:r>
      <w:r w:rsidR="00CE56BA">
        <w:rPr>
          <w:rFonts w:eastAsiaTheme="minorHAnsi" w:cs="Arial"/>
          <w:color w:val="auto"/>
        </w:rPr>
        <w:t>,</w:t>
      </w:r>
      <w:r>
        <w:rPr>
          <w:rFonts w:eastAsiaTheme="minorHAnsi" w:cs="Arial"/>
          <w:color w:val="auto"/>
        </w:rPr>
        <w:t xml:space="preserve"> and </w:t>
      </w:r>
      <w:r w:rsidR="00CE56BA">
        <w:rPr>
          <w:rFonts w:eastAsiaTheme="minorHAnsi" w:cs="Arial"/>
          <w:color w:val="auto"/>
        </w:rPr>
        <w:t xml:space="preserve">they </w:t>
      </w:r>
      <w:r>
        <w:rPr>
          <w:rFonts w:eastAsiaTheme="minorHAnsi" w:cs="Arial"/>
          <w:color w:val="auto"/>
        </w:rPr>
        <w:t>participate</w:t>
      </w:r>
      <w:r w:rsidR="00CE56BA">
        <w:rPr>
          <w:rFonts w:eastAsiaTheme="minorHAnsi" w:cs="Arial"/>
          <w:color w:val="auto"/>
        </w:rPr>
        <w:t xml:space="preserve"> in ERS</w:t>
      </w:r>
      <w:r>
        <w:rPr>
          <w:rFonts w:eastAsiaTheme="minorHAnsi" w:cs="Arial"/>
          <w:color w:val="auto"/>
        </w:rPr>
        <w:t xml:space="preserve"> by injecting energy into the ERCOT System.</w:t>
      </w:r>
      <w:r w:rsidR="00E40650">
        <w:rPr>
          <w:rFonts w:eastAsiaTheme="minorHAnsi" w:cs="Arial"/>
          <w:color w:val="auto"/>
        </w:rPr>
        <w:t xml:space="preserve"> </w:t>
      </w:r>
      <w:r w:rsidR="005B3632">
        <w:rPr>
          <w:rFonts w:eastAsiaTheme="minorHAnsi" w:cs="Arial"/>
          <w:color w:val="auto"/>
        </w:rPr>
        <w:t xml:space="preserve">Graph </w:t>
      </w:r>
      <w:r w:rsidR="00166A8A">
        <w:rPr>
          <w:rFonts w:eastAsiaTheme="minorHAnsi" w:cs="Arial"/>
          <w:color w:val="auto"/>
        </w:rPr>
        <w:t xml:space="preserve">1 </w:t>
      </w:r>
      <w:r w:rsidR="005B3632">
        <w:rPr>
          <w:rFonts w:eastAsiaTheme="minorHAnsi" w:cs="Arial"/>
          <w:color w:val="auto"/>
        </w:rPr>
        <w:t xml:space="preserve">below shows the historical capacity procured from ERS Generators. </w:t>
      </w:r>
      <w:r w:rsidR="00E40650">
        <w:rPr>
          <w:rFonts w:eastAsiaTheme="minorHAnsi" w:cs="Arial"/>
          <w:color w:val="auto"/>
        </w:rPr>
        <w:t>The</w:t>
      </w:r>
      <w:r w:rsidR="005B3632">
        <w:rPr>
          <w:rFonts w:eastAsiaTheme="minorHAnsi" w:cs="Arial"/>
          <w:color w:val="auto"/>
        </w:rPr>
        <w:t>ir</w:t>
      </w:r>
      <w:r w:rsidR="00E40650">
        <w:rPr>
          <w:rFonts w:eastAsiaTheme="minorHAnsi" w:cs="Arial"/>
          <w:color w:val="auto"/>
        </w:rPr>
        <w:t xml:space="preserve"> </w:t>
      </w:r>
      <w:r w:rsidR="00476720">
        <w:rPr>
          <w:rFonts w:eastAsiaTheme="minorHAnsi" w:cs="Arial"/>
          <w:color w:val="auto"/>
        </w:rPr>
        <w:t xml:space="preserve">historical </w:t>
      </w:r>
      <w:r w:rsidR="00E40650">
        <w:rPr>
          <w:rFonts w:eastAsiaTheme="minorHAnsi" w:cs="Arial"/>
          <w:color w:val="auto"/>
        </w:rPr>
        <w:t xml:space="preserve">participation </w:t>
      </w:r>
      <w:r w:rsidR="005B3632">
        <w:rPr>
          <w:rFonts w:eastAsiaTheme="minorHAnsi" w:cs="Arial"/>
          <w:color w:val="auto"/>
        </w:rPr>
        <w:t xml:space="preserve">peaked </w:t>
      </w:r>
      <w:r w:rsidR="000A34D9">
        <w:rPr>
          <w:rFonts w:eastAsiaTheme="minorHAnsi" w:cs="Arial"/>
          <w:color w:val="auto"/>
        </w:rPr>
        <w:t xml:space="preserve">and </w:t>
      </w:r>
      <w:r w:rsidR="00E40650">
        <w:rPr>
          <w:rFonts w:eastAsiaTheme="minorHAnsi" w:cs="Arial"/>
          <w:color w:val="auto"/>
        </w:rPr>
        <w:t>leveled out at approximately 300 MW starting in 2016. Th</w:t>
      </w:r>
      <w:r w:rsidR="00AE1E32">
        <w:rPr>
          <w:rFonts w:eastAsiaTheme="minorHAnsi" w:cs="Arial"/>
          <w:color w:val="auto"/>
        </w:rPr>
        <w:t>is</w:t>
      </w:r>
      <w:r w:rsidR="00E40650">
        <w:rPr>
          <w:rFonts w:eastAsiaTheme="minorHAnsi" w:cs="Arial"/>
          <w:color w:val="auto"/>
        </w:rPr>
        <w:t xml:space="preserve"> trend </w:t>
      </w:r>
      <w:r w:rsidR="00AE1E32">
        <w:rPr>
          <w:rFonts w:eastAsiaTheme="minorHAnsi" w:cs="Arial"/>
          <w:color w:val="auto"/>
        </w:rPr>
        <w:t xml:space="preserve">has </w:t>
      </w:r>
      <w:r w:rsidR="00E40650">
        <w:rPr>
          <w:rFonts w:eastAsiaTheme="minorHAnsi" w:cs="Arial"/>
          <w:color w:val="auto"/>
        </w:rPr>
        <w:t xml:space="preserve">remained constant </w:t>
      </w:r>
      <w:r w:rsidR="00A2519F">
        <w:rPr>
          <w:rFonts w:eastAsiaTheme="minorHAnsi" w:cs="Arial"/>
          <w:color w:val="auto"/>
        </w:rPr>
        <w:t xml:space="preserve">over the program years </w:t>
      </w:r>
      <w:r w:rsidR="00164561">
        <w:rPr>
          <w:rFonts w:eastAsiaTheme="minorHAnsi" w:cs="Arial"/>
          <w:color w:val="auto"/>
        </w:rPr>
        <w:t xml:space="preserve">since </w:t>
      </w:r>
      <w:r w:rsidR="009370FC">
        <w:rPr>
          <w:rFonts w:eastAsiaTheme="minorHAnsi" w:cs="Arial"/>
          <w:color w:val="auto"/>
        </w:rPr>
        <w:t>that time</w:t>
      </w:r>
      <w:r w:rsidR="00164561">
        <w:rPr>
          <w:rFonts w:eastAsiaTheme="minorHAnsi" w:cs="Arial"/>
          <w:color w:val="auto"/>
        </w:rPr>
        <w:t xml:space="preserve"> </w:t>
      </w:r>
      <w:r w:rsidR="00A2519F">
        <w:rPr>
          <w:rFonts w:eastAsiaTheme="minorHAnsi" w:cs="Arial"/>
          <w:color w:val="auto"/>
        </w:rPr>
        <w:t>with only seasonal variations occurring.</w:t>
      </w:r>
      <w:r>
        <w:rPr>
          <w:rFonts w:eastAsiaTheme="minorHAnsi" w:cs="Arial"/>
          <w:color w:val="auto"/>
        </w:rPr>
        <w:t xml:space="preserve"> </w:t>
      </w:r>
    </w:p>
    <w:p w14:paraId="182D7215" w14:textId="77777777" w:rsidR="00E777CE" w:rsidRDefault="00E777CE" w:rsidP="007A21C3">
      <w:pPr>
        <w:jc w:val="both"/>
        <w:rPr>
          <w:rFonts w:eastAsiaTheme="minorHAnsi" w:cs="Arial"/>
          <w:color w:val="auto"/>
        </w:rPr>
      </w:pPr>
    </w:p>
    <w:p w14:paraId="3E28E66A" w14:textId="6F216D78" w:rsidR="00543394" w:rsidRDefault="007A21C3" w:rsidP="00C71BA6">
      <w:pPr>
        <w:keepNext/>
        <w:jc w:val="both"/>
        <w:rPr>
          <w:rFonts w:eastAsiaTheme="minorHAnsi" w:cs="Arial"/>
          <w:color w:val="auto"/>
        </w:rPr>
      </w:pPr>
      <w:r w:rsidRPr="00383089">
        <w:rPr>
          <w:i/>
          <w:sz w:val="16"/>
          <w:szCs w:val="16"/>
        </w:rPr>
        <w:lastRenderedPageBreak/>
        <w:t xml:space="preserve">Graph </w:t>
      </w:r>
      <w:r w:rsidR="00793875" w:rsidRPr="00383089">
        <w:rPr>
          <w:i/>
          <w:sz w:val="16"/>
          <w:szCs w:val="16"/>
        </w:rPr>
        <w:t>1</w:t>
      </w:r>
      <w:r w:rsidR="00C71BA6">
        <w:rPr>
          <w:i/>
          <w:sz w:val="16"/>
          <w:szCs w:val="16"/>
        </w:rPr>
        <w:t xml:space="preserve">: </w:t>
      </w:r>
      <w:r w:rsidRPr="00383089">
        <w:rPr>
          <w:i/>
          <w:sz w:val="16"/>
          <w:szCs w:val="16"/>
        </w:rPr>
        <w:t xml:space="preserve">ERS Generator </w:t>
      </w:r>
      <w:r w:rsidR="00F50EAF" w:rsidRPr="00383089">
        <w:rPr>
          <w:i/>
          <w:sz w:val="16"/>
          <w:szCs w:val="16"/>
        </w:rPr>
        <w:t>capacity procured</w:t>
      </w:r>
      <w:r w:rsidRPr="00383089">
        <w:rPr>
          <w:i/>
          <w:sz w:val="16"/>
          <w:szCs w:val="16"/>
        </w:rPr>
        <w:t xml:space="preserve">, values are time and capacity weighted per each </w:t>
      </w:r>
      <w:proofErr w:type="gramStart"/>
      <w:r w:rsidR="00194E63">
        <w:rPr>
          <w:i/>
          <w:sz w:val="16"/>
          <w:szCs w:val="16"/>
        </w:rPr>
        <w:t>SCT</w:t>
      </w:r>
      <w:proofErr w:type="gramEnd"/>
      <w:r w:rsidRPr="00383089">
        <w:rPr>
          <w:noProof/>
          <w:sz w:val="16"/>
          <w:szCs w:val="16"/>
        </w:rPr>
        <w:t xml:space="preserve"> </w:t>
      </w:r>
    </w:p>
    <w:p w14:paraId="5CC8FC97" w14:textId="30AF9CFD" w:rsidR="002A67D1" w:rsidRDefault="008A6D0B" w:rsidP="00C71BA6">
      <w:pPr>
        <w:keepNext/>
        <w:jc w:val="both"/>
        <w:rPr>
          <w:rFonts w:eastAsiaTheme="minorHAnsi" w:cs="Arial"/>
          <w:color w:val="auto"/>
        </w:rPr>
      </w:pPr>
      <w:r>
        <w:rPr>
          <w:noProof/>
        </w:rPr>
        <w:drawing>
          <wp:inline distT="0" distB="0" distL="0" distR="0" wp14:anchorId="5C266269" wp14:editId="474BA618">
            <wp:extent cx="5943600" cy="2776220"/>
            <wp:effectExtent l="0" t="0" r="0" b="5080"/>
            <wp:docPr id="9" name="Chart 9">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EE9A006" w14:textId="77777777" w:rsidR="00D41A06" w:rsidRDefault="00D41A06" w:rsidP="00C71BA6">
      <w:pPr>
        <w:keepNext/>
        <w:jc w:val="both"/>
        <w:rPr>
          <w:rFonts w:eastAsiaTheme="minorHAnsi" w:cs="Arial"/>
          <w:color w:val="auto"/>
        </w:rPr>
      </w:pPr>
    </w:p>
    <w:p w14:paraId="55415DD1" w14:textId="5063480F" w:rsidR="007D537E" w:rsidRDefault="009370FC" w:rsidP="007A21C3">
      <w:pPr>
        <w:jc w:val="both"/>
        <w:rPr>
          <w:rFonts w:eastAsiaTheme="minorHAnsi" w:cs="Arial"/>
          <w:color w:val="auto"/>
        </w:rPr>
      </w:pPr>
      <w:r>
        <w:rPr>
          <w:rFonts w:eastAsiaTheme="minorHAnsi" w:cs="Arial"/>
          <w:color w:val="auto"/>
        </w:rPr>
        <w:t xml:space="preserve">Following each ERS </w:t>
      </w:r>
      <w:r w:rsidR="00194E63">
        <w:rPr>
          <w:rFonts w:eastAsiaTheme="minorHAnsi" w:cs="Arial"/>
          <w:color w:val="auto"/>
        </w:rPr>
        <w:t>SCT</w:t>
      </w:r>
      <w:r>
        <w:rPr>
          <w:rFonts w:eastAsiaTheme="minorHAnsi" w:cs="Arial"/>
          <w:color w:val="auto"/>
        </w:rPr>
        <w:t xml:space="preserve">, ERCOT calculates the delivered amount of ERS capacity per QSE for each ERS Time Period based on test/event performance and availability results. The delivered amount of ERS capacity ultimately determines final settlement payments for QSEs. Graph 2 below shows the difference between the procured capacity and the delivered capacity for each </w:t>
      </w:r>
      <w:r w:rsidR="00194E63">
        <w:rPr>
          <w:rFonts w:eastAsiaTheme="minorHAnsi" w:cs="Arial"/>
          <w:color w:val="auto"/>
        </w:rPr>
        <w:t>SCT</w:t>
      </w:r>
      <w:r>
        <w:rPr>
          <w:rFonts w:eastAsiaTheme="minorHAnsi" w:cs="Arial"/>
          <w:color w:val="auto"/>
        </w:rPr>
        <w:t xml:space="preserve"> since the 2016 program year. </w:t>
      </w:r>
    </w:p>
    <w:p w14:paraId="35BE8C45" w14:textId="77777777" w:rsidR="007D537E" w:rsidRDefault="007D537E" w:rsidP="007A21C3">
      <w:pPr>
        <w:jc w:val="both"/>
        <w:rPr>
          <w:rFonts w:eastAsiaTheme="minorHAnsi" w:cs="Arial"/>
          <w:color w:val="auto"/>
        </w:rPr>
      </w:pPr>
    </w:p>
    <w:p w14:paraId="5F15BB77" w14:textId="62C8ACEC" w:rsidR="00A919C6" w:rsidRDefault="009370FC" w:rsidP="007A21C3">
      <w:pPr>
        <w:jc w:val="both"/>
        <w:rPr>
          <w:rFonts w:eastAsiaTheme="minorHAnsi" w:cs="Arial"/>
          <w:color w:val="auto"/>
        </w:rPr>
      </w:pPr>
      <w:r>
        <w:rPr>
          <w:rFonts w:eastAsiaTheme="minorHAnsi" w:cs="Arial"/>
          <w:color w:val="auto"/>
        </w:rPr>
        <w:t xml:space="preserve">For graphical purposes, a single capacity value </w:t>
      </w:r>
      <w:r w:rsidR="00194003">
        <w:rPr>
          <w:rFonts w:eastAsiaTheme="minorHAnsi" w:cs="Arial"/>
          <w:color w:val="auto"/>
        </w:rPr>
        <w:t xml:space="preserve">is shown </w:t>
      </w:r>
      <w:r>
        <w:rPr>
          <w:rFonts w:eastAsiaTheme="minorHAnsi" w:cs="Arial"/>
          <w:color w:val="auto"/>
        </w:rPr>
        <w:t xml:space="preserve">that is time and capacity weighted across all ERS Time Periods for each </w:t>
      </w:r>
      <w:r w:rsidR="00194E63">
        <w:rPr>
          <w:rFonts w:eastAsiaTheme="minorHAnsi" w:cs="Arial"/>
          <w:color w:val="auto"/>
        </w:rPr>
        <w:t>SCT</w:t>
      </w:r>
      <w:r>
        <w:rPr>
          <w:rFonts w:eastAsiaTheme="minorHAnsi" w:cs="Arial"/>
          <w:color w:val="auto"/>
        </w:rPr>
        <w:t>. The delivered amount of ERS capacity for the October through November 202</w:t>
      </w:r>
      <w:r w:rsidR="00B062A8">
        <w:rPr>
          <w:rFonts w:eastAsiaTheme="minorHAnsi" w:cs="Arial"/>
          <w:color w:val="auto"/>
        </w:rPr>
        <w:t>3</w:t>
      </w:r>
      <w:r>
        <w:rPr>
          <w:rFonts w:eastAsiaTheme="minorHAnsi" w:cs="Arial"/>
          <w:color w:val="auto"/>
        </w:rPr>
        <w:t xml:space="preserve"> </w:t>
      </w:r>
      <w:r w:rsidR="00194E63">
        <w:rPr>
          <w:rFonts w:eastAsiaTheme="minorHAnsi" w:cs="Arial"/>
          <w:color w:val="auto"/>
        </w:rPr>
        <w:t>SCT</w:t>
      </w:r>
      <w:r>
        <w:rPr>
          <w:rFonts w:eastAsiaTheme="minorHAnsi" w:cs="Arial"/>
          <w:color w:val="auto"/>
        </w:rPr>
        <w:t xml:space="preserve"> was not available at the time this report was produced. Due to tight reserve margins during the summers of 2018 and 2019, as well as a higher risk of ERS deployments during those periods, ERCOT did not perform ERS testing during the June through September </w:t>
      </w:r>
      <w:r w:rsidR="00194E63">
        <w:rPr>
          <w:rFonts w:eastAsiaTheme="minorHAnsi" w:cs="Arial"/>
          <w:color w:val="auto"/>
        </w:rPr>
        <w:t>SCT</w:t>
      </w:r>
      <w:r>
        <w:rPr>
          <w:rFonts w:eastAsiaTheme="minorHAnsi" w:cs="Arial"/>
          <w:color w:val="auto"/>
        </w:rPr>
        <w:t xml:space="preserve">s for the 2018 and 2019 program years. As a result, delivered capacity was relatively equal to procured capacity for those </w:t>
      </w:r>
      <w:r w:rsidR="00194E63">
        <w:rPr>
          <w:rFonts w:eastAsiaTheme="minorHAnsi" w:cs="Arial"/>
          <w:color w:val="auto"/>
        </w:rPr>
        <w:t>SCT</w:t>
      </w:r>
      <w:r>
        <w:rPr>
          <w:rFonts w:eastAsiaTheme="minorHAnsi" w:cs="Arial"/>
          <w:color w:val="auto"/>
        </w:rPr>
        <w:t>s, as shown in the graph.</w:t>
      </w:r>
    </w:p>
    <w:p w14:paraId="0D03095B" w14:textId="55564AEC" w:rsidR="00F50EAF" w:rsidRDefault="007A21C3" w:rsidP="00166A8A">
      <w:pPr>
        <w:jc w:val="both"/>
        <w:rPr>
          <w:i/>
          <w:sz w:val="18"/>
          <w:szCs w:val="18"/>
        </w:rPr>
      </w:pPr>
      <w:r>
        <w:rPr>
          <w:rFonts w:eastAsiaTheme="minorHAnsi" w:cs="Arial"/>
          <w:color w:val="auto"/>
        </w:rPr>
        <w:t xml:space="preserve"> </w:t>
      </w:r>
    </w:p>
    <w:p w14:paraId="46DFA348" w14:textId="77777777" w:rsidR="007D537E" w:rsidRDefault="007D537E" w:rsidP="009417BD">
      <w:pPr>
        <w:jc w:val="both"/>
        <w:rPr>
          <w:i/>
          <w:sz w:val="16"/>
          <w:szCs w:val="16"/>
        </w:rPr>
      </w:pPr>
    </w:p>
    <w:p w14:paraId="3CCD6356" w14:textId="77777777" w:rsidR="007D537E" w:rsidRDefault="007D537E" w:rsidP="009417BD">
      <w:pPr>
        <w:jc w:val="both"/>
        <w:rPr>
          <w:i/>
          <w:sz w:val="16"/>
          <w:szCs w:val="16"/>
        </w:rPr>
      </w:pPr>
    </w:p>
    <w:p w14:paraId="1DAA61AC" w14:textId="77777777" w:rsidR="007D537E" w:rsidRDefault="007D537E" w:rsidP="009417BD">
      <w:pPr>
        <w:jc w:val="both"/>
        <w:rPr>
          <w:i/>
          <w:sz w:val="16"/>
          <w:szCs w:val="16"/>
        </w:rPr>
      </w:pPr>
    </w:p>
    <w:p w14:paraId="617BEF03" w14:textId="77777777" w:rsidR="007D537E" w:rsidRDefault="007D537E" w:rsidP="009417BD">
      <w:pPr>
        <w:jc w:val="both"/>
        <w:rPr>
          <w:i/>
          <w:sz w:val="16"/>
          <w:szCs w:val="16"/>
        </w:rPr>
      </w:pPr>
    </w:p>
    <w:p w14:paraId="5725BA0D" w14:textId="77777777" w:rsidR="007D537E" w:rsidRDefault="007D537E" w:rsidP="009417BD">
      <w:pPr>
        <w:jc w:val="both"/>
        <w:rPr>
          <w:i/>
          <w:sz w:val="16"/>
          <w:szCs w:val="16"/>
        </w:rPr>
      </w:pPr>
    </w:p>
    <w:p w14:paraId="7636F62F" w14:textId="77777777" w:rsidR="007D537E" w:rsidRDefault="007D537E" w:rsidP="009417BD">
      <w:pPr>
        <w:jc w:val="both"/>
        <w:rPr>
          <w:i/>
          <w:sz w:val="16"/>
          <w:szCs w:val="16"/>
        </w:rPr>
      </w:pPr>
    </w:p>
    <w:p w14:paraId="4F55BEA1" w14:textId="67E0A601" w:rsidR="00235BC7" w:rsidRDefault="007A21C3" w:rsidP="0017768A">
      <w:pPr>
        <w:keepNext/>
        <w:jc w:val="both"/>
        <w:rPr>
          <w:rFonts w:eastAsiaTheme="minorHAnsi" w:cs="Arial"/>
          <w:color w:val="auto"/>
        </w:rPr>
      </w:pPr>
      <w:r w:rsidRPr="00383089">
        <w:rPr>
          <w:i/>
          <w:sz w:val="16"/>
          <w:szCs w:val="16"/>
        </w:rPr>
        <w:lastRenderedPageBreak/>
        <w:t xml:space="preserve">Graph </w:t>
      </w:r>
      <w:r w:rsidR="00383089" w:rsidRPr="00383089">
        <w:rPr>
          <w:i/>
          <w:sz w:val="16"/>
          <w:szCs w:val="16"/>
        </w:rPr>
        <w:t>2</w:t>
      </w:r>
      <w:r w:rsidR="00B062A8">
        <w:rPr>
          <w:i/>
          <w:sz w:val="16"/>
          <w:szCs w:val="16"/>
        </w:rPr>
        <w:t xml:space="preserve">: </w:t>
      </w:r>
      <w:r w:rsidRPr="00383089">
        <w:rPr>
          <w:i/>
          <w:sz w:val="16"/>
          <w:szCs w:val="16"/>
        </w:rPr>
        <w:t xml:space="preserve">Procured versus </w:t>
      </w:r>
      <w:r w:rsidR="001D6BD0" w:rsidRPr="00383089">
        <w:rPr>
          <w:i/>
          <w:sz w:val="16"/>
          <w:szCs w:val="16"/>
        </w:rPr>
        <w:t xml:space="preserve">delivered </w:t>
      </w:r>
      <w:r w:rsidRPr="00383089">
        <w:rPr>
          <w:i/>
          <w:sz w:val="16"/>
          <w:szCs w:val="16"/>
        </w:rPr>
        <w:t xml:space="preserve">ERS </w:t>
      </w:r>
      <w:r w:rsidR="001D6BD0" w:rsidRPr="00383089">
        <w:rPr>
          <w:i/>
          <w:sz w:val="16"/>
          <w:szCs w:val="16"/>
        </w:rPr>
        <w:t>capacity</w:t>
      </w:r>
      <w:r w:rsidRPr="00383089">
        <w:rPr>
          <w:i/>
          <w:sz w:val="16"/>
          <w:szCs w:val="16"/>
        </w:rPr>
        <w:t xml:space="preserve"> </w:t>
      </w:r>
      <w:r w:rsidR="00B062A8">
        <w:rPr>
          <w:i/>
          <w:sz w:val="16"/>
          <w:szCs w:val="16"/>
        </w:rPr>
        <w:t>(</w:t>
      </w:r>
      <w:r w:rsidRPr="00383089">
        <w:rPr>
          <w:i/>
          <w:sz w:val="16"/>
          <w:szCs w:val="16"/>
        </w:rPr>
        <w:t xml:space="preserve">values are time and capacity weighted per each </w:t>
      </w:r>
      <w:r w:rsidR="00194E63">
        <w:rPr>
          <w:i/>
          <w:sz w:val="16"/>
          <w:szCs w:val="16"/>
        </w:rPr>
        <w:t>SCT</w:t>
      </w:r>
      <w:r w:rsidR="00B062A8">
        <w:rPr>
          <w:i/>
          <w:sz w:val="16"/>
          <w:szCs w:val="16"/>
        </w:rPr>
        <w:t>)</w:t>
      </w:r>
    </w:p>
    <w:p w14:paraId="7F51B875" w14:textId="3F1FB997" w:rsidR="008058D7" w:rsidRDefault="00002169" w:rsidP="0017768A">
      <w:pPr>
        <w:keepNext/>
        <w:jc w:val="both"/>
        <w:rPr>
          <w:rFonts w:eastAsiaTheme="minorHAnsi" w:cs="Arial"/>
          <w:color w:val="auto"/>
        </w:rPr>
      </w:pPr>
      <w:r>
        <w:rPr>
          <w:noProof/>
        </w:rPr>
        <w:drawing>
          <wp:inline distT="0" distB="0" distL="0" distR="0" wp14:anchorId="48F65732" wp14:editId="6863F1D3">
            <wp:extent cx="5943600" cy="3126740"/>
            <wp:effectExtent l="0" t="0" r="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1"/>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943600" cy="3126740"/>
                    </a:xfrm>
                    <a:prstGeom prst="rect">
                      <a:avLst/>
                    </a:prstGeom>
                    <a:noFill/>
                    <a:ln>
                      <a:noFill/>
                    </a:ln>
                  </pic:spPr>
                </pic:pic>
              </a:graphicData>
            </a:graphic>
          </wp:inline>
        </w:drawing>
      </w:r>
    </w:p>
    <w:p w14:paraId="0E62A719" w14:textId="390CEC63" w:rsidR="00352626" w:rsidRDefault="00352626" w:rsidP="007D537E">
      <w:pPr>
        <w:spacing w:before="240"/>
        <w:jc w:val="both"/>
        <w:rPr>
          <w:rFonts w:eastAsiaTheme="minorHAnsi" w:cs="Arial"/>
          <w:color w:val="auto"/>
        </w:rPr>
      </w:pPr>
      <w:r>
        <w:rPr>
          <w:rFonts w:eastAsiaTheme="minorHAnsi" w:cs="Arial"/>
          <w:color w:val="auto"/>
        </w:rPr>
        <w:t xml:space="preserve">Graph 3 below provides an illustration of the procured capacity of ERS for each ERS SCT starting with the February through May 2016 SCT. These values represent the time and capacity weighted procured capacity and cost for each of all ERS </w:t>
      </w:r>
      <w:r w:rsidR="00354F42">
        <w:rPr>
          <w:rFonts w:eastAsiaTheme="minorHAnsi" w:cs="Arial"/>
          <w:color w:val="auto"/>
        </w:rPr>
        <w:t>T</w:t>
      </w:r>
      <w:r>
        <w:rPr>
          <w:rFonts w:eastAsiaTheme="minorHAnsi" w:cs="Arial"/>
          <w:color w:val="auto"/>
        </w:rPr>
        <w:t xml:space="preserve">ime </w:t>
      </w:r>
      <w:r w:rsidR="00354F42">
        <w:rPr>
          <w:rFonts w:eastAsiaTheme="minorHAnsi" w:cs="Arial"/>
          <w:color w:val="auto"/>
        </w:rPr>
        <w:t>P</w:t>
      </w:r>
      <w:r>
        <w:rPr>
          <w:rFonts w:eastAsiaTheme="minorHAnsi" w:cs="Arial"/>
          <w:color w:val="auto"/>
        </w:rPr>
        <w:t xml:space="preserve">eriods for each SCT. There was some expectation that capacity offered and procured for this service would show a noticeable increase since the annual spend limit was increased from $50 million to $75 million at the start of the 2023 program year but that has not yet been observed. One possible reason for that could be the expansion of the TDSP Load Management programs that now offer winter programs which compete for some of the same loads that have historically offered into ERS. </w:t>
      </w:r>
    </w:p>
    <w:p w14:paraId="7D110F27" w14:textId="77777777" w:rsidR="00E910C9" w:rsidRDefault="00E910C9" w:rsidP="009417BD">
      <w:pPr>
        <w:jc w:val="both"/>
        <w:rPr>
          <w:rFonts w:eastAsiaTheme="minorHAnsi" w:cs="Arial"/>
          <w:color w:val="auto"/>
        </w:rPr>
      </w:pPr>
    </w:p>
    <w:p w14:paraId="51EE3F42" w14:textId="7803219C" w:rsidR="007A21C3" w:rsidRPr="00166A8A" w:rsidRDefault="00A0664A" w:rsidP="007A21C3">
      <w:pPr>
        <w:jc w:val="both"/>
        <w:rPr>
          <w:rFonts w:eastAsiaTheme="minorHAnsi" w:cs="Arial"/>
          <w:color w:val="auto"/>
          <w:sz w:val="16"/>
          <w:szCs w:val="16"/>
        </w:rPr>
      </w:pPr>
      <w:r w:rsidRPr="00166A8A">
        <w:rPr>
          <w:i/>
          <w:sz w:val="16"/>
          <w:szCs w:val="16"/>
        </w:rPr>
        <w:t xml:space="preserve">Graph </w:t>
      </w:r>
      <w:r w:rsidR="00166A8A" w:rsidRPr="00166A8A">
        <w:rPr>
          <w:i/>
          <w:sz w:val="16"/>
          <w:szCs w:val="16"/>
        </w:rPr>
        <w:t>3</w:t>
      </w:r>
      <w:r w:rsidR="00B062A8">
        <w:rPr>
          <w:i/>
          <w:sz w:val="16"/>
          <w:szCs w:val="16"/>
        </w:rPr>
        <w:t>:</w:t>
      </w:r>
      <w:r w:rsidR="00257946" w:rsidRPr="00166A8A">
        <w:rPr>
          <w:i/>
          <w:sz w:val="16"/>
          <w:szCs w:val="16"/>
        </w:rPr>
        <w:t xml:space="preserve"> </w:t>
      </w:r>
      <w:r w:rsidRPr="00166A8A">
        <w:rPr>
          <w:i/>
          <w:sz w:val="16"/>
          <w:szCs w:val="16"/>
        </w:rPr>
        <w:t xml:space="preserve">Procured ERS Capacity versus Unit Cost </w:t>
      </w:r>
      <w:r w:rsidR="00B062A8">
        <w:rPr>
          <w:i/>
          <w:sz w:val="16"/>
          <w:szCs w:val="16"/>
        </w:rPr>
        <w:t>(</w:t>
      </w:r>
      <w:r w:rsidRPr="00166A8A">
        <w:rPr>
          <w:i/>
          <w:sz w:val="16"/>
          <w:szCs w:val="16"/>
        </w:rPr>
        <w:t>values are time and capacity weighted per each Standard Contract Term</w:t>
      </w:r>
      <w:r w:rsidR="00B062A8">
        <w:rPr>
          <w:i/>
          <w:sz w:val="16"/>
          <w:szCs w:val="16"/>
        </w:rPr>
        <w:t>)</w:t>
      </w:r>
    </w:p>
    <w:p w14:paraId="271A7346" w14:textId="015E0C30" w:rsidR="008058D7" w:rsidRDefault="008A6D0B" w:rsidP="007A21C3">
      <w:pPr>
        <w:jc w:val="both"/>
        <w:rPr>
          <w:rFonts w:eastAsiaTheme="minorHAnsi" w:cs="Arial"/>
          <w:color w:val="auto"/>
        </w:rPr>
      </w:pPr>
      <w:r>
        <w:rPr>
          <w:noProof/>
        </w:rPr>
        <w:drawing>
          <wp:inline distT="0" distB="0" distL="0" distR="0" wp14:anchorId="585746BF" wp14:editId="5398E403">
            <wp:extent cx="5943600" cy="3089910"/>
            <wp:effectExtent l="0" t="0" r="0" b="15240"/>
            <wp:docPr id="10" name="Chart 10">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B34F015" w14:textId="77777777" w:rsidR="0014079F" w:rsidRDefault="0014079F" w:rsidP="007A21C3">
      <w:pPr>
        <w:jc w:val="both"/>
        <w:rPr>
          <w:rFonts w:eastAsiaTheme="minorHAnsi" w:cs="Arial"/>
          <w:color w:val="auto"/>
        </w:rPr>
      </w:pPr>
    </w:p>
    <w:p w14:paraId="13B2C72D" w14:textId="48051646" w:rsidR="00352626" w:rsidRDefault="00352626" w:rsidP="00352626">
      <w:pPr>
        <w:jc w:val="both"/>
        <w:rPr>
          <w:rFonts w:eastAsiaTheme="minorHAnsi" w:cs="Arial"/>
          <w:color w:val="auto"/>
        </w:rPr>
      </w:pPr>
      <w:r>
        <w:rPr>
          <w:rFonts w:eastAsiaTheme="minorHAnsi" w:cs="Arial"/>
          <w:color w:val="auto"/>
        </w:rPr>
        <w:lastRenderedPageBreak/>
        <w:t xml:space="preserve">As noted earlier, the rules for deploying ERS changed starting with the 2022 program year. During the 2023 program year, ERS was deployed twice, once on August 17, and again on September 6 when ERCOT’s PRC dropped below 3,000 MWs. Under the new procedures defined in NPRR 1106, both ERS-10 and ERS-30 </w:t>
      </w:r>
      <w:r w:rsidR="00354F42">
        <w:rPr>
          <w:rFonts w:eastAsiaTheme="minorHAnsi" w:cs="Arial"/>
          <w:color w:val="auto"/>
        </w:rPr>
        <w:t>R</w:t>
      </w:r>
      <w:r>
        <w:rPr>
          <w:rFonts w:eastAsiaTheme="minorHAnsi" w:cs="Arial"/>
          <w:color w:val="auto"/>
        </w:rPr>
        <w:t>esources are</w:t>
      </w:r>
      <w:r w:rsidR="007D537E">
        <w:rPr>
          <w:rFonts w:eastAsiaTheme="minorHAnsi" w:cs="Arial"/>
          <w:color w:val="auto"/>
        </w:rPr>
        <w:t xml:space="preserve"> </w:t>
      </w:r>
      <w:r>
        <w:rPr>
          <w:rFonts w:eastAsiaTheme="minorHAnsi" w:cs="Arial"/>
          <w:color w:val="auto"/>
        </w:rPr>
        <w:t xml:space="preserve">deployed under a common </w:t>
      </w:r>
      <w:r w:rsidR="00354F42">
        <w:rPr>
          <w:rFonts w:eastAsiaTheme="minorHAnsi" w:cs="Arial"/>
          <w:color w:val="auto"/>
        </w:rPr>
        <w:t>D</w:t>
      </w:r>
      <w:r>
        <w:rPr>
          <w:rFonts w:eastAsiaTheme="minorHAnsi" w:cs="Arial"/>
          <w:color w:val="auto"/>
        </w:rPr>
        <w:t xml:space="preserve">ispatch </w:t>
      </w:r>
      <w:r w:rsidR="00354F42">
        <w:rPr>
          <w:rFonts w:eastAsiaTheme="minorHAnsi" w:cs="Arial"/>
          <w:color w:val="auto"/>
        </w:rPr>
        <w:t>I</w:t>
      </w:r>
      <w:r>
        <w:rPr>
          <w:rFonts w:eastAsiaTheme="minorHAnsi" w:cs="Arial"/>
          <w:color w:val="auto"/>
        </w:rPr>
        <w:t>nstruction from ERCOT. The August 17 deployment instruction was issued at 19:17:27 during ERS Time Period 5. The recall for this event occurred at 20:08:55. Due to the extremely short duration of this deployment</w:t>
      </w:r>
      <w:r w:rsidR="00354F42">
        <w:rPr>
          <w:rFonts w:eastAsiaTheme="minorHAnsi" w:cs="Arial"/>
          <w:color w:val="auto"/>
        </w:rPr>
        <w:t>,</w:t>
      </w:r>
      <w:r>
        <w:rPr>
          <w:rFonts w:eastAsiaTheme="minorHAnsi" w:cs="Arial"/>
          <w:color w:val="auto"/>
        </w:rPr>
        <w:t xml:space="preserve"> there was not a full 15-minute </w:t>
      </w:r>
      <w:r w:rsidR="005A251C">
        <w:rPr>
          <w:rFonts w:eastAsiaTheme="minorHAnsi" w:cs="Arial"/>
          <w:color w:val="auto"/>
        </w:rPr>
        <w:t>S</w:t>
      </w:r>
      <w:r>
        <w:rPr>
          <w:rFonts w:eastAsiaTheme="minorHAnsi" w:cs="Arial"/>
          <w:color w:val="auto"/>
        </w:rPr>
        <w:t xml:space="preserve">ettlement </w:t>
      </w:r>
      <w:r w:rsidR="005A251C">
        <w:rPr>
          <w:rFonts w:eastAsiaTheme="minorHAnsi" w:cs="Arial"/>
          <w:color w:val="auto"/>
        </w:rPr>
        <w:t>I</w:t>
      </w:r>
      <w:r>
        <w:rPr>
          <w:rFonts w:eastAsiaTheme="minorHAnsi" w:cs="Arial"/>
          <w:color w:val="auto"/>
        </w:rPr>
        <w:t xml:space="preserve">nterval for the ERS-30 </w:t>
      </w:r>
      <w:r w:rsidR="00354F42">
        <w:rPr>
          <w:rFonts w:eastAsiaTheme="minorHAnsi" w:cs="Arial"/>
          <w:color w:val="auto"/>
        </w:rPr>
        <w:t>R</w:t>
      </w:r>
      <w:r>
        <w:rPr>
          <w:rFonts w:eastAsiaTheme="minorHAnsi" w:cs="Arial"/>
          <w:color w:val="auto"/>
        </w:rPr>
        <w:t xml:space="preserve">esources to be measured by as required by </w:t>
      </w:r>
      <w:r w:rsidR="00354F42">
        <w:rPr>
          <w:rFonts w:eastAsiaTheme="minorHAnsi" w:cs="Arial"/>
          <w:color w:val="auto"/>
        </w:rPr>
        <w:t>P</w:t>
      </w:r>
      <w:r>
        <w:rPr>
          <w:rFonts w:eastAsiaTheme="minorHAnsi" w:cs="Arial"/>
          <w:color w:val="auto"/>
        </w:rPr>
        <w:t xml:space="preserve">rotocol </w:t>
      </w:r>
      <w:r w:rsidR="00354F42">
        <w:rPr>
          <w:rFonts w:eastAsiaTheme="minorHAnsi" w:cs="Arial"/>
          <w:color w:val="auto"/>
        </w:rPr>
        <w:t>§</w:t>
      </w:r>
      <w:r>
        <w:rPr>
          <w:rFonts w:eastAsiaTheme="minorHAnsi" w:cs="Arial"/>
          <w:color w:val="auto"/>
        </w:rPr>
        <w:t xml:space="preserve"> 8.1.3.1.4(2)(b) and therefore only the ERS-10 </w:t>
      </w:r>
      <w:r w:rsidR="00354F42">
        <w:rPr>
          <w:rFonts w:eastAsiaTheme="minorHAnsi" w:cs="Arial"/>
          <w:color w:val="auto"/>
        </w:rPr>
        <w:t>R</w:t>
      </w:r>
      <w:r>
        <w:rPr>
          <w:rFonts w:eastAsiaTheme="minorHAnsi" w:cs="Arial"/>
          <w:color w:val="auto"/>
        </w:rPr>
        <w:t xml:space="preserve">esources were measured for performance for this event. Graph 4 below illustrates the ERS-10 </w:t>
      </w:r>
      <w:r w:rsidR="00354F42">
        <w:rPr>
          <w:rFonts w:eastAsiaTheme="minorHAnsi" w:cs="Arial"/>
          <w:color w:val="auto"/>
        </w:rPr>
        <w:t>R</w:t>
      </w:r>
      <w:r>
        <w:rPr>
          <w:rFonts w:eastAsiaTheme="minorHAnsi" w:cs="Arial"/>
          <w:color w:val="auto"/>
        </w:rPr>
        <w:t>esources</w:t>
      </w:r>
      <w:r w:rsidR="00354F42">
        <w:rPr>
          <w:rFonts w:eastAsiaTheme="minorHAnsi" w:cs="Arial"/>
          <w:color w:val="auto"/>
        </w:rPr>
        <w:t>’</w:t>
      </w:r>
      <w:r>
        <w:rPr>
          <w:rFonts w:eastAsiaTheme="minorHAnsi" w:cs="Arial"/>
          <w:color w:val="auto"/>
        </w:rPr>
        <w:t xml:space="preserve"> response of approximately 35 MW</w:t>
      </w:r>
      <w:r w:rsidR="00354F42">
        <w:rPr>
          <w:rFonts w:eastAsiaTheme="minorHAnsi" w:cs="Arial"/>
          <w:color w:val="auto"/>
        </w:rPr>
        <w:t>,</w:t>
      </w:r>
      <w:r>
        <w:rPr>
          <w:rFonts w:eastAsiaTheme="minorHAnsi" w:cs="Arial"/>
          <w:color w:val="auto"/>
        </w:rPr>
        <w:t xml:space="preserve"> or 120% of their 28.935 MW obligation</w:t>
      </w:r>
      <w:r w:rsidR="00354F42">
        <w:rPr>
          <w:rFonts w:eastAsiaTheme="minorHAnsi" w:cs="Arial"/>
          <w:color w:val="auto"/>
        </w:rPr>
        <w:t>,</w:t>
      </w:r>
      <w:r>
        <w:rPr>
          <w:rFonts w:eastAsiaTheme="minorHAnsi" w:cs="Arial"/>
          <w:color w:val="auto"/>
        </w:rPr>
        <w:t xml:space="preserve"> during the event</w:t>
      </w:r>
      <w:r w:rsidR="00354F42">
        <w:rPr>
          <w:rFonts w:eastAsiaTheme="minorHAnsi" w:cs="Arial"/>
          <w:color w:val="auto"/>
        </w:rPr>
        <w:t>’</w:t>
      </w:r>
      <w:r>
        <w:rPr>
          <w:rFonts w:eastAsiaTheme="minorHAnsi" w:cs="Arial"/>
          <w:color w:val="auto"/>
        </w:rPr>
        <w:t xml:space="preserve">s sustained response period. </w:t>
      </w:r>
    </w:p>
    <w:p w14:paraId="684A6934" w14:textId="30FE5EB8" w:rsidR="00435302" w:rsidRDefault="00435302" w:rsidP="007A21C3">
      <w:pPr>
        <w:jc w:val="both"/>
        <w:rPr>
          <w:rFonts w:eastAsiaTheme="minorHAnsi" w:cs="Arial"/>
          <w:color w:val="auto"/>
        </w:rPr>
      </w:pPr>
    </w:p>
    <w:p w14:paraId="4AA006B8" w14:textId="0634502D" w:rsidR="00607581" w:rsidRDefault="009B1280" w:rsidP="00F644D7">
      <w:pPr>
        <w:jc w:val="both"/>
        <w:rPr>
          <w:i/>
          <w:sz w:val="16"/>
          <w:szCs w:val="16"/>
        </w:rPr>
      </w:pPr>
      <w:r w:rsidRPr="00166A8A">
        <w:rPr>
          <w:i/>
          <w:sz w:val="16"/>
          <w:szCs w:val="16"/>
        </w:rPr>
        <w:t>Graph 4</w:t>
      </w:r>
      <w:r w:rsidR="00B062A8">
        <w:rPr>
          <w:i/>
          <w:sz w:val="16"/>
          <w:szCs w:val="16"/>
        </w:rPr>
        <w:t>:</w:t>
      </w:r>
      <w:r w:rsidRPr="00166A8A">
        <w:rPr>
          <w:i/>
          <w:sz w:val="16"/>
          <w:szCs w:val="16"/>
        </w:rPr>
        <w:t xml:space="preserve"> </w:t>
      </w:r>
      <w:r w:rsidR="00A2717C">
        <w:rPr>
          <w:i/>
          <w:sz w:val="16"/>
          <w:szCs w:val="16"/>
        </w:rPr>
        <w:t xml:space="preserve">August 17, </w:t>
      </w:r>
      <w:r w:rsidR="007D537E">
        <w:rPr>
          <w:i/>
          <w:sz w:val="16"/>
          <w:szCs w:val="16"/>
        </w:rPr>
        <w:t>2023,</w:t>
      </w:r>
      <w:r w:rsidRPr="00166A8A">
        <w:rPr>
          <w:i/>
          <w:sz w:val="16"/>
          <w:szCs w:val="16"/>
        </w:rPr>
        <w:t xml:space="preserve"> ERS Deployment Event</w:t>
      </w:r>
    </w:p>
    <w:p w14:paraId="00BC5D43" w14:textId="5A844100" w:rsidR="00342345" w:rsidRDefault="00342345" w:rsidP="00F644D7">
      <w:pPr>
        <w:jc w:val="both"/>
        <w:rPr>
          <w:i/>
          <w:sz w:val="16"/>
          <w:szCs w:val="16"/>
        </w:rPr>
      </w:pPr>
      <w:r>
        <w:rPr>
          <w:noProof/>
        </w:rPr>
        <w:drawing>
          <wp:inline distT="0" distB="0" distL="0" distR="0" wp14:anchorId="1531E102" wp14:editId="3B974108">
            <wp:extent cx="5943600" cy="3267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67075"/>
                    </a:xfrm>
                    <a:prstGeom prst="rect">
                      <a:avLst/>
                    </a:prstGeom>
                  </pic:spPr>
                </pic:pic>
              </a:graphicData>
            </a:graphic>
          </wp:inline>
        </w:drawing>
      </w:r>
    </w:p>
    <w:p w14:paraId="1EBE7412" w14:textId="625867CE" w:rsidR="00AB7773" w:rsidRDefault="00AB7773" w:rsidP="00F644D7">
      <w:pPr>
        <w:jc w:val="both"/>
        <w:rPr>
          <w:i/>
          <w:sz w:val="16"/>
          <w:szCs w:val="16"/>
        </w:rPr>
      </w:pPr>
    </w:p>
    <w:p w14:paraId="749323D2" w14:textId="77777777" w:rsidR="00E910C9" w:rsidRDefault="00E910C9" w:rsidP="00F644D7">
      <w:pPr>
        <w:jc w:val="both"/>
        <w:rPr>
          <w:i/>
          <w:sz w:val="16"/>
          <w:szCs w:val="16"/>
        </w:rPr>
      </w:pPr>
    </w:p>
    <w:p w14:paraId="03E9DE51" w14:textId="3027F230" w:rsidR="00EA1611" w:rsidRDefault="00352626" w:rsidP="00F644D7">
      <w:pPr>
        <w:jc w:val="both"/>
        <w:rPr>
          <w:i/>
          <w:sz w:val="16"/>
          <w:szCs w:val="16"/>
        </w:rPr>
      </w:pPr>
      <w:r w:rsidRPr="007D537E">
        <w:rPr>
          <w:iCs/>
          <w:color w:val="auto"/>
        </w:rPr>
        <w:t xml:space="preserve">The September 6 deployment event was initiated by </w:t>
      </w:r>
      <w:r w:rsidRPr="007D537E">
        <w:rPr>
          <w:rFonts w:eastAsiaTheme="minorHAnsi" w:cs="Arial"/>
          <w:color w:val="auto"/>
        </w:rPr>
        <w:t xml:space="preserve">ERCOT </w:t>
      </w:r>
      <w:r w:rsidR="00354F42">
        <w:rPr>
          <w:rFonts w:eastAsiaTheme="minorHAnsi" w:cs="Arial"/>
          <w:color w:val="auto"/>
        </w:rPr>
        <w:t>D</w:t>
      </w:r>
      <w:r>
        <w:rPr>
          <w:rFonts w:eastAsiaTheme="minorHAnsi" w:cs="Arial"/>
          <w:color w:val="auto"/>
        </w:rPr>
        <w:t xml:space="preserve">ispatch </w:t>
      </w:r>
      <w:r w:rsidR="00354F42">
        <w:rPr>
          <w:rFonts w:eastAsiaTheme="minorHAnsi" w:cs="Arial"/>
          <w:color w:val="auto"/>
        </w:rPr>
        <w:t>I</w:t>
      </w:r>
      <w:r>
        <w:rPr>
          <w:rFonts w:eastAsiaTheme="minorHAnsi" w:cs="Arial"/>
          <w:color w:val="auto"/>
        </w:rPr>
        <w:t xml:space="preserve">nstruction at 19:14:21 and recalled at 20:44:21. The combined ERS-10 and ERS-30 obligation for this deployment event was 995.035 MW. Graph 5 below shows </w:t>
      </w:r>
      <w:r w:rsidR="00354F42">
        <w:rPr>
          <w:rFonts w:eastAsiaTheme="minorHAnsi" w:cs="Arial"/>
          <w:color w:val="auto"/>
        </w:rPr>
        <w:t xml:space="preserve">that </w:t>
      </w:r>
      <w:r>
        <w:rPr>
          <w:rFonts w:eastAsiaTheme="minorHAnsi" w:cs="Arial"/>
          <w:color w:val="auto"/>
        </w:rPr>
        <w:t>the fleet</w:t>
      </w:r>
      <w:r w:rsidR="00354F42">
        <w:rPr>
          <w:rFonts w:eastAsiaTheme="minorHAnsi" w:cs="Arial"/>
          <w:color w:val="auto"/>
        </w:rPr>
        <w:t>-</w:t>
      </w:r>
      <w:r>
        <w:rPr>
          <w:rFonts w:eastAsiaTheme="minorHAnsi" w:cs="Arial"/>
          <w:color w:val="auto"/>
        </w:rPr>
        <w:t xml:space="preserve">wide response was slow to meet its required minimum deployment level during the sustained response period. </w:t>
      </w:r>
      <w:r w:rsidR="00354F42">
        <w:rPr>
          <w:rFonts w:eastAsiaTheme="minorHAnsi" w:cs="Arial"/>
          <w:color w:val="auto"/>
        </w:rPr>
        <w:t>Under the</w:t>
      </w:r>
      <w:r>
        <w:rPr>
          <w:rFonts w:eastAsiaTheme="minorHAnsi" w:cs="Arial"/>
          <w:color w:val="auto"/>
        </w:rPr>
        <w:t xml:space="preserve"> </w:t>
      </w:r>
      <w:r w:rsidR="00354F42">
        <w:rPr>
          <w:rFonts w:eastAsiaTheme="minorHAnsi" w:cs="Arial"/>
          <w:color w:val="auto"/>
        </w:rPr>
        <w:t>P</w:t>
      </w:r>
      <w:r>
        <w:rPr>
          <w:rFonts w:eastAsiaTheme="minorHAnsi" w:cs="Arial"/>
          <w:color w:val="auto"/>
        </w:rPr>
        <w:t>rotocols</w:t>
      </w:r>
      <w:r w:rsidR="00354F42">
        <w:rPr>
          <w:rFonts w:eastAsiaTheme="minorHAnsi" w:cs="Arial"/>
          <w:color w:val="auto"/>
        </w:rPr>
        <w:t>,</w:t>
      </w:r>
      <w:r>
        <w:rPr>
          <w:rFonts w:eastAsiaTheme="minorHAnsi" w:cs="Arial"/>
          <w:color w:val="auto"/>
        </w:rPr>
        <w:t xml:space="preserve"> a minimum response of 95% of the obligation is required to meet the performance metric. The response during the first full interval of the sustained response period for this event was 90.8% of its obligation.  By the end of the sustained response period</w:t>
      </w:r>
      <w:r w:rsidR="00354F42">
        <w:rPr>
          <w:rFonts w:eastAsiaTheme="minorHAnsi" w:cs="Arial"/>
          <w:color w:val="auto"/>
        </w:rPr>
        <w:t>,</w:t>
      </w:r>
      <w:r>
        <w:rPr>
          <w:rFonts w:eastAsiaTheme="minorHAnsi" w:cs="Arial"/>
          <w:color w:val="auto"/>
        </w:rPr>
        <w:t xml:space="preserve"> the fleet</w:t>
      </w:r>
      <w:r w:rsidR="00354F42">
        <w:rPr>
          <w:rFonts w:eastAsiaTheme="minorHAnsi" w:cs="Arial"/>
          <w:color w:val="auto"/>
        </w:rPr>
        <w:t>-</w:t>
      </w:r>
      <w:r>
        <w:rPr>
          <w:rFonts w:eastAsiaTheme="minorHAnsi" w:cs="Arial"/>
          <w:color w:val="auto"/>
        </w:rPr>
        <w:t>wide response improved to 99.4%. For this deployment event the overall event performance factor was 93.7%.</w:t>
      </w:r>
    </w:p>
    <w:p w14:paraId="0AFCF0A3" w14:textId="77777777" w:rsidR="00E910C9" w:rsidRDefault="00E910C9" w:rsidP="00F644D7">
      <w:pPr>
        <w:jc w:val="both"/>
        <w:rPr>
          <w:i/>
          <w:sz w:val="16"/>
          <w:szCs w:val="16"/>
        </w:rPr>
      </w:pPr>
    </w:p>
    <w:p w14:paraId="2405373F" w14:textId="77777777" w:rsidR="00E910C9" w:rsidRDefault="00E910C9" w:rsidP="00F644D7">
      <w:pPr>
        <w:jc w:val="both"/>
        <w:rPr>
          <w:i/>
          <w:sz w:val="16"/>
          <w:szCs w:val="16"/>
        </w:rPr>
      </w:pPr>
    </w:p>
    <w:p w14:paraId="5EC00A89" w14:textId="77777777" w:rsidR="00E910C9" w:rsidRDefault="00E910C9" w:rsidP="00F644D7">
      <w:pPr>
        <w:jc w:val="both"/>
        <w:rPr>
          <w:i/>
          <w:sz w:val="16"/>
          <w:szCs w:val="16"/>
        </w:rPr>
      </w:pPr>
    </w:p>
    <w:p w14:paraId="120DDECF" w14:textId="77777777" w:rsidR="007D537E" w:rsidRDefault="007D537E" w:rsidP="00F644D7">
      <w:pPr>
        <w:jc w:val="both"/>
        <w:rPr>
          <w:i/>
          <w:sz w:val="16"/>
          <w:szCs w:val="16"/>
        </w:rPr>
      </w:pPr>
    </w:p>
    <w:p w14:paraId="7EBD8ABA" w14:textId="77777777" w:rsidR="007D537E" w:rsidRDefault="007D537E" w:rsidP="00F644D7">
      <w:pPr>
        <w:jc w:val="both"/>
        <w:rPr>
          <w:i/>
          <w:sz w:val="16"/>
          <w:szCs w:val="16"/>
        </w:rPr>
      </w:pPr>
    </w:p>
    <w:p w14:paraId="4D2D73C7" w14:textId="77777777" w:rsidR="007D537E" w:rsidRDefault="007D537E" w:rsidP="00F644D7">
      <w:pPr>
        <w:jc w:val="both"/>
        <w:rPr>
          <w:i/>
          <w:sz w:val="16"/>
          <w:szCs w:val="16"/>
        </w:rPr>
      </w:pPr>
    </w:p>
    <w:p w14:paraId="5C879383" w14:textId="77777777" w:rsidR="007D537E" w:rsidRDefault="007D537E" w:rsidP="00F644D7">
      <w:pPr>
        <w:jc w:val="both"/>
        <w:rPr>
          <w:i/>
          <w:sz w:val="16"/>
          <w:szCs w:val="16"/>
        </w:rPr>
      </w:pPr>
    </w:p>
    <w:p w14:paraId="0CA3AC59" w14:textId="77777777" w:rsidR="007D537E" w:rsidRDefault="007D537E" w:rsidP="00F644D7">
      <w:pPr>
        <w:jc w:val="both"/>
        <w:rPr>
          <w:i/>
          <w:sz w:val="16"/>
          <w:szCs w:val="16"/>
        </w:rPr>
      </w:pPr>
    </w:p>
    <w:p w14:paraId="6821114F" w14:textId="77777777" w:rsidR="007D537E" w:rsidRDefault="007D537E" w:rsidP="00F644D7">
      <w:pPr>
        <w:jc w:val="both"/>
        <w:rPr>
          <w:i/>
          <w:sz w:val="16"/>
          <w:szCs w:val="16"/>
        </w:rPr>
      </w:pPr>
    </w:p>
    <w:p w14:paraId="4C8944EE" w14:textId="0782E2C6" w:rsidR="00AB7773" w:rsidRDefault="00EA1611" w:rsidP="00F644D7">
      <w:pPr>
        <w:jc w:val="both"/>
        <w:rPr>
          <w:i/>
          <w:sz w:val="16"/>
          <w:szCs w:val="16"/>
        </w:rPr>
      </w:pPr>
      <w:r w:rsidRPr="00166A8A">
        <w:rPr>
          <w:i/>
          <w:sz w:val="16"/>
          <w:szCs w:val="16"/>
        </w:rPr>
        <w:lastRenderedPageBreak/>
        <w:t xml:space="preserve">Graph </w:t>
      </w:r>
      <w:r>
        <w:rPr>
          <w:i/>
          <w:sz w:val="16"/>
          <w:szCs w:val="16"/>
        </w:rPr>
        <w:t>5</w:t>
      </w:r>
      <w:r w:rsidR="00B062A8">
        <w:rPr>
          <w:i/>
          <w:sz w:val="16"/>
          <w:szCs w:val="16"/>
        </w:rPr>
        <w:t>:</w:t>
      </w:r>
      <w:r w:rsidRPr="00166A8A">
        <w:rPr>
          <w:i/>
          <w:sz w:val="16"/>
          <w:szCs w:val="16"/>
        </w:rPr>
        <w:t xml:space="preserve"> </w:t>
      </w:r>
      <w:r>
        <w:rPr>
          <w:i/>
          <w:sz w:val="16"/>
          <w:szCs w:val="16"/>
        </w:rPr>
        <w:t xml:space="preserve">September 6, </w:t>
      </w:r>
      <w:r w:rsidR="007D537E">
        <w:rPr>
          <w:i/>
          <w:sz w:val="16"/>
          <w:szCs w:val="16"/>
        </w:rPr>
        <w:t>2023,</w:t>
      </w:r>
      <w:r w:rsidRPr="00166A8A">
        <w:rPr>
          <w:i/>
          <w:sz w:val="16"/>
          <w:szCs w:val="16"/>
        </w:rPr>
        <w:t xml:space="preserve"> ERS Deployment Event</w:t>
      </w:r>
    </w:p>
    <w:p w14:paraId="40750E3C" w14:textId="0307FC9C" w:rsidR="008E299D" w:rsidRPr="0058082E" w:rsidRDefault="00E910C9" w:rsidP="00F644D7">
      <w:pPr>
        <w:jc w:val="both"/>
        <w:rPr>
          <w:color w:val="auto"/>
        </w:rPr>
      </w:pPr>
      <w:r>
        <w:rPr>
          <w:noProof/>
        </w:rPr>
        <w:drawing>
          <wp:inline distT="0" distB="0" distL="0" distR="0" wp14:anchorId="55610B13" wp14:editId="5FE73415">
            <wp:extent cx="5943600" cy="28727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72740"/>
                    </a:xfrm>
                    <a:prstGeom prst="rect">
                      <a:avLst/>
                    </a:prstGeom>
                  </pic:spPr>
                </pic:pic>
              </a:graphicData>
            </a:graphic>
          </wp:inline>
        </w:drawing>
      </w:r>
    </w:p>
    <w:p w14:paraId="47854DB6" w14:textId="19DF4040" w:rsidR="008E299D" w:rsidRPr="00514C7B" w:rsidRDefault="008E299D" w:rsidP="00514C7B">
      <w:pPr>
        <w:jc w:val="both"/>
        <w:rPr>
          <w:rFonts w:cs="Arial"/>
          <w:b/>
          <w:color w:val="000000" w:themeColor="text1"/>
          <w:sz w:val="28"/>
          <w:szCs w:val="28"/>
        </w:rPr>
      </w:pPr>
    </w:p>
    <w:p w14:paraId="782E9775" w14:textId="05615BB6" w:rsidR="00F644D7" w:rsidRPr="00514C7B" w:rsidRDefault="00F644D7" w:rsidP="00514C7B">
      <w:pPr>
        <w:spacing w:line="360" w:lineRule="auto"/>
        <w:jc w:val="both"/>
        <w:rPr>
          <w:rFonts w:cs="Arial"/>
          <w:b/>
          <w:color w:val="000000" w:themeColor="text1"/>
          <w:sz w:val="28"/>
          <w:szCs w:val="28"/>
        </w:rPr>
      </w:pPr>
      <w:r w:rsidRPr="00514C7B">
        <w:rPr>
          <w:rFonts w:cs="Arial"/>
          <w:b/>
          <w:color w:val="000000" w:themeColor="text1"/>
          <w:sz w:val="28"/>
          <w:szCs w:val="28"/>
        </w:rPr>
        <w:t>TDSP Load Management Programs</w:t>
      </w:r>
    </w:p>
    <w:p w14:paraId="56199BFE" w14:textId="021E5286" w:rsidR="00B876D7" w:rsidRDefault="00F644D7" w:rsidP="00F644D7">
      <w:pPr>
        <w:spacing w:after="200" w:line="276" w:lineRule="auto"/>
        <w:jc w:val="both"/>
        <w:rPr>
          <w:rFonts w:eastAsiaTheme="minorHAnsi" w:cs="Arial"/>
          <w:color w:val="auto"/>
        </w:rPr>
      </w:pPr>
      <w:r w:rsidRPr="001C29C2">
        <w:rPr>
          <w:rFonts w:eastAsiaTheme="minorHAnsi" w:cs="Arial"/>
          <w:color w:val="auto"/>
        </w:rPr>
        <w:t>T</w:t>
      </w:r>
      <w:r>
        <w:rPr>
          <w:rFonts w:eastAsiaTheme="minorHAnsi" w:cs="Arial"/>
          <w:color w:val="auto"/>
        </w:rPr>
        <w:t>he TDSP Load Management Program</w:t>
      </w:r>
      <w:r w:rsidRPr="001C29C2">
        <w:rPr>
          <w:rFonts w:eastAsiaTheme="minorHAnsi" w:cs="Arial"/>
          <w:color w:val="auto"/>
        </w:rPr>
        <w:t xml:space="preserve"> refers to any program created pursuant to </w:t>
      </w:r>
      <w:r w:rsidR="00C668E1">
        <w:rPr>
          <w:rFonts w:eastAsiaTheme="minorHAnsi" w:cs="Arial"/>
          <w:color w:val="auto"/>
        </w:rPr>
        <w:t xml:space="preserve">Public Utility Regulatory Act, </w:t>
      </w:r>
      <w:r w:rsidRPr="00C668E1">
        <w:rPr>
          <w:rFonts w:eastAsiaTheme="minorHAnsi" w:cs="Arial"/>
          <w:smallCaps/>
          <w:color w:val="auto"/>
        </w:rPr>
        <w:t>Texas Utilities Code</w:t>
      </w:r>
      <w:r w:rsidRPr="001C29C2">
        <w:rPr>
          <w:rFonts w:eastAsiaTheme="minorHAnsi" w:cs="Arial"/>
          <w:color w:val="auto"/>
        </w:rPr>
        <w:t xml:space="preserve"> </w:t>
      </w:r>
      <w:r w:rsidR="00C668E1">
        <w:rPr>
          <w:rFonts w:eastAsiaTheme="minorHAnsi" w:cs="Arial"/>
          <w:color w:val="auto"/>
        </w:rPr>
        <w:t>§§</w:t>
      </w:r>
      <w:r w:rsidRPr="001C29C2">
        <w:rPr>
          <w:rFonts w:eastAsiaTheme="minorHAnsi" w:cs="Arial"/>
          <w:color w:val="auto"/>
        </w:rPr>
        <w:t xml:space="preserve"> 36.204 and 39.905 and </w:t>
      </w:r>
      <w:r w:rsidR="00C668E1">
        <w:rPr>
          <w:rFonts w:eastAsiaTheme="minorHAnsi" w:cs="Arial"/>
          <w:color w:val="auto"/>
        </w:rPr>
        <w:t>16 TAC §</w:t>
      </w:r>
      <w:r w:rsidRPr="001C29C2">
        <w:rPr>
          <w:rFonts w:eastAsiaTheme="minorHAnsi" w:cs="Arial"/>
          <w:color w:val="auto"/>
        </w:rPr>
        <w:t xml:space="preserve"> 25.181</w:t>
      </w:r>
      <w:r w:rsidR="00966123">
        <w:rPr>
          <w:rFonts w:eastAsiaTheme="minorHAnsi" w:cs="Arial"/>
          <w:color w:val="auto"/>
        </w:rPr>
        <w:t>. In these programs,</w:t>
      </w:r>
      <w:r w:rsidRPr="001C29C2">
        <w:rPr>
          <w:rFonts w:eastAsiaTheme="minorHAnsi" w:cs="Arial"/>
          <w:color w:val="auto"/>
        </w:rPr>
        <w:t xml:space="preserve"> end-use customers agree to receive payment from a TDSP in exchange for reducing peak demand for a specified duration upon request by the TDSP. </w:t>
      </w:r>
      <w:r w:rsidR="00B52C01">
        <w:rPr>
          <w:rFonts w:eastAsiaTheme="minorHAnsi" w:cs="Arial"/>
          <w:color w:val="auto"/>
        </w:rPr>
        <w:t>These programs have historically only been offered during the summer months of June, July, August</w:t>
      </w:r>
      <w:r w:rsidR="00CA5E96">
        <w:rPr>
          <w:rFonts w:eastAsiaTheme="minorHAnsi" w:cs="Arial"/>
          <w:color w:val="auto"/>
        </w:rPr>
        <w:t>,</w:t>
      </w:r>
      <w:r w:rsidR="00B52C01">
        <w:rPr>
          <w:rFonts w:eastAsiaTheme="minorHAnsi" w:cs="Arial"/>
          <w:color w:val="auto"/>
        </w:rPr>
        <w:t xml:space="preserve"> and September </w:t>
      </w:r>
      <w:r w:rsidRPr="001C29C2">
        <w:rPr>
          <w:rFonts w:eastAsiaTheme="minorHAnsi" w:cs="Arial"/>
          <w:color w:val="auto"/>
        </w:rPr>
        <w:t>in the service territories for AEP</w:t>
      </w:r>
      <w:r w:rsidR="00FD60EC">
        <w:rPr>
          <w:rFonts w:eastAsiaTheme="minorHAnsi" w:cs="Arial"/>
          <w:color w:val="auto"/>
        </w:rPr>
        <w:t xml:space="preserve"> Texas</w:t>
      </w:r>
      <w:r w:rsidRPr="001C29C2">
        <w:rPr>
          <w:rFonts w:eastAsiaTheme="minorHAnsi" w:cs="Arial"/>
          <w:color w:val="auto"/>
        </w:rPr>
        <w:t xml:space="preserve">, </w:t>
      </w:r>
      <w:r w:rsidR="002336FB" w:rsidRPr="001C29C2">
        <w:rPr>
          <w:rFonts w:eastAsiaTheme="minorHAnsi" w:cs="Arial"/>
          <w:color w:val="auto"/>
        </w:rPr>
        <w:t>CenterPoint</w:t>
      </w:r>
      <w:r w:rsidRPr="001C29C2">
        <w:rPr>
          <w:rFonts w:eastAsiaTheme="minorHAnsi" w:cs="Arial"/>
          <w:color w:val="auto"/>
        </w:rPr>
        <w:t xml:space="preserve">, Oncor, and Texas New Mexico Power (TNMP).  </w:t>
      </w:r>
      <w:r w:rsidR="00387ED6">
        <w:rPr>
          <w:rFonts w:eastAsiaTheme="minorHAnsi" w:cs="Arial"/>
          <w:color w:val="auto"/>
        </w:rPr>
        <w:t>In late 2021</w:t>
      </w:r>
      <w:r w:rsidR="00F436F1">
        <w:rPr>
          <w:rFonts w:eastAsiaTheme="minorHAnsi" w:cs="Arial"/>
          <w:color w:val="auto"/>
        </w:rPr>
        <w:t>,</w:t>
      </w:r>
      <w:r w:rsidR="00387ED6">
        <w:rPr>
          <w:rFonts w:eastAsiaTheme="minorHAnsi" w:cs="Arial"/>
          <w:color w:val="auto"/>
        </w:rPr>
        <w:t xml:space="preserve"> th</w:t>
      </w:r>
      <w:r w:rsidR="00DA12BD">
        <w:rPr>
          <w:rFonts w:eastAsiaTheme="minorHAnsi" w:cs="Arial"/>
          <w:color w:val="auto"/>
        </w:rPr>
        <w:t>e offerings</w:t>
      </w:r>
      <w:r w:rsidR="00387ED6">
        <w:rPr>
          <w:rFonts w:eastAsiaTheme="minorHAnsi" w:cs="Arial"/>
          <w:color w:val="auto"/>
        </w:rPr>
        <w:t xml:space="preserve"> changed as each of these four TDSPs </w:t>
      </w:r>
      <w:r w:rsidR="003835CB">
        <w:rPr>
          <w:rFonts w:eastAsiaTheme="minorHAnsi" w:cs="Arial"/>
          <w:color w:val="auto"/>
        </w:rPr>
        <w:t xml:space="preserve">additionally </w:t>
      </w:r>
      <w:r w:rsidR="00387ED6">
        <w:rPr>
          <w:rFonts w:eastAsiaTheme="minorHAnsi" w:cs="Arial"/>
          <w:color w:val="auto"/>
        </w:rPr>
        <w:t xml:space="preserve">offered </w:t>
      </w:r>
      <w:r w:rsidR="00B52C01">
        <w:rPr>
          <w:rFonts w:eastAsiaTheme="minorHAnsi" w:cs="Arial"/>
          <w:color w:val="auto"/>
        </w:rPr>
        <w:t xml:space="preserve">interim programs during the </w:t>
      </w:r>
      <w:r w:rsidR="001D200D">
        <w:rPr>
          <w:rFonts w:eastAsiaTheme="minorHAnsi" w:cs="Arial"/>
          <w:color w:val="auto"/>
        </w:rPr>
        <w:t xml:space="preserve">2021-2022 </w:t>
      </w:r>
      <w:r w:rsidR="00B52C01">
        <w:rPr>
          <w:rFonts w:eastAsiaTheme="minorHAnsi" w:cs="Arial"/>
          <w:color w:val="auto"/>
        </w:rPr>
        <w:t>winter period.</w:t>
      </w:r>
      <w:r w:rsidR="00352626">
        <w:rPr>
          <w:rFonts w:eastAsiaTheme="minorHAnsi" w:cs="Arial"/>
          <w:color w:val="auto"/>
        </w:rPr>
        <w:t xml:space="preserve"> Those </w:t>
      </w:r>
      <w:r w:rsidR="00A33E36">
        <w:rPr>
          <w:rFonts w:eastAsiaTheme="minorHAnsi" w:cs="Arial"/>
          <w:color w:val="auto"/>
        </w:rPr>
        <w:t xml:space="preserve">interim </w:t>
      </w:r>
      <w:r w:rsidR="00352626">
        <w:rPr>
          <w:rFonts w:eastAsiaTheme="minorHAnsi" w:cs="Arial"/>
          <w:color w:val="auto"/>
        </w:rPr>
        <w:t>programs were extended for the 2022-2023 winter period.</w:t>
      </w:r>
      <w:r w:rsidR="00156B29">
        <w:rPr>
          <w:rFonts w:eastAsiaTheme="minorHAnsi" w:cs="Arial"/>
          <w:color w:val="auto"/>
        </w:rPr>
        <w:t xml:space="preserve"> </w:t>
      </w:r>
      <w:r w:rsidR="00B52C01">
        <w:rPr>
          <w:rFonts w:eastAsiaTheme="minorHAnsi" w:cs="Arial"/>
          <w:color w:val="auto"/>
        </w:rPr>
        <w:t xml:space="preserve"> </w:t>
      </w:r>
      <w:r w:rsidR="00F125B9">
        <w:rPr>
          <w:rFonts w:eastAsiaTheme="minorHAnsi" w:cs="Arial"/>
          <w:color w:val="auto"/>
        </w:rPr>
        <w:t xml:space="preserve">Table </w:t>
      </w:r>
      <w:r w:rsidR="00742B60">
        <w:rPr>
          <w:rFonts w:eastAsiaTheme="minorHAnsi" w:cs="Arial"/>
          <w:color w:val="auto"/>
        </w:rPr>
        <w:t>12</w:t>
      </w:r>
      <w:r w:rsidR="006E5CC2">
        <w:rPr>
          <w:rFonts w:eastAsiaTheme="minorHAnsi" w:cs="Arial"/>
          <w:color w:val="auto"/>
        </w:rPr>
        <w:t xml:space="preserve"> </w:t>
      </w:r>
      <w:r w:rsidR="00F125B9">
        <w:rPr>
          <w:rFonts w:eastAsiaTheme="minorHAnsi" w:cs="Arial"/>
          <w:color w:val="auto"/>
        </w:rPr>
        <w:t>provides</w:t>
      </w:r>
      <w:r w:rsidR="008E7AE7">
        <w:rPr>
          <w:rFonts w:eastAsiaTheme="minorHAnsi" w:cs="Arial"/>
          <w:color w:val="auto"/>
        </w:rPr>
        <w:t xml:space="preserve"> a </w:t>
      </w:r>
      <w:r w:rsidR="00F125B9">
        <w:rPr>
          <w:rFonts w:eastAsiaTheme="minorHAnsi" w:cs="Arial"/>
          <w:color w:val="auto"/>
        </w:rPr>
        <w:t>summary of each of those</w:t>
      </w:r>
      <w:r w:rsidR="008E7AE7">
        <w:rPr>
          <w:rFonts w:eastAsiaTheme="minorHAnsi" w:cs="Arial"/>
          <w:color w:val="auto"/>
        </w:rPr>
        <w:t xml:space="preserve"> programs.</w:t>
      </w:r>
    </w:p>
    <w:p w14:paraId="17892FEF" w14:textId="60509DD8" w:rsidR="00F125B9" w:rsidRPr="006E5CC2" w:rsidRDefault="00F125B9" w:rsidP="00F125B9">
      <w:pPr>
        <w:jc w:val="both"/>
        <w:rPr>
          <w:rFonts w:eastAsiaTheme="minorHAnsi" w:cs="Arial"/>
          <w:i/>
          <w:color w:val="auto"/>
          <w:sz w:val="16"/>
          <w:szCs w:val="16"/>
        </w:rPr>
      </w:pPr>
      <w:r w:rsidRPr="006E5CC2">
        <w:rPr>
          <w:i/>
          <w:sz w:val="16"/>
          <w:szCs w:val="16"/>
        </w:rPr>
        <w:t xml:space="preserve">Table </w:t>
      </w:r>
      <w:r w:rsidR="00742B60">
        <w:rPr>
          <w:i/>
          <w:sz w:val="16"/>
          <w:szCs w:val="16"/>
        </w:rPr>
        <w:t>12</w:t>
      </w:r>
      <w:r w:rsidR="00A33E36">
        <w:rPr>
          <w:i/>
          <w:sz w:val="16"/>
          <w:szCs w:val="16"/>
        </w:rPr>
        <w:t xml:space="preserve">: </w:t>
      </w:r>
      <w:r w:rsidRPr="006E5CC2">
        <w:rPr>
          <w:i/>
          <w:sz w:val="16"/>
          <w:szCs w:val="16"/>
        </w:rPr>
        <w:t>TDSP Winter Interim Load Management Program Summary</w:t>
      </w:r>
    </w:p>
    <w:p w14:paraId="5B32B223" w14:textId="5FCC5D72" w:rsidR="00D41A06" w:rsidRDefault="00D41A06" w:rsidP="00F644D7">
      <w:pPr>
        <w:spacing w:after="200" w:line="276" w:lineRule="auto"/>
        <w:jc w:val="both"/>
        <w:rPr>
          <w:rFonts w:eastAsiaTheme="minorHAnsi" w:cs="Arial"/>
          <w:color w:val="auto"/>
        </w:rPr>
      </w:pPr>
      <w:r>
        <w:rPr>
          <w:noProof/>
        </w:rPr>
        <w:drawing>
          <wp:inline distT="0" distB="0" distL="0" distR="0" wp14:anchorId="3E29C78A" wp14:editId="2DB00109">
            <wp:extent cx="5943600" cy="1460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460500"/>
                    </a:xfrm>
                    <a:prstGeom prst="rect">
                      <a:avLst/>
                    </a:prstGeom>
                  </pic:spPr>
                </pic:pic>
              </a:graphicData>
            </a:graphic>
          </wp:inline>
        </w:drawing>
      </w:r>
    </w:p>
    <w:p w14:paraId="2E7562CF" w14:textId="0E5DF36E" w:rsidR="00446D80" w:rsidRDefault="00A33E36" w:rsidP="00F644D7">
      <w:pPr>
        <w:spacing w:after="200" w:line="276" w:lineRule="auto"/>
        <w:jc w:val="both"/>
        <w:rPr>
          <w:rFonts w:eastAsiaTheme="minorHAnsi" w:cs="Arial"/>
          <w:color w:val="auto"/>
        </w:rPr>
      </w:pPr>
      <w:r>
        <w:rPr>
          <w:rFonts w:eastAsiaTheme="minorHAnsi" w:cs="Arial"/>
          <w:color w:val="auto"/>
        </w:rPr>
        <w:t>In regard to</w:t>
      </w:r>
      <w:r w:rsidR="00371E82">
        <w:rPr>
          <w:rFonts w:eastAsiaTheme="minorHAnsi" w:cs="Arial"/>
          <w:color w:val="auto"/>
        </w:rPr>
        <w:t xml:space="preserve"> t</w:t>
      </w:r>
      <w:r w:rsidR="001D200D">
        <w:rPr>
          <w:rFonts w:eastAsiaTheme="minorHAnsi" w:cs="Arial"/>
          <w:color w:val="auto"/>
        </w:rPr>
        <w:t>he TDSP Load Management programs offered during the summer months</w:t>
      </w:r>
      <w:r w:rsidR="000D3FAF">
        <w:rPr>
          <w:rFonts w:eastAsiaTheme="minorHAnsi" w:cs="Arial"/>
          <w:color w:val="auto"/>
        </w:rPr>
        <w:t>,</w:t>
      </w:r>
      <w:r w:rsidR="00F644D7" w:rsidRPr="001C29C2">
        <w:rPr>
          <w:rFonts w:eastAsiaTheme="minorHAnsi" w:cs="Arial"/>
          <w:color w:val="auto"/>
        </w:rPr>
        <w:t xml:space="preserve"> there are </w:t>
      </w:r>
      <w:r w:rsidR="00371E82">
        <w:rPr>
          <w:rFonts w:eastAsiaTheme="minorHAnsi" w:cs="Arial"/>
          <w:color w:val="auto"/>
        </w:rPr>
        <w:t xml:space="preserve">some </w:t>
      </w:r>
      <w:r w:rsidR="00F644D7" w:rsidRPr="001C29C2">
        <w:rPr>
          <w:rFonts w:eastAsiaTheme="minorHAnsi" w:cs="Arial"/>
          <w:color w:val="auto"/>
        </w:rPr>
        <w:t>variations in these programs</w:t>
      </w:r>
      <w:r w:rsidR="00742B60">
        <w:rPr>
          <w:rFonts w:eastAsiaTheme="minorHAnsi" w:cs="Arial"/>
          <w:color w:val="auto"/>
        </w:rPr>
        <w:t xml:space="preserve">. AEP Texas, </w:t>
      </w:r>
      <w:r w:rsidR="007D537E">
        <w:rPr>
          <w:rFonts w:eastAsiaTheme="minorHAnsi" w:cs="Arial"/>
          <w:color w:val="auto"/>
        </w:rPr>
        <w:t>CenterPoint</w:t>
      </w:r>
      <w:r w:rsidR="00742B60">
        <w:rPr>
          <w:rFonts w:eastAsiaTheme="minorHAnsi" w:cs="Arial"/>
          <w:color w:val="auto"/>
        </w:rPr>
        <w:t xml:space="preserve"> and TNMP’s program parameters for the summer remained </w:t>
      </w:r>
      <w:r w:rsidR="00F644D7" w:rsidRPr="001C29C2">
        <w:rPr>
          <w:rFonts w:eastAsiaTheme="minorHAnsi" w:cs="Arial"/>
          <w:color w:val="auto"/>
        </w:rPr>
        <w:t xml:space="preserve">generally </w:t>
      </w:r>
      <w:r w:rsidR="00742B60">
        <w:rPr>
          <w:rFonts w:eastAsiaTheme="minorHAnsi" w:cs="Arial"/>
          <w:color w:val="auto"/>
        </w:rPr>
        <w:t>unchanged from previous years. T</w:t>
      </w:r>
      <w:r w:rsidR="00F644D7" w:rsidRPr="001C29C2">
        <w:rPr>
          <w:rFonts w:eastAsiaTheme="minorHAnsi" w:cs="Arial"/>
          <w:color w:val="auto"/>
        </w:rPr>
        <w:t>hey are only available during weekdays from June 1 through September 30</w:t>
      </w:r>
      <w:r w:rsidR="0042443B">
        <w:rPr>
          <w:rFonts w:eastAsiaTheme="minorHAnsi" w:cs="Arial"/>
          <w:color w:val="auto"/>
        </w:rPr>
        <w:t>,</w:t>
      </w:r>
      <w:r w:rsidR="00F644D7" w:rsidRPr="001C29C2">
        <w:rPr>
          <w:rFonts w:eastAsiaTheme="minorHAnsi" w:cs="Arial"/>
          <w:color w:val="auto"/>
        </w:rPr>
        <w:t xml:space="preserve"> between the hours of 1</w:t>
      </w:r>
      <w:r>
        <w:rPr>
          <w:rFonts w:eastAsiaTheme="minorHAnsi" w:cs="Arial"/>
          <w:color w:val="auto"/>
        </w:rPr>
        <w:t>:00</w:t>
      </w:r>
      <w:r w:rsidR="00966123">
        <w:rPr>
          <w:rFonts w:eastAsiaTheme="minorHAnsi" w:cs="Arial"/>
          <w:color w:val="auto"/>
        </w:rPr>
        <w:t xml:space="preserve"> p.m.</w:t>
      </w:r>
      <w:r w:rsidR="00F644D7" w:rsidRPr="001C29C2">
        <w:rPr>
          <w:rFonts w:eastAsiaTheme="minorHAnsi" w:cs="Arial"/>
          <w:color w:val="auto"/>
        </w:rPr>
        <w:t xml:space="preserve"> and 7</w:t>
      </w:r>
      <w:r>
        <w:rPr>
          <w:rFonts w:eastAsiaTheme="minorHAnsi" w:cs="Arial"/>
          <w:color w:val="auto"/>
        </w:rPr>
        <w:t>:00</w:t>
      </w:r>
      <w:r w:rsidR="00F644D7" w:rsidRPr="001C29C2">
        <w:rPr>
          <w:rFonts w:eastAsiaTheme="minorHAnsi" w:cs="Arial"/>
          <w:color w:val="auto"/>
        </w:rPr>
        <w:t xml:space="preserve"> p.m. </w:t>
      </w:r>
      <w:r w:rsidR="00742B60">
        <w:rPr>
          <w:rFonts w:eastAsiaTheme="minorHAnsi" w:cs="Arial"/>
          <w:color w:val="auto"/>
        </w:rPr>
        <w:t xml:space="preserve">Oncor however modified their program to be available for deployment 24/7. Also, historically </w:t>
      </w:r>
      <w:r w:rsidR="00371E82">
        <w:rPr>
          <w:rFonts w:eastAsiaTheme="minorHAnsi" w:cs="Arial"/>
          <w:color w:val="auto"/>
        </w:rPr>
        <w:t>there w</w:t>
      </w:r>
      <w:r w:rsidR="00742B60">
        <w:rPr>
          <w:rFonts w:eastAsiaTheme="minorHAnsi" w:cs="Arial"/>
          <w:color w:val="auto"/>
        </w:rPr>
        <w:t xml:space="preserve">ere </w:t>
      </w:r>
      <w:r w:rsidR="00371E82">
        <w:rPr>
          <w:rFonts w:eastAsiaTheme="minorHAnsi" w:cs="Arial"/>
          <w:color w:val="auto"/>
        </w:rPr>
        <w:t xml:space="preserve">some variations in the </w:t>
      </w:r>
      <w:r w:rsidR="00371E82">
        <w:rPr>
          <w:rFonts w:eastAsiaTheme="minorHAnsi" w:cs="Arial"/>
          <w:color w:val="auto"/>
        </w:rPr>
        <w:lastRenderedPageBreak/>
        <w:t xml:space="preserve">deployment ramp times among the four programs but </w:t>
      </w:r>
      <w:r w:rsidR="00742B60">
        <w:rPr>
          <w:rFonts w:eastAsiaTheme="minorHAnsi" w:cs="Arial"/>
          <w:color w:val="auto"/>
        </w:rPr>
        <w:t>starting in 2022</w:t>
      </w:r>
      <w:r w:rsidR="00371E82">
        <w:rPr>
          <w:rFonts w:eastAsiaTheme="minorHAnsi" w:cs="Arial"/>
          <w:color w:val="auto"/>
        </w:rPr>
        <w:t xml:space="preserve"> they all aligned with a </w:t>
      </w:r>
      <w:r w:rsidR="006E5CC2">
        <w:rPr>
          <w:rFonts w:eastAsiaTheme="minorHAnsi" w:cs="Arial"/>
          <w:color w:val="auto"/>
        </w:rPr>
        <w:t>30-minute</w:t>
      </w:r>
      <w:r w:rsidR="00371E82">
        <w:rPr>
          <w:rFonts w:eastAsiaTheme="minorHAnsi" w:cs="Arial"/>
          <w:color w:val="auto"/>
        </w:rPr>
        <w:t xml:space="preserve"> ramp</w:t>
      </w:r>
      <w:r w:rsidR="00F644D7" w:rsidRPr="001C29C2">
        <w:rPr>
          <w:rFonts w:eastAsiaTheme="minorHAnsi" w:cs="Arial"/>
          <w:color w:val="auto"/>
        </w:rPr>
        <w:t xml:space="preserve">. </w:t>
      </w:r>
      <w:r w:rsidR="00F215AA">
        <w:rPr>
          <w:rFonts w:eastAsiaTheme="minorHAnsi" w:cs="Arial"/>
          <w:color w:val="auto"/>
        </w:rPr>
        <w:t xml:space="preserve">Table </w:t>
      </w:r>
      <w:r w:rsidR="00742B60">
        <w:rPr>
          <w:rFonts w:eastAsiaTheme="minorHAnsi" w:cs="Arial"/>
          <w:color w:val="auto"/>
        </w:rPr>
        <w:t>13</w:t>
      </w:r>
      <w:r w:rsidR="006E5CC2">
        <w:rPr>
          <w:rFonts w:eastAsiaTheme="minorHAnsi" w:cs="Arial"/>
          <w:color w:val="auto"/>
        </w:rPr>
        <w:t xml:space="preserve"> </w:t>
      </w:r>
      <w:r w:rsidR="00F215AA">
        <w:rPr>
          <w:rFonts w:eastAsiaTheme="minorHAnsi" w:cs="Arial"/>
          <w:color w:val="auto"/>
        </w:rPr>
        <w:t>provides</w:t>
      </w:r>
      <w:r w:rsidR="00371E82">
        <w:rPr>
          <w:rFonts w:eastAsiaTheme="minorHAnsi" w:cs="Arial"/>
          <w:color w:val="auto"/>
        </w:rPr>
        <w:t xml:space="preserve"> a description of the TDSP Load Management programs for the June 1 through September 30, </w:t>
      </w:r>
      <w:r w:rsidR="007D537E">
        <w:rPr>
          <w:rFonts w:eastAsiaTheme="minorHAnsi" w:cs="Arial"/>
          <w:color w:val="auto"/>
        </w:rPr>
        <w:t>2023,</w:t>
      </w:r>
      <w:r w:rsidR="000B14CC">
        <w:rPr>
          <w:rFonts w:eastAsiaTheme="minorHAnsi" w:cs="Arial"/>
          <w:color w:val="auto"/>
        </w:rPr>
        <w:t xml:space="preserve"> </w:t>
      </w:r>
      <w:r w:rsidR="00371E82">
        <w:rPr>
          <w:rFonts w:eastAsiaTheme="minorHAnsi" w:cs="Arial"/>
          <w:color w:val="auto"/>
        </w:rPr>
        <w:t xml:space="preserve">program year. </w:t>
      </w:r>
      <w:r>
        <w:rPr>
          <w:rFonts w:eastAsiaTheme="minorHAnsi" w:cs="Arial"/>
          <w:color w:val="auto"/>
        </w:rPr>
        <w:t>Because</w:t>
      </w:r>
      <w:r w:rsidR="00371E82">
        <w:rPr>
          <w:rFonts w:eastAsiaTheme="minorHAnsi" w:cs="Arial"/>
          <w:color w:val="auto"/>
        </w:rPr>
        <w:t xml:space="preserve"> the </w:t>
      </w:r>
      <w:r w:rsidR="00FA27F7">
        <w:rPr>
          <w:rFonts w:eastAsiaTheme="minorHAnsi" w:cs="Arial"/>
          <w:color w:val="auto"/>
        </w:rPr>
        <w:t xml:space="preserve">verified </w:t>
      </w:r>
      <w:r w:rsidR="00371E82">
        <w:rPr>
          <w:rFonts w:eastAsiaTheme="minorHAnsi" w:cs="Arial"/>
          <w:color w:val="auto"/>
        </w:rPr>
        <w:t>demand savings were not known at the time of this report</w:t>
      </w:r>
      <w:r w:rsidR="001D16DD">
        <w:rPr>
          <w:rFonts w:eastAsiaTheme="minorHAnsi" w:cs="Arial"/>
          <w:color w:val="auto"/>
        </w:rPr>
        <w:t>,</w:t>
      </w:r>
      <w:r w:rsidR="00371E82">
        <w:rPr>
          <w:rFonts w:eastAsiaTheme="minorHAnsi" w:cs="Arial"/>
          <w:color w:val="auto"/>
        </w:rPr>
        <w:t xml:space="preserve"> the </w:t>
      </w:r>
      <w:r w:rsidR="00FA27F7">
        <w:rPr>
          <w:rFonts w:eastAsiaTheme="minorHAnsi" w:cs="Arial"/>
          <w:color w:val="auto"/>
        </w:rPr>
        <w:t xml:space="preserve">estimated demand savings are provided. It should also be noted that AEP </w:t>
      </w:r>
      <w:r w:rsidR="002D1965">
        <w:rPr>
          <w:rFonts w:eastAsiaTheme="minorHAnsi" w:cs="Arial"/>
          <w:color w:val="auto"/>
        </w:rPr>
        <w:t xml:space="preserve">Texas </w:t>
      </w:r>
      <w:r w:rsidR="00FA27F7">
        <w:rPr>
          <w:rFonts w:eastAsiaTheme="minorHAnsi" w:cs="Arial"/>
          <w:color w:val="auto"/>
        </w:rPr>
        <w:t>offers different options for their program</w:t>
      </w:r>
      <w:r>
        <w:rPr>
          <w:rFonts w:eastAsiaTheme="minorHAnsi" w:cs="Arial"/>
          <w:color w:val="auto"/>
        </w:rPr>
        <w:t>,</w:t>
      </w:r>
      <w:r w:rsidR="00FA27F7">
        <w:rPr>
          <w:rFonts w:eastAsiaTheme="minorHAnsi" w:cs="Arial"/>
          <w:color w:val="auto"/>
        </w:rPr>
        <w:t xml:space="preserve"> with some options only available during August and September</w:t>
      </w:r>
      <w:r>
        <w:rPr>
          <w:rFonts w:eastAsiaTheme="minorHAnsi" w:cs="Arial"/>
          <w:color w:val="auto"/>
        </w:rPr>
        <w:t>,</w:t>
      </w:r>
      <w:r w:rsidR="00FA27F7">
        <w:rPr>
          <w:rFonts w:eastAsiaTheme="minorHAnsi" w:cs="Arial"/>
          <w:color w:val="auto"/>
        </w:rPr>
        <w:t xml:space="preserve"> </w:t>
      </w:r>
      <w:r>
        <w:rPr>
          <w:rFonts w:eastAsiaTheme="minorHAnsi" w:cs="Arial"/>
          <w:color w:val="auto"/>
        </w:rPr>
        <w:t>which is</w:t>
      </w:r>
      <w:r w:rsidR="00FA27F7">
        <w:rPr>
          <w:rFonts w:eastAsiaTheme="minorHAnsi" w:cs="Arial"/>
          <w:color w:val="auto"/>
        </w:rPr>
        <w:t xml:space="preserve"> the reason </w:t>
      </w:r>
      <w:r>
        <w:rPr>
          <w:rFonts w:eastAsiaTheme="minorHAnsi" w:cs="Arial"/>
          <w:color w:val="auto"/>
        </w:rPr>
        <w:t>that</w:t>
      </w:r>
      <w:r w:rsidR="00FA27F7">
        <w:rPr>
          <w:rFonts w:eastAsiaTheme="minorHAnsi" w:cs="Arial"/>
          <w:color w:val="auto"/>
        </w:rPr>
        <w:t xml:space="preserve"> two numbers </w:t>
      </w:r>
      <w:r>
        <w:rPr>
          <w:rFonts w:eastAsiaTheme="minorHAnsi" w:cs="Arial"/>
          <w:color w:val="auto"/>
        </w:rPr>
        <w:t xml:space="preserve">are </w:t>
      </w:r>
      <w:r w:rsidR="00FA27F7">
        <w:rPr>
          <w:rFonts w:eastAsiaTheme="minorHAnsi" w:cs="Arial"/>
          <w:color w:val="auto"/>
        </w:rPr>
        <w:t xml:space="preserve">presented for their estimated demand savings. </w:t>
      </w:r>
    </w:p>
    <w:p w14:paraId="2DD931DF" w14:textId="775895BC" w:rsidR="006E5CC2" w:rsidRDefault="006E5CC2" w:rsidP="00F125B9">
      <w:pPr>
        <w:jc w:val="both"/>
        <w:rPr>
          <w:i/>
          <w:sz w:val="18"/>
          <w:szCs w:val="18"/>
        </w:rPr>
      </w:pPr>
    </w:p>
    <w:p w14:paraId="3C39294C" w14:textId="45507790" w:rsidR="00F125B9" w:rsidRDefault="00F125B9" w:rsidP="00F125B9">
      <w:pPr>
        <w:jc w:val="both"/>
        <w:rPr>
          <w:rFonts w:eastAsiaTheme="minorHAnsi" w:cs="Arial"/>
          <w:i/>
          <w:color w:val="auto"/>
          <w:sz w:val="18"/>
          <w:szCs w:val="18"/>
        </w:rPr>
      </w:pPr>
      <w:r w:rsidRPr="00E73276">
        <w:rPr>
          <w:i/>
          <w:sz w:val="18"/>
          <w:szCs w:val="18"/>
        </w:rPr>
        <w:t xml:space="preserve">Table </w:t>
      </w:r>
      <w:r w:rsidR="00742B60">
        <w:rPr>
          <w:i/>
          <w:sz w:val="18"/>
          <w:szCs w:val="18"/>
        </w:rPr>
        <w:t>13</w:t>
      </w:r>
      <w:r w:rsidR="00B062A8">
        <w:rPr>
          <w:i/>
          <w:sz w:val="18"/>
          <w:szCs w:val="18"/>
        </w:rPr>
        <w:t>:</w:t>
      </w:r>
      <w:r w:rsidRPr="00F125B9">
        <w:rPr>
          <w:i/>
          <w:sz w:val="18"/>
          <w:szCs w:val="18"/>
        </w:rPr>
        <w:t xml:space="preserve"> </w:t>
      </w:r>
      <w:r>
        <w:rPr>
          <w:i/>
          <w:sz w:val="18"/>
          <w:szCs w:val="18"/>
        </w:rPr>
        <w:t>TDSP</w:t>
      </w:r>
      <w:r w:rsidR="00F215AA">
        <w:rPr>
          <w:i/>
          <w:sz w:val="18"/>
          <w:szCs w:val="18"/>
        </w:rPr>
        <w:t xml:space="preserve"> Summer</w:t>
      </w:r>
      <w:r>
        <w:rPr>
          <w:i/>
          <w:sz w:val="18"/>
          <w:szCs w:val="18"/>
        </w:rPr>
        <w:t xml:space="preserve"> Load Management Program Summary</w:t>
      </w:r>
    </w:p>
    <w:p w14:paraId="2DABC331" w14:textId="3BD6A95C" w:rsidR="00E267AF" w:rsidRDefault="00E267AF" w:rsidP="00E777CE">
      <w:pPr>
        <w:spacing w:after="200" w:line="276" w:lineRule="auto"/>
        <w:jc w:val="both"/>
        <w:rPr>
          <w:rFonts w:eastAsiaTheme="minorHAnsi" w:cs="Arial"/>
          <w:color w:val="auto"/>
        </w:rPr>
      </w:pPr>
      <w:r w:rsidRPr="00E267AF">
        <w:rPr>
          <w:rFonts w:eastAsiaTheme="minorHAnsi"/>
          <w:noProof/>
        </w:rPr>
        <w:drawing>
          <wp:inline distT="0" distB="0" distL="0" distR="0" wp14:anchorId="4B3EF515" wp14:editId="346D2120">
            <wp:extent cx="5943600" cy="1430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430020"/>
                    </a:xfrm>
                    <a:prstGeom prst="rect">
                      <a:avLst/>
                    </a:prstGeom>
                    <a:noFill/>
                    <a:ln>
                      <a:noFill/>
                    </a:ln>
                  </pic:spPr>
                </pic:pic>
              </a:graphicData>
            </a:graphic>
          </wp:inline>
        </w:drawing>
      </w:r>
    </w:p>
    <w:p w14:paraId="685C6A0D" w14:textId="4F50DB80" w:rsidR="00DC5FC8" w:rsidRDefault="00F644D7" w:rsidP="00E777CE">
      <w:pPr>
        <w:spacing w:after="200" w:line="276" w:lineRule="auto"/>
        <w:jc w:val="both"/>
        <w:rPr>
          <w:rFonts w:eastAsiaTheme="minorHAnsi" w:cs="Arial"/>
          <w:color w:val="auto"/>
        </w:rPr>
      </w:pPr>
      <w:r w:rsidRPr="001C29C2">
        <w:rPr>
          <w:rFonts w:eastAsiaTheme="minorHAnsi" w:cs="Arial"/>
          <w:color w:val="auto"/>
        </w:rPr>
        <w:t>Through a</w:t>
      </w:r>
      <w:r w:rsidR="0080223A">
        <w:rPr>
          <w:rFonts w:eastAsiaTheme="minorHAnsi" w:cs="Arial"/>
          <w:color w:val="auto"/>
        </w:rPr>
        <w:t>n</w:t>
      </w:r>
      <w:r w:rsidRPr="001C29C2">
        <w:rPr>
          <w:rFonts w:eastAsiaTheme="minorHAnsi" w:cs="Arial"/>
          <w:color w:val="auto"/>
        </w:rPr>
        <w:t xml:space="preserve"> agreement between the TDSPs and ERCOT</w:t>
      </w:r>
      <w:r w:rsidR="0042443B">
        <w:rPr>
          <w:rFonts w:eastAsiaTheme="minorHAnsi" w:cs="Arial"/>
          <w:color w:val="auto"/>
        </w:rPr>
        <w:t>,</w:t>
      </w:r>
      <w:r w:rsidRPr="001C29C2">
        <w:rPr>
          <w:rFonts w:eastAsiaTheme="minorHAnsi" w:cs="Arial"/>
          <w:color w:val="auto"/>
        </w:rPr>
        <w:t xml:space="preserve"> these </w:t>
      </w:r>
      <w:r w:rsidR="008072AC">
        <w:rPr>
          <w:rFonts w:eastAsiaTheme="minorHAnsi" w:cs="Arial"/>
          <w:color w:val="auto"/>
        </w:rPr>
        <w:t>L</w:t>
      </w:r>
      <w:r w:rsidR="008072AC" w:rsidRPr="001C29C2">
        <w:rPr>
          <w:rFonts w:eastAsiaTheme="minorHAnsi" w:cs="Arial"/>
          <w:color w:val="auto"/>
        </w:rPr>
        <w:t xml:space="preserve">oads </w:t>
      </w:r>
      <w:r w:rsidRPr="001C29C2">
        <w:rPr>
          <w:rFonts w:eastAsiaTheme="minorHAnsi" w:cs="Arial"/>
          <w:color w:val="auto"/>
        </w:rPr>
        <w:t xml:space="preserve">may be deployed </w:t>
      </w:r>
      <w:r w:rsidR="00446D80">
        <w:rPr>
          <w:rFonts w:eastAsiaTheme="minorHAnsi" w:cs="Arial"/>
          <w:color w:val="auto"/>
        </w:rPr>
        <w:t xml:space="preserve">by an ERCOT instruction </w:t>
      </w:r>
      <w:r w:rsidRPr="001C29C2">
        <w:rPr>
          <w:rFonts w:eastAsiaTheme="minorHAnsi" w:cs="Arial"/>
          <w:color w:val="auto"/>
        </w:rPr>
        <w:t>during a</w:t>
      </w:r>
      <w:r w:rsidR="00966123">
        <w:rPr>
          <w:rFonts w:eastAsiaTheme="minorHAnsi" w:cs="Arial"/>
          <w:color w:val="auto"/>
        </w:rPr>
        <w:t>n EEA</w:t>
      </w:r>
      <w:r w:rsidRPr="001C29C2">
        <w:rPr>
          <w:rFonts w:eastAsiaTheme="minorHAnsi" w:cs="Arial"/>
          <w:color w:val="auto"/>
        </w:rPr>
        <w:t xml:space="preserve"> Level 2.</w:t>
      </w:r>
      <w:r w:rsidR="0080223A">
        <w:rPr>
          <w:rFonts w:eastAsiaTheme="minorHAnsi" w:cs="Arial"/>
          <w:color w:val="auto"/>
        </w:rPr>
        <w:t xml:space="preserve"> </w:t>
      </w:r>
      <w:r w:rsidR="00A33E36">
        <w:rPr>
          <w:rFonts w:eastAsiaTheme="minorHAnsi" w:cs="Arial"/>
          <w:color w:val="auto"/>
        </w:rPr>
        <w:t>However, t</w:t>
      </w:r>
      <w:r w:rsidR="0080223A">
        <w:rPr>
          <w:rFonts w:eastAsiaTheme="minorHAnsi" w:cs="Arial"/>
          <w:color w:val="auto"/>
        </w:rPr>
        <w:t>his</w:t>
      </w:r>
      <w:r w:rsidR="00ED4AE9">
        <w:rPr>
          <w:rFonts w:eastAsiaTheme="minorHAnsi" w:cs="Arial"/>
          <w:color w:val="auto"/>
        </w:rPr>
        <w:t xml:space="preserve"> agreement</w:t>
      </w:r>
      <w:r w:rsidR="00B209B6">
        <w:rPr>
          <w:rFonts w:eastAsiaTheme="minorHAnsi" w:cs="Arial"/>
          <w:color w:val="auto"/>
        </w:rPr>
        <w:t xml:space="preserve"> </w:t>
      </w:r>
      <w:r w:rsidR="00ED4AE9">
        <w:rPr>
          <w:rFonts w:eastAsiaTheme="minorHAnsi" w:cs="Arial"/>
          <w:color w:val="auto"/>
        </w:rPr>
        <w:t xml:space="preserve">does not prohibit the TDSPs from deploying </w:t>
      </w:r>
      <w:r w:rsidR="0080223A">
        <w:rPr>
          <w:rFonts w:eastAsiaTheme="minorHAnsi" w:cs="Arial"/>
          <w:color w:val="auto"/>
        </w:rPr>
        <w:t xml:space="preserve">these programs for </w:t>
      </w:r>
      <w:r w:rsidR="00F44340">
        <w:rPr>
          <w:rFonts w:eastAsiaTheme="minorHAnsi" w:cs="Arial"/>
          <w:color w:val="auto"/>
        </w:rPr>
        <w:t xml:space="preserve">either </w:t>
      </w:r>
      <w:r w:rsidR="0080223A">
        <w:rPr>
          <w:rFonts w:eastAsiaTheme="minorHAnsi" w:cs="Arial"/>
          <w:color w:val="auto"/>
        </w:rPr>
        <w:t xml:space="preserve">testing purposes or </w:t>
      </w:r>
      <w:r w:rsidR="00B209B6">
        <w:rPr>
          <w:rFonts w:eastAsiaTheme="minorHAnsi" w:cs="Arial"/>
          <w:color w:val="auto"/>
        </w:rPr>
        <w:t>for their own use</w:t>
      </w:r>
      <w:r w:rsidR="00ED4AE9">
        <w:rPr>
          <w:rFonts w:eastAsiaTheme="minorHAnsi" w:cs="Arial"/>
          <w:color w:val="auto"/>
        </w:rPr>
        <w:t>.</w:t>
      </w:r>
      <w:r w:rsidR="00257946">
        <w:rPr>
          <w:rFonts w:eastAsiaTheme="minorHAnsi" w:cs="Arial"/>
          <w:color w:val="auto"/>
        </w:rPr>
        <w:t xml:space="preserve"> </w:t>
      </w:r>
      <w:r w:rsidR="00C01FFB">
        <w:rPr>
          <w:rFonts w:eastAsiaTheme="minorHAnsi" w:cs="Arial"/>
          <w:color w:val="auto"/>
        </w:rPr>
        <w:t>There were no ERCOT</w:t>
      </w:r>
      <w:r w:rsidR="00A33E36">
        <w:rPr>
          <w:rFonts w:eastAsiaTheme="minorHAnsi" w:cs="Arial"/>
          <w:color w:val="auto"/>
        </w:rPr>
        <w:t>-</w:t>
      </w:r>
      <w:r w:rsidR="00C01FFB">
        <w:rPr>
          <w:rFonts w:eastAsiaTheme="minorHAnsi" w:cs="Arial"/>
          <w:color w:val="auto"/>
        </w:rPr>
        <w:t xml:space="preserve">initiated </w:t>
      </w:r>
      <w:r w:rsidR="00FA27F7">
        <w:rPr>
          <w:rFonts w:eastAsiaTheme="minorHAnsi" w:cs="Arial"/>
          <w:color w:val="auto"/>
        </w:rPr>
        <w:t xml:space="preserve">emergency </w:t>
      </w:r>
      <w:r w:rsidR="00C01FFB">
        <w:rPr>
          <w:rFonts w:eastAsiaTheme="minorHAnsi" w:cs="Arial"/>
          <w:color w:val="auto"/>
        </w:rPr>
        <w:t>deployment events during t</w:t>
      </w:r>
      <w:r w:rsidR="00FA27F7">
        <w:rPr>
          <w:rFonts w:eastAsiaTheme="minorHAnsi" w:cs="Arial"/>
          <w:color w:val="auto"/>
        </w:rPr>
        <w:t xml:space="preserve">he </w:t>
      </w:r>
      <w:r w:rsidR="000B14CC">
        <w:rPr>
          <w:rFonts w:eastAsiaTheme="minorHAnsi" w:cs="Arial"/>
          <w:color w:val="auto"/>
        </w:rPr>
        <w:t xml:space="preserve">2023 </w:t>
      </w:r>
      <w:r w:rsidR="00C01FFB">
        <w:rPr>
          <w:rFonts w:eastAsiaTheme="minorHAnsi" w:cs="Arial"/>
          <w:color w:val="auto"/>
        </w:rPr>
        <w:t>summer period</w:t>
      </w:r>
      <w:r w:rsidR="00FA27F7">
        <w:rPr>
          <w:rFonts w:eastAsiaTheme="minorHAnsi" w:cs="Arial"/>
          <w:color w:val="auto"/>
        </w:rPr>
        <w:t>.</w:t>
      </w:r>
    </w:p>
    <w:p w14:paraId="7A2B0641" w14:textId="77777777" w:rsidR="008E299D" w:rsidRPr="00514C7B" w:rsidRDefault="008E299D" w:rsidP="00514C7B">
      <w:pPr>
        <w:spacing w:line="360" w:lineRule="auto"/>
        <w:jc w:val="both"/>
        <w:rPr>
          <w:rFonts w:cs="Arial"/>
          <w:b/>
          <w:color w:val="000000" w:themeColor="text1"/>
          <w:sz w:val="28"/>
          <w:szCs w:val="28"/>
        </w:rPr>
      </w:pPr>
      <w:r w:rsidRPr="00514C7B">
        <w:rPr>
          <w:rFonts w:cs="Arial"/>
          <w:b/>
          <w:color w:val="000000" w:themeColor="text1"/>
          <w:sz w:val="28"/>
          <w:szCs w:val="28"/>
        </w:rPr>
        <w:t>4CP Load Reduction and Price-Responsive Demand Response</w:t>
      </w:r>
      <w:r w:rsidRPr="00742B60">
        <w:rPr>
          <w:color w:val="000000" w:themeColor="text1"/>
          <w:sz w:val="28"/>
          <w:szCs w:val="28"/>
          <w:vertAlign w:val="superscript"/>
        </w:rPr>
        <w:footnoteReference w:id="3"/>
      </w:r>
      <w:r w:rsidRPr="00742B60">
        <w:rPr>
          <w:rFonts w:cs="Arial"/>
          <w:b/>
          <w:color w:val="000000" w:themeColor="text1"/>
          <w:sz w:val="28"/>
          <w:szCs w:val="28"/>
          <w:vertAlign w:val="superscript"/>
        </w:rPr>
        <w:t xml:space="preserve"> </w:t>
      </w:r>
    </w:p>
    <w:p w14:paraId="59552585" w14:textId="1600604B" w:rsidR="000B14CC" w:rsidRPr="0087608C" w:rsidRDefault="000B14CC" w:rsidP="000B14CC">
      <w:pPr>
        <w:spacing w:line="276" w:lineRule="auto"/>
        <w:jc w:val="both"/>
        <w:rPr>
          <w:rFonts w:eastAsiaTheme="minorHAnsi" w:cs="Arial"/>
          <w:color w:val="auto"/>
        </w:rPr>
      </w:pPr>
      <w:r w:rsidRPr="0087608C">
        <w:rPr>
          <w:rFonts w:eastAsiaTheme="minorHAnsi" w:cs="Arial"/>
          <w:color w:val="auto"/>
        </w:rPr>
        <w:t xml:space="preserve">Beginning in 2013 and continuing annually under the guidance of the </w:t>
      </w:r>
      <w:r>
        <w:rPr>
          <w:rFonts w:eastAsiaTheme="minorHAnsi" w:cs="Arial"/>
          <w:color w:val="auto"/>
        </w:rPr>
        <w:t xml:space="preserve">Retail Market Subcommittee </w:t>
      </w:r>
      <w:r w:rsidR="00A33E36">
        <w:rPr>
          <w:rFonts w:eastAsiaTheme="minorHAnsi" w:cs="Arial"/>
          <w:color w:val="auto"/>
        </w:rPr>
        <w:t xml:space="preserve">(RMS) </w:t>
      </w:r>
      <w:r>
        <w:rPr>
          <w:rFonts w:eastAsiaTheme="minorHAnsi" w:cs="Arial"/>
          <w:color w:val="auto"/>
        </w:rPr>
        <w:t xml:space="preserve">and the </w:t>
      </w:r>
      <w:r w:rsidRPr="0087608C">
        <w:rPr>
          <w:rFonts w:eastAsiaTheme="minorHAnsi" w:cs="Arial"/>
          <w:color w:val="auto"/>
        </w:rPr>
        <w:t>Demand Side Working Group</w:t>
      </w:r>
      <w:r w:rsidR="00A33E36">
        <w:rPr>
          <w:rFonts w:eastAsiaTheme="minorHAnsi" w:cs="Arial"/>
          <w:color w:val="auto"/>
        </w:rPr>
        <w:t xml:space="preserve"> (DSWG)</w:t>
      </w:r>
      <w:r w:rsidRPr="0087608C">
        <w:rPr>
          <w:rFonts w:eastAsiaTheme="minorHAnsi" w:cs="Arial"/>
          <w:color w:val="auto"/>
        </w:rPr>
        <w:t xml:space="preserve">, ERCOT has conducted retail Demand response and dynamic pricing surveys to determine the magnitude of participation in Demand response products offered by Retail Electric Providers (REPs) operating in the ERCOT Region. Starting in 2018, ERCOT also began collecting Demand response data from </w:t>
      </w:r>
      <w:r>
        <w:rPr>
          <w:rFonts w:eastAsiaTheme="minorHAnsi" w:cs="Arial"/>
          <w:color w:val="auto"/>
        </w:rPr>
        <w:t>Non-Opt-In Entities (</w:t>
      </w:r>
      <w:r w:rsidRPr="0087608C">
        <w:rPr>
          <w:rFonts w:eastAsiaTheme="minorHAnsi" w:cs="Arial"/>
          <w:color w:val="auto"/>
        </w:rPr>
        <w:t>NOIEs</w:t>
      </w:r>
      <w:r>
        <w:rPr>
          <w:rFonts w:eastAsiaTheme="minorHAnsi" w:cs="Arial"/>
          <w:color w:val="auto"/>
        </w:rPr>
        <w:t>)</w:t>
      </w:r>
      <w:r w:rsidRPr="0087608C">
        <w:rPr>
          <w:rFonts w:eastAsiaTheme="minorHAnsi" w:cs="Arial"/>
          <w:color w:val="auto"/>
        </w:rPr>
        <w:t>.</w:t>
      </w:r>
    </w:p>
    <w:p w14:paraId="328D36C2" w14:textId="77777777" w:rsidR="000B14CC" w:rsidRPr="0087608C" w:rsidRDefault="000B14CC" w:rsidP="000B14CC">
      <w:pPr>
        <w:spacing w:line="276" w:lineRule="auto"/>
        <w:jc w:val="both"/>
        <w:rPr>
          <w:rFonts w:eastAsiaTheme="minorHAnsi" w:cs="Arial"/>
          <w:color w:val="auto"/>
        </w:rPr>
      </w:pPr>
    </w:p>
    <w:p w14:paraId="6E7A8957" w14:textId="77777777" w:rsidR="000B14CC" w:rsidRPr="007B0B69" w:rsidRDefault="000B14CC" w:rsidP="00514C7B">
      <w:pPr>
        <w:spacing w:line="276" w:lineRule="auto"/>
        <w:ind w:firstLine="720"/>
        <w:jc w:val="both"/>
        <w:rPr>
          <w:rFonts w:eastAsiaTheme="minorHAnsi" w:cs="Arial"/>
          <w:i/>
          <w:color w:val="auto"/>
        </w:rPr>
      </w:pPr>
      <w:r w:rsidRPr="007B0B69">
        <w:rPr>
          <w:rFonts w:eastAsiaTheme="minorHAnsi" w:cs="Arial"/>
          <w:i/>
          <w:color w:val="auto"/>
        </w:rPr>
        <w:t xml:space="preserve">REP Survey </w:t>
      </w:r>
      <w:r>
        <w:rPr>
          <w:rFonts w:eastAsiaTheme="minorHAnsi" w:cs="Arial"/>
          <w:i/>
          <w:color w:val="auto"/>
        </w:rPr>
        <w:t>Process</w:t>
      </w:r>
    </w:p>
    <w:p w14:paraId="6DF3B8C7" w14:textId="77777777" w:rsidR="000B14CC" w:rsidRDefault="000B14CC" w:rsidP="000B14CC">
      <w:pPr>
        <w:spacing w:line="276" w:lineRule="auto"/>
        <w:jc w:val="both"/>
        <w:rPr>
          <w:rFonts w:asciiTheme="majorHAnsi" w:eastAsiaTheme="minorHAnsi" w:hAnsiTheme="majorHAnsi" w:cstheme="majorHAnsi"/>
          <w:color w:val="auto"/>
        </w:rPr>
      </w:pPr>
    </w:p>
    <w:p w14:paraId="3A0492F8" w14:textId="277AEC99" w:rsidR="000B14CC" w:rsidRPr="0087608C" w:rsidRDefault="000B14CC" w:rsidP="000B14CC">
      <w:pPr>
        <w:tabs>
          <w:tab w:val="left" w:pos="8730"/>
        </w:tabs>
        <w:spacing w:line="276" w:lineRule="auto"/>
        <w:jc w:val="both"/>
        <w:rPr>
          <w:rFonts w:eastAsiaTheme="minorHAnsi" w:cs="Arial"/>
          <w:color w:val="auto"/>
        </w:rPr>
      </w:pPr>
      <w:r w:rsidRPr="0087608C">
        <w:rPr>
          <w:rFonts w:eastAsiaTheme="minorHAnsi" w:cs="Arial"/>
          <w:color w:val="auto"/>
        </w:rPr>
        <w:t xml:space="preserve">Starting in 2019 and continuing </w:t>
      </w:r>
      <w:r>
        <w:rPr>
          <w:rFonts w:eastAsiaTheme="minorHAnsi" w:cs="Arial"/>
          <w:color w:val="auto"/>
        </w:rPr>
        <w:t>through</w:t>
      </w:r>
      <w:r w:rsidRPr="0087608C">
        <w:rPr>
          <w:rFonts w:eastAsiaTheme="minorHAnsi" w:cs="Arial"/>
          <w:color w:val="auto"/>
        </w:rPr>
        <w:t xml:space="preserve"> 202</w:t>
      </w:r>
      <w:r>
        <w:rPr>
          <w:rFonts w:eastAsiaTheme="minorHAnsi" w:cs="Arial"/>
          <w:color w:val="auto"/>
        </w:rPr>
        <w:t>3</w:t>
      </w:r>
      <w:r w:rsidRPr="0087608C">
        <w:rPr>
          <w:rFonts w:eastAsiaTheme="minorHAnsi" w:cs="Arial"/>
          <w:color w:val="auto"/>
        </w:rPr>
        <w:t xml:space="preserve">, ERCOT targeted the survey to the largest REPs (considering the aggregate </w:t>
      </w:r>
      <w:r>
        <w:rPr>
          <w:rFonts w:eastAsiaTheme="minorHAnsi" w:cs="Arial"/>
          <w:color w:val="auto"/>
        </w:rPr>
        <w:t>L</w:t>
      </w:r>
      <w:r w:rsidRPr="0087608C">
        <w:rPr>
          <w:rFonts w:eastAsiaTheme="minorHAnsi" w:cs="Arial"/>
          <w:color w:val="auto"/>
        </w:rPr>
        <w:t>oad of sets of affiliated REPs), which collectively accounted for 9</w:t>
      </w:r>
      <w:r>
        <w:rPr>
          <w:rFonts w:eastAsiaTheme="minorHAnsi" w:cs="Arial"/>
          <w:color w:val="auto"/>
        </w:rPr>
        <w:t>8</w:t>
      </w:r>
      <w:r w:rsidRPr="0087608C">
        <w:rPr>
          <w:rFonts w:eastAsiaTheme="minorHAnsi" w:cs="Arial"/>
          <w:color w:val="auto"/>
        </w:rPr>
        <w:t xml:space="preserve">% of the ERCOT total </w:t>
      </w:r>
      <w:r>
        <w:rPr>
          <w:rFonts w:eastAsiaTheme="minorHAnsi" w:cs="Arial"/>
          <w:color w:val="auto"/>
        </w:rPr>
        <w:t>S</w:t>
      </w:r>
      <w:r w:rsidRPr="0087608C">
        <w:rPr>
          <w:rFonts w:eastAsiaTheme="minorHAnsi" w:cs="Arial"/>
          <w:color w:val="auto"/>
        </w:rPr>
        <w:t xml:space="preserve">ummer </w:t>
      </w:r>
      <w:r w:rsidRPr="005B2A6D">
        <w:rPr>
          <w:rFonts w:eastAsiaTheme="minorHAnsi" w:cs="Arial"/>
          <w:color w:val="auto"/>
        </w:rPr>
        <w:t>2022</w:t>
      </w:r>
      <w:r w:rsidRPr="0087608C">
        <w:rPr>
          <w:rFonts w:eastAsiaTheme="minorHAnsi" w:cs="Arial"/>
          <w:color w:val="auto"/>
        </w:rPr>
        <w:t xml:space="preserve"> average daily </w:t>
      </w:r>
      <w:r>
        <w:rPr>
          <w:rFonts w:eastAsiaTheme="minorHAnsi" w:cs="Arial"/>
          <w:color w:val="auto"/>
        </w:rPr>
        <w:t>Load</w:t>
      </w:r>
      <w:r w:rsidRPr="0087608C">
        <w:rPr>
          <w:rFonts w:eastAsiaTheme="minorHAnsi" w:cs="Arial"/>
          <w:color w:val="auto"/>
        </w:rPr>
        <w:t xml:space="preserve">.  Initially, each REP was sent an email requiring a reply </w:t>
      </w:r>
      <w:r>
        <w:rPr>
          <w:rFonts w:eastAsiaTheme="minorHAnsi" w:cs="Arial"/>
          <w:color w:val="auto"/>
        </w:rPr>
        <w:t>indicating</w:t>
      </w:r>
      <w:r w:rsidRPr="0087608C">
        <w:rPr>
          <w:rFonts w:eastAsiaTheme="minorHAnsi" w:cs="Arial"/>
          <w:color w:val="auto"/>
        </w:rPr>
        <w:t xml:space="preserve"> whether the REP offer</w:t>
      </w:r>
      <w:r>
        <w:rPr>
          <w:rFonts w:eastAsiaTheme="minorHAnsi" w:cs="Arial"/>
          <w:color w:val="auto"/>
        </w:rPr>
        <w:t>ed</w:t>
      </w:r>
      <w:r w:rsidRPr="0087608C">
        <w:rPr>
          <w:rFonts w:eastAsiaTheme="minorHAnsi" w:cs="Arial"/>
          <w:color w:val="auto"/>
        </w:rPr>
        <w:t xml:space="preserve"> Demand/price response programs to its customers. REPs responding in the affirmative were </w:t>
      </w:r>
      <w:r>
        <w:rPr>
          <w:rFonts w:eastAsiaTheme="minorHAnsi" w:cs="Arial"/>
          <w:color w:val="auto"/>
        </w:rPr>
        <w:t xml:space="preserve">then </w:t>
      </w:r>
      <w:r w:rsidRPr="0087608C">
        <w:rPr>
          <w:rFonts w:eastAsiaTheme="minorHAnsi" w:cs="Arial"/>
          <w:color w:val="auto"/>
        </w:rPr>
        <w:t xml:space="preserve">required to submit additional data to ERCOT in conjunction with those </w:t>
      </w:r>
      <w:r w:rsidRPr="0087608C">
        <w:rPr>
          <w:rFonts w:eastAsiaTheme="minorHAnsi" w:cs="Arial"/>
          <w:color w:val="auto"/>
        </w:rPr>
        <w:lastRenderedPageBreak/>
        <w:t>programs.</w:t>
      </w:r>
      <w:r>
        <w:rPr>
          <w:rFonts w:eastAsiaTheme="minorHAnsi" w:cs="Arial"/>
          <w:color w:val="auto"/>
        </w:rPr>
        <w:t xml:space="preserve"> </w:t>
      </w:r>
      <w:r w:rsidR="0040633B">
        <w:rPr>
          <w:rFonts w:eastAsiaTheme="minorHAnsi" w:cs="Arial"/>
          <w:color w:val="auto"/>
        </w:rPr>
        <w:t>Note that y</w:t>
      </w:r>
      <w:r w:rsidRPr="0087608C">
        <w:rPr>
          <w:rFonts w:eastAsiaTheme="minorHAnsi" w:cs="Arial"/>
          <w:color w:val="auto"/>
        </w:rPr>
        <w:t xml:space="preserve">ear-to-year </w:t>
      </w:r>
      <w:r>
        <w:rPr>
          <w:rFonts w:eastAsiaTheme="minorHAnsi" w:cs="Arial"/>
          <w:color w:val="auto"/>
        </w:rPr>
        <w:t>variations</w:t>
      </w:r>
      <w:r w:rsidRPr="0087608C">
        <w:rPr>
          <w:rFonts w:eastAsiaTheme="minorHAnsi" w:cs="Arial"/>
          <w:color w:val="auto"/>
        </w:rPr>
        <w:t xml:space="preserve"> in REPs targeted for the survey can have an influence on the analysis results when compared across years.</w:t>
      </w:r>
    </w:p>
    <w:p w14:paraId="5C87047E" w14:textId="77777777" w:rsidR="000B14CC" w:rsidRPr="0087608C" w:rsidRDefault="000B14CC" w:rsidP="000B14CC">
      <w:pPr>
        <w:jc w:val="both"/>
        <w:rPr>
          <w:rFonts w:eastAsiaTheme="minorHAnsi" w:cs="Arial"/>
          <w:color w:val="auto"/>
        </w:rPr>
      </w:pPr>
    </w:p>
    <w:p w14:paraId="42C42BCB" w14:textId="77777777" w:rsidR="000B14CC" w:rsidRPr="0087608C" w:rsidRDefault="000B14CC" w:rsidP="000B14CC">
      <w:pPr>
        <w:jc w:val="both"/>
        <w:rPr>
          <w:rFonts w:eastAsiaTheme="minorHAnsi" w:cs="Arial"/>
          <w:color w:val="auto"/>
        </w:rPr>
      </w:pPr>
      <w:r w:rsidRPr="0087608C">
        <w:rPr>
          <w:rFonts w:eastAsiaTheme="minorHAnsi" w:cs="Arial"/>
          <w:color w:val="auto"/>
        </w:rPr>
        <w:t>The REP survey collected specific ESIID participation data for the following Demand response categories:</w:t>
      </w:r>
    </w:p>
    <w:p w14:paraId="7AD0D24D" w14:textId="77777777" w:rsidR="000B14CC" w:rsidRPr="0087608C" w:rsidRDefault="000B14CC" w:rsidP="000B14CC">
      <w:pPr>
        <w:jc w:val="both"/>
        <w:rPr>
          <w:rFonts w:cs="Arial"/>
        </w:rPr>
      </w:pPr>
    </w:p>
    <w:p w14:paraId="3820BFB8" w14:textId="77777777" w:rsidR="000B14CC" w:rsidRPr="0087608C" w:rsidRDefault="000B14CC" w:rsidP="000B14CC">
      <w:pPr>
        <w:numPr>
          <w:ilvl w:val="0"/>
          <w:numId w:val="22"/>
        </w:numPr>
        <w:autoSpaceDE w:val="0"/>
        <w:autoSpaceDN w:val="0"/>
        <w:adjustRightInd w:val="0"/>
        <w:rPr>
          <w:rFonts w:eastAsia="Calibri" w:cs="Arial"/>
          <w:color w:val="000000"/>
        </w:rPr>
      </w:pPr>
      <w:r w:rsidRPr="0087608C">
        <w:rPr>
          <w:rFonts w:eastAsia="Calibri" w:cs="Arial"/>
          <w:color w:val="000000"/>
        </w:rPr>
        <w:t>4CP Advisory/Control (4CP)</w:t>
      </w:r>
    </w:p>
    <w:p w14:paraId="5B67D779" w14:textId="77777777" w:rsidR="000B14CC" w:rsidRPr="0087608C" w:rsidRDefault="000B14CC" w:rsidP="000B14CC">
      <w:pPr>
        <w:numPr>
          <w:ilvl w:val="0"/>
          <w:numId w:val="22"/>
        </w:numPr>
        <w:autoSpaceDE w:val="0"/>
        <w:autoSpaceDN w:val="0"/>
        <w:adjustRightInd w:val="0"/>
        <w:rPr>
          <w:rFonts w:eastAsia="Calibri" w:cs="Arial"/>
          <w:color w:val="000000"/>
        </w:rPr>
      </w:pPr>
      <w:r w:rsidRPr="0087608C">
        <w:rPr>
          <w:rFonts w:eastAsia="Calibri" w:cs="Arial"/>
          <w:color w:val="000000"/>
        </w:rPr>
        <w:t>Indexed Real-Time (IRT)</w:t>
      </w:r>
    </w:p>
    <w:p w14:paraId="39C230CC" w14:textId="31D36AC5" w:rsidR="000B14CC" w:rsidRPr="0087608C" w:rsidRDefault="000B14CC" w:rsidP="000B14CC">
      <w:pPr>
        <w:numPr>
          <w:ilvl w:val="0"/>
          <w:numId w:val="22"/>
        </w:numPr>
        <w:autoSpaceDE w:val="0"/>
        <w:autoSpaceDN w:val="0"/>
        <w:adjustRightInd w:val="0"/>
        <w:rPr>
          <w:rFonts w:eastAsia="Calibri" w:cs="Arial"/>
          <w:color w:val="000000"/>
        </w:rPr>
      </w:pPr>
      <w:r w:rsidRPr="0087608C">
        <w:rPr>
          <w:rFonts w:eastAsia="Calibri" w:cs="Arial"/>
          <w:color w:val="000000"/>
        </w:rPr>
        <w:t>Indexed Day-</w:t>
      </w:r>
      <w:r w:rsidR="0040633B">
        <w:rPr>
          <w:rFonts w:eastAsia="Calibri" w:cs="Arial"/>
          <w:color w:val="000000"/>
        </w:rPr>
        <w:t>A</w:t>
      </w:r>
      <w:r w:rsidRPr="0087608C">
        <w:rPr>
          <w:rFonts w:eastAsia="Calibri" w:cs="Arial"/>
          <w:color w:val="000000"/>
        </w:rPr>
        <w:t>head (IDA)</w:t>
      </w:r>
    </w:p>
    <w:p w14:paraId="69D6D4E7" w14:textId="16B3E275" w:rsidR="000B14CC" w:rsidRPr="0087608C" w:rsidRDefault="000B14CC" w:rsidP="000B14CC">
      <w:pPr>
        <w:numPr>
          <w:ilvl w:val="0"/>
          <w:numId w:val="22"/>
        </w:numPr>
        <w:autoSpaceDE w:val="0"/>
        <w:autoSpaceDN w:val="0"/>
        <w:adjustRightInd w:val="0"/>
        <w:rPr>
          <w:rFonts w:eastAsia="Calibri" w:cs="Arial"/>
          <w:color w:val="000000"/>
        </w:rPr>
      </w:pPr>
      <w:r w:rsidRPr="0087608C">
        <w:rPr>
          <w:rFonts w:eastAsia="Calibri" w:cs="Arial"/>
          <w:color w:val="000000"/>
        </w:rPr>
        <w:t xml:space="preserve">Critical Peak </w:t>
      </w:r>
      <w:r w:rsidR="0040633B">
        <w:rPr>
          <w:rFonts w:eastAsia="Calibri" w:cs="Arial"/>
          <w:color w:val="000000"/>
        </w:rPr>
        <w:t>P</w:t>
      </w:r>
      <w:r w:rsidRPr="0087608C">
        <w:rPr>
          <w:rFonts w:eastAsia="Calibri" w:cs="Arial"/>
          <w:color w:val="000000"/>
        </w:rPr>
        <w:t>ricing (CPP)</w:t>
      </w:r>
    </w:p>
    <w:p w14:paraId="71B2971A" w14:textId="77777777" w:rsidR="000B14CC" w:rsidRPr="0087608C" w:rsidRDefault="000B14CC" w:rsidP="000B14CC">
      <w:pPr>
        <w:numPr>
          <w:ilvl w:val="0"/>
          <w:numId w:val="22"/>
        </w:numPr>
        <w:autoSpaceDE w:val="0"/>
        <w:autoSpaceDN w:val="0"/>
        <w:adjustRightInd w:val="0"/>
        <w:rPr>
          <w:rFonts w:eastAsia="Calibri" w:cs="Arial"/>
          <w:color w:val="000000"/>
        </w:rPr>
      </w:pPr>
      <w:r w:rsidRPr="0087608C">
        <w:rPr>
          <w:rFonts w:eastAsia="Calibri" w:cs="Arial"/>
          <w:color w:val="000000"/>
        </w:rPr>
        <w:t xml:space="preserve">Peak Rebates (PR) </w:t>
      </w:r>
    </w:p>
    <w:p w14:paraId="3A78EC5D" w14:textId="77777777" w:rsidR="000B14CC" w:rsidRPr="0087608C" w:rsidRDefault="000B14CC" w:rsidP="000B14CC">
      <w:pPr>
        <w:numPr>
          <w:ilvl w:val="0"/>
          <w:numId w:val="22"/>
        </w:numPr>
        <w:autoSpaceDE w:val="0"/>
        <w:autoSpaceDN w:val="0"/>
        <w:adjustRightInd w:val="0"/>
        <w:rPr>
          <w:rFonts w:eastAsia="Calibri" w:cs="Arial"/>
          <w:color w:val="000000"/>
        </w:rPr>
      </w:pPr>
      <w:r w:rsidRPr="0087608C">
        <w:rPr>
          <w:rFonts w:eastAsia="Calibri" w:cs="Arial"/>
          <w:color w:val="000000"/>
        </w:rPr>
        <w:t xml:space="preserve">Time of Use (TOU) pricing </w:t>
      </w:r>
    </w:p>
    <w:p w14:paraId="4C107058" w14:textId="0E0362A5" w:rsidR="000B14CC" w:rsidRPr="0087608C" w:rsidRDefault="000B14CC" w:rsidP="000B14CC">
      <w:pPr>
        <w:numPr>
          <w:ilvl w:val="0"/>
          <w:numId w:val="22"/>
        </w:numPr>
        <w:autoSpaceDE w:val="0"/>
        <w:autoSpaceDN w:val="0"/>
        <w:adjustRightInd w:val="0"/>
        <w:rPr>
          <w:rFonts w:eastAsia="Calibri" w:cs="Arial"/>
          <w:color w:val="000000"/>
        </w:rPr>
      </w:pPr>
      <w:r w:rsidRPr="0087608C">
        <w:rPr>
          <w:rFonts w:eastAsia="Calibri" w:cs="Arial"/>
          <w:color w:val="000000"/>
        </w:rPr>
        <w:t>Free Days and</w:t>
      </w:r>
      <w:r w:rsidR="0040633B">
        <w:rPr>
          <w:rFonts w:eastAsia="Calibri" w:cs="Arial"/>
          <w:color w:val="000000"/>
        </w:rPr>
        <w:t>/</w:t>
      </w:r>
      <w:r w:rsidRPr="0087608C">
        <w:rPr>
          <w:rFonts w:eastAsia="Calibri" w:cs="Arial"/>
          <w:color w:val="000000"/>
        </w:rPr>
        <w:t>or Hours (FDH)</w:t>
      </w:r>
    </w:p>
    <w:p w14:paraId="2DB2C187" w14:textId="77777777" w:rsidR="000B14CC" w:rsidRPr="0087608C" w:rsidRDefault="000B14CC" w:rsidP="000B14CC">
      <w:pPr>
        <w:numPr>
          <w:ilvl w:val="0"/>
          <w:numId w:val="22"/>
        </w:numPr>
        <w:autoSpaceDE w:val="0"/>
        <w:autoSpaceDN w:val="0"/>
        <w:adjustRightInd w:val="0"/>
        <w:rPr>
          <w:rFonts w:eastAsia="Calibri" w:cs="Arial"/>
          <w:color w:val="000000"/>
        </w:rPr>
      </w:pPr>
      <w:r w:rsidRPr="0087608C">
        <w:rPr>
          <w:rFonts w:eastAsia="Calibri" w:cs="Arial"/>
          <w:color w:val="000000"/>
        </w:rPr>
        <w:t>Other Direct Load Control (OLC)</w:t>
      </w:r>
    </w:p>
    <w:p w14:paraId="3DB71E8D" w14:textId="77777777" w:rsidR="000B14CC" w:rsidRPr="0087608C" w:rsidRDefault="000B14CC" w:rsidP="000B14CC">
      <w:pPr>
        <w:numPr>
          <w:ilvl w:val="0"/>
          <w:numId w:val="22"/>
        </w:numPr>
        <w:autoSpaceDE w:val="0"/>
        <w:autoSpaceDN w:val="0"/>
        <w:adjustRightInd w:val="0"/>
        <w:rPr>
          <w:rFonts w:eastAsia="Calibri" w:cs="Arial"/>
          <w:color w:val="000000"/>
        </w:rPr>
      </w:pPr>
      <w:r w:rsidRPr="0087608C">
        <w:rPr>
          <w:rFonts w:eastAsia="Calibri" w:cs="Arial"/>
          <w:color w:val="000000"/>
        </w:rPr>
        <w:t>Other Voluntary DR Product (OTH)</w:t>
      </w:r>
    </w:p>
    <w:p w14:paraId="351BDE24" w14:textId="77777777" w:rsidR="000B14CC" w:rsidRPr="0087608C" w:rsidRDefault="000B14CC" w:rsidP="000B14CC">
      <w:pPr>
        <w:numPr>
          <w:ilvl w:val="0"/>
          <w:numId w:val="22"/>
        </w:numPr>
        <w:autoSpaceDE w:val="0"/>
        <w:autoSpaceDN w:val="0"/>
        <w:adjustRightInd w:val="0"/>
        <w:rPr>
          <w:rFonts w:eastAsia="Calibri" w:cs="Arial"/>
          <w:color w:val="000000"/>
        </w:rPr>
      </w:pPr>
      <w:r w:rsidRPr="0087608C">
        <w:rPr>
          <w:rFonts w:eastAsia="Calibri" w:cs="Arial"/>
          <w:color w:val="000000"/>
        </w:rPr>
        <w:t xml:space="preserve">Block &amp; Index (BI) - discontinued </w:t>
      </w:r>
      <w:r>
        <w:rPr>
          <w:rFonts w:eastAsia="Calibri" w:cs="Arial"/>
          <w:color w:val="000000"/>
        </w:rPr>
        <w:t>in</w:t>
      </w:r>
      <w:r w:rsidRPr="0087608C">
        <w:rPr>
          <w:rFonts w:eastAsia="Calibri" w:cs="Arial"/>
          <w:color w:val="000000"/>
        </w:rPr>
        <w:t xml:space="preserve"> </w:t>
      </w:r>
      <w:proofErr w:type="gramStart"/>
      <w:r w:rsidRPr="0087608C">
        <w:rPr>
          <w:rFonts w:eastAsia="Calibri" w:cs="Arial"/>
          <w:color w:val="000000"/>
        </w:rPr>
        <w:t>2020</w:t>
      </w:r>
      <w:proofErr w:type="gramEnd"/>
    </w:p>
    <w:p w14:paraId="0925D988" w14:textId="77777777" w:rsidR="000B14CC" w:rsidRPr="0087608C" w:rsidRDefault="000B14CC" w:rsidP="000B14CC">
      <w:pPr>
        <w:numPr>
          <w:ilvl w:val="0"/>
          <w:numId w:val="22"/>
        </w:numPr>
        <w:autoSpaceDE w:val="0"/>
        <w:autoSpaceDN w:val="0"/>
        <w:adjustRightInd w:val="0"/>
        <w:rPr>
          <w:rFonts w:eastAsia="Calibri" w:cs="Arial"/>
          <w:color w:val="000000"/>
        </w:rPr>
      </w:pPr>
      <w:r w:rsidRPr="0087608C">
        <w:rPr>
          <w:rFonts w:eastAsia="Calibri" w:cs="Arial"/>
          <w:color w:val="000000"/>
        </w:rPr>
        <w:t xml:space="preserve">Real-Time Pricing (RTP) - discontinued </w:t>
      </w:r>
      <w:r>
        <w:rPr>
          <w:rFonts w:eastAsia="Calibri" w:cs="Arial"/>
          <w:color w:val="000000"/>
        </w:rPr>
        <w:t>in</w:t>
      </w:r>
      <w:r w:rsidRPr="0087608C">
        <w:rPr>
          <w:rFonts w:eastAsia="Calibri" w:cs="Arial"/>
          <w:color w:val="000000"/>
        </w:rPr>
        <w:t xml:space="preserve"> </w:t>
      </w:r>
      <w:proofErr w:type="gramStart"/>
      <w:r w:rsidRPr="0087608C">
        <w:rPr>
          <w:rFonts w:eastAsia="Calibri" w:cs="Arial"/>
          <w:color w:val="000000"/>
        </w:rPr>
        <w:t>2020</w:t>
      </w:r>
      <w:proofErr w:type="gramEnd"/>
    </w:p>
    <w:p w14:paraId="0C16F0B4" w14:textId="77777777" w:rsidR="000B14CC" w:rsidRPr="0087608C" w:rsidRDefault="000B14CC" w:rsidP="000B14CC">
      <w:pPr>
        <w:pStyle w:val="spacer"/>
        <w:widowControl w:val="0"/>
        <w:spacing w:before="240"/>
        <w:jc w:val="both"/>
        <w:rPr>
          <w:rFonts w:eastAsiaTheme="minorHAnsi"/>
          <w:bCs w:val="0"/>
          <w:color w:val="auto"/>
          <w:kern w:val="0"/>
          <w:sz w:val="24"/>
          <w:szCs w:val="24"/>
        </w:rPr>
      </w:pPr>
      <w:r w:rsidRPr="0087608C">
        <w:rPr>
          <w:rFonts w:eastAsiaTheme="minorHAnsi"/>
          <w:bCs w:val="0"/>
          <w:color w:val="auto"/>
          <w:kern w:val="0"/>
          <w:sz w:val="24"/>
          <w:szCs w:val="24"/>
        </w:rPr>
        <w:t>In the survey, targeted REPs were asked to submit files listing the ESIIDs of customers participating in one or more of the listed products as of the annual snapshot date of September 1, 202</w:t>
      </w:r>
      <w:r>
        <w:rPr>
          <w:rFonts w:eastAsiaTheme="minorHAnsi"/>
          <w:bCs w:val="0"/>
          <w:color w:val="auto"/>
          <w:kern w:val="0"/>
          <w:sz w:val="24"/>
          <w:szCs w:val="24"/>
        </w:rPr>
        <w:t>3</w:t>
      </w:r>
      <w:r w:rsidRPr="0087608C">
        <w:rPr>
          <w:rFonts w:eastAsiaTheme="minorHAnsi"/>
          <w:bCs w:val="0"/>
          <w:color w:val="auto"/>
          <w:kern w:val="0"/>
          <w:sz w:val="24"/>
          <w:szCs w:val="24"/>
        </w:rPr>
        <w:t>.</w:t>
      </w:r>
      <w:r>
        <w:rPr>
          <w:rStyle w:val="FootnoteReference"/>
          <w:rFonts w:eastAsiaTheme="minorHAnsi"/>
          <w:bCs w:val="0"/>
          <w:color w:val="auto"/>
          <w:kern w:val="0"/>
          <w:szCs w:val="24"/>
        </w:rPr>
        <w:footnoteReference w:id="4"/>
      </w:r>
      <w:r w:rsidRPr="0087608C">
        <w:rPr>
          <w:rFonts w:eastAsiaTheme="minorHAnsi"/>
          <w:bCs w:val="0"/>
          <w:color w:val="auto"/>
          <w:kern w:val="0"/>
          <w:sz w:val="24"/>
          <w:szCs w:val="24"/>
        </w:rPr>
        <w:t xml:space="preserve"> </w:t>
      </w:r>
      <w:r>
        <w:rPr>
          <w:rFonts w:eastAsiaTheme="minorHAnsi"/>
          <w:bCs w:val="0"/>
          <w:color w:val="auto"/>
          <w:kern w:val="0"/>
          <w:sz w:val="24"/>
          <w:szCs w:val="24"/>
        </w:rPr>
        <w:t xml:space="preserve"> </w:t>
      </w:r>
      <w:r w:rsidRPr="0087608C">
        <w:rPr>
          <w:rFonts w:eastAsiaTheme="minorHAnsi"/>
          <w:bCs w:val="0"/>
          <w:color w:val="auto"/>
          <w:kern w:val="0"/>
          <w:sz w:val="24"/>
          <w:szCs w:val="24"/>
        </w:rPr>
        <w:t>REPs were also required to submit deployment event information for applicable programs</w:t>
      </w:r>
      <w:r>
        <w:rPr>
          <w:rFonts w:eastAsiaTheme="minorHAnsi"/>
          <w:bCs w:val="0"/>
          <w:color w:val="auto"/>
          <w:kern w:val="0"/>
          <w:sz w:val="24"/>
          <w:szCs w:val="24"/>
        </w:rPr>
        <w:t>,</w:t>
      </w:r>
      <w:r w:rsidRPr="0087608C">
        <w:rPr>
          <w:rFonts w:eastAsiaTheme="minorHAnsi"/>
          <w:bCs w:val="0"/>
          <w:color w:val="auto"/>
          <w:kern w:val="0"/>
          <w:sz w:val="24"/>
          <w:szCs w:val="24"/>
        </w:rPr>
        <w:t xml:space="preserve"> including dates and times of deployments as well as the number of residential and non-residential customers deployed for each event.</w:t>
      </w:r>
      <w:r>
        <w:rPr>
          <w:rFonts w:eastAsiaTheme="minorHAnsi"/>
          <w:bCs w:val="0"/>
          <w:color w:val="auto"/>
          <w:kern w:val="0"/>
          <w:sz w:val="24"/>
          <w:szCs w:val="24"/>
        </w:rPr>
        <w:tab/>
      </w:r>
    </w:p>
    <w:p w14:paraId="671CE901" w14:textId="77777777" w:rsidR="000B14CC" w:rsidRPr="007B0B69" w:rsidRDefault="000B14CC" w:rsidP="000B14CC">
      <w:pPr>
        <w:pStyle w:val="spacer"/>
        <w:widowControl w:val="0"/>
        <w:spacing w:before="240"/>
        <w:rPr>
          <w:rFonts w:eastAsiaTheme="minorHAnsi"/>
          <w:i/>
          <w:color w:val="auto"/>
          <w:sz w:val="24"/>
          <w:szCs w:val="24"/>
        </w:rPr>
      </w:pPr>
      <w:r w:rsidRPr="007B0B69">
        <w:rPr>
          <w:rFonts w:eastAsiaTheme="minorHAnsi"/>
          <w:bCs w:val="0"/>
          <w:i/>
          <w:color w:val="auto"/>
          <w:kern w:val="0"/>
          <w:sz w:val="24"/>
          <w:szCs w:val="24"/>
        </w:rPr>
        <w:tab/>
      </w:r>
      <w:r w:rsidRPr="007B0B69">
        <w:rPr>
          <w:rFonts w:eastAsiaTheme="minorHAnsi"/>
          <w:i/>
          <w:color w:val="auto"/>
          <w:sz w:val="24"/>
          <w:szCs w:val="24"/>
        </w:rPr>
        <w:t>NOIE Survey Process</w:t>
      </w:r>
    </w:p>
    <w:p w14:paraId="5B23AD5E" w14:textId="77777777" w:rsidR="000B14CC" w:rsidRDefault="000B14CC" w:rsidP="000B14CC">
      <w:pPr>
        <w:spacing w:line="276" w:lineRule="auto"/>
        <w:jc w:val="both"/>
        <w:rPr>
          <w:rFonts w:eastAsiaTheme="minorHAnsi"/>
        </w:rPr>
      </w:pPr>
    </w:p>
    <w:p w14:paraId="02BEDF78" w14:textId="77777777" w:rsidR="000B14CC" w:rsidRDefault="000B14CC" w:rsidP="000B14CC">
      <w:pPr>
        <w:spacing w:line="276" w:lineRule="auto"/>
        <w:jc w:val="both"/>
        <w:rPr>
          <w:rFonts w:eastAsiaTheme="minorHAnsi" w:cs="Arial"/>
          <w:color w:val="auto"/>
        </w:rPr>
      </w:pPr>
      <w:r w:rsidRPr="0087608C">
        <w:rPr>
          <w:rFonts w:eastAsiaTheme="minorHAnsi" w:cs="Arial"/>
          <w:color w:val="auto"/>
        </w:rPr>
        <w:t xml:space="preserve">Since customer-level data for customers in NOIE areas is not available to ERCOT, ERCOT has made use of the </w:t>
      </w:r>
      <w:r>
        <w:rPr>
          <w:rFonts w:eastAsiaTheme="minorHAnsi" w:cs="Arial"/>
          <w:color w:val="auto"/>
        </w:rPr>
        <w:t xml:space="preserve">calculated </w:t>
      </w:r>
      <w:r w:rsidRPr="0087608C">
        <w:rPr>
          <w:rFonts w:eastAsiaTheme="minorHAnsi" w:cs="Arial"/>
          <w:color w:val="auto"/>
        </w:rPr>
        <w:t>NOIE</w:t>
      </w:r>
      <w:r>
        <w:rPr>
          <w:rFonts w:eastAsiaTheme="minorHAnsi" w:cs="Arial"/>
          <w:color w:val="auto"/>
        </w:rPr>
        <w:t xml:space="preserve"> native load data in the ERCOT settlement system</w:t>
      </w:r>
      <w:r w:rsidRPr="0087608C">
        <w:rPr>
          <w:rFonts w:eastAsiaTheme="minorHAnsi" w:cs="Arial"/>
          <w:color w:val="auto"/>
        </w:rPr>
        <w:t xml:space="preserve"> to perform an analysis of NOIE response to 4CP</w:t>
      </w:r>
      <w:r>
        <w:rPr>
          <w:rFonts w:eastAsiaTheme="minorHAnsi" w:cs="Arial"/>
          <w:color w:val="auto"/>
        </w:rPr>
        <w:t>/NearCP</w:t>
      </w:r>
      <w:r w:rsidRPr="0087608C">
        <w:rPr>
          <w:rFonts w:eastAsiaTheme="minorHAnsi" w:cs="Arial"/>
          <w:color w:val="auto"/>
        </w:rPr>
        <w:t xml:space="preserve"> and high price events.</w:t>
      </w:r>
    </w:p>
    <w:p w14:paraId="6F8FBCC8" w14:textId="77777777" w:rsidR="000B14CC" w:rsidRDefault="000B14CC" w:rsidP="000B14CC">
      <w:pPr>
        <w:spacing w:line="276" w:lineRule="auto"/>
        <w:jc w:val="both"/>
        <w:rPr>
          <w:rFonts w:eastAsiaTheme="minorHAnsi" w:cs="Arial"/>
          <w:color w:val="auto"/>
        </w:rPr>
      </w:pPr>
    </w:p>
    <w:p w14:paraId="784A3BB7" w14:textId="26AE4579" w:rsidR="000B14CC" w:rsidRPr="0087608C" w:rsidRDefault="000B14CC" w:rsidP="000B14CC">
      <w:pPr>
        <w:spacing w:line="276" w:lineRule="auto"/>
        <w:jc w:val="both"/>
        <w:rPr>
          <w:rFonts w:eastAsiaTheme="minorHAnsi" w:cs="Arial"/>
          <w:color w:val="auto"/>
        </w:rPr>
      </w:pPr>
      <w:r w:rsidRPr="0087608C">
        <w:rPr>
          <w:rFonts w:eastAsiaTheme="minorHAnsi" w:cs="Arial"/>
          <w:color w:val="auto"/>
        </w:rPr>
        <w:t xml:space="preserve">NOIEs </w:t>
      </w:r>
      <w:r>
        <w:rPr>
          <w:rFonts w:eastAsiaTheme="minorHAnsi" w:cs="Arial"/>
          <w:color w:val="auto"/>
        </w:rPr>
        <w:t xml:space="preserve">with 2022 summer peak load of 100 MW or more </w:t>
      </w:r>
      <w:r w:rsidRPr="0087608C">
        <w:rPr>
          <w:rFonts w:eastAsiaTheme="minorHAnsi" w:cs="Arial"/>
          <w:color w:val="auto"/>
        </w:rPr>
        <w:t xml:space="preserve">were </w:t>
      </w:r>
      <w:r>
        <w:rPr>
          <w:rFonts w:eastAsiaTheme="minorHAnsi" w:cs="Arial"/>
          <w:color w:val="auto"/>
        </w:rPr>
        <w:t xml:space="preserve">sent an email </w:t>
      </w:r>
      <w:r w:rsidRPr="0087608C">
        <w:rPr>
          <w:rFonts w:eastAsiaTheme="minorHAnsi" w:cs="Arial"/>
          <w:color w:val="auto"/>
        </w:rPr>
        <w:t xml:space="preserve">requiring a reply </w:t>
      </w:r>
      <w:r>
        <w:rPr>
          <w:rFonts w:eastAsiaTheme="minorHAnsi" w:cs="Arial"/>
          <w:color w:val="auto"/>
        </w:rPr>
        <w:t>indicating</w:t>
      </w:r>
      <w:r w:rsidRPr="0087608C">
        <w:rPr>
          <w:rFonts w:eastAsiaTheme="minorHAnsi" w:cs="Arial"/>
          <w:color w:val="auto"/>
        </w:rPr>
        <w:t xml:space="preserve"> whether the </w:t>
      </w:r>
      <w:r>
        <w:rPr>
          <w:rFonts w:eastAsiaTheme="minorHAnsi" w:cs="Arial"/>
          <w:color w:val="auto"/>
        </w:rPr>
        <w:t>NOIE</w:t>
      </w:r>
      <w:r w:rsidRPr="0087608C">
        <w:rPr>
          <w:rFonts w:eastAsiaTheme="minorHAnsi" w:cs="Arial"/>
          <w:color w:val="auto"/>
        </w:rPr>
        <w:t xml:space="preserve"> offer</w:t>
      </w:r>
      <w:r>
        <w:rPr>
          <w:rFonts w:eastAsiaTheme="minorHAnsi" w:cs="Arial"/>
          <w:color w:val="auto"/>
        </w:rPr>
        <w:t>ed</w:t>
      </w:r>
      <w:r w:rsidRPr="0087608C">
        <w:rPr>
          <w:rFonts w:eastAsiaTheme="minorHAnsi" w:cs="Arial"/>
          <w:color w:val="auto"/>
        </w:rPr>
        <w:t xml:space="preserve"> Demand/price response programs to its customers. </w:t>
      </w:r>
      <w:r>
        <w:rPr>
          <w:rFonts w:eastAsiaTheme="minorHAnsi" w:cs="Arial"/>
          <w:color w:val="auto"/>
        </w:rPr>
        <w:t>NOIE</w:t>
      </w:r>
      <w:r w:rsidRPr="0087608C">
        <w:rPr>
          <w:rFonts w:eastAsiaTheme="minorHAnsi" w:cs="Arial"/>
          <w:color w:val="auto"/>
        </w:rPr>
        <w:t xml:space="preserve">s responding in the affirmative were </w:t>
      </w:r>
      <w:r>
        <w:rPr>
          <w:rFonts w:eastAsiaTheme="minorHAnsi" w:cs="Arial"/>
          <w:color w:val="auto"/>
        </w:rPr>
        <w:t xml:space="preserve">then </w:t>
      </w:r>
      <w:r w:rsidRPr="0087608C">
        <w:rPr>
          <w:rFonts w:eastAsiaTheme="minorHAnsi" w:cs="Arial"/>
          <w:color w:val="auto"/>
        </w:rPr>
        <w:t>required to submit</w:t>
      </w:r>
      <w:r>
        <w:rPr>
          <w:rFonts w:eastAsiaTheme="minorHAnsi" w:cs="Arial"/>
          <w:color w:val="auto"/>
        </w:rPr>
        <w:t xml:space="preserve"> </w:t>
      </w:r>
      <w:r w:rsidRPr="0087608C">
        <w:rPr>
          <w:rFonts w:eastAsiaTheme="minorHAnsi" w:cs="Arial"/>
          <w:color w:val="auto"/>
        </w:rPr>
        <w:t>additional data to ERCOT in conjunction with those programs.</w:t>
      </w:r>
      <w:r>
        <w:rPr>
          <w:rFonts w:eastAsiaTheme="minorHAnsi" w:cs="Arial"/>
          <w:color w:val="auto"/>
        </w:rPr>
        <w:t xml:space="preserve"> </w:t>
      </w:r>
      <w:r w:rsidRPr="0087608C">
        <w:rPr>
          <w:rFonts w:eastAsiaTheme="minorHAnsi" w:cs="Arial"/>
          <w:color w:val="auto"/>
        </w:rPr>
        <w:t xml:space="preserve"> </w:t>
      </w:r>
      <w:r>
        <w:rPr>
          <w:rFonts w:eastAsiaTheme="minorHAnsi" w:cs="Arial"/>
          <w:color w:val="auto"/>
        </w:rPr>
        <w:t xml:space="preserve">For NOIE TDSPs with matching DUNS numbers, loads were aggregated to determine whether the </w:t>
      </w:r>
      <w:r w:rsidRPr="0087608C">
        <w:rPr>
          <w:rFonts w:eastAsiaTheme="minorHAnsi" w:cs="Arial"/>
          <w:color w:val="auto"/>
        </w:rPr>
        <w:t xml:space="preserve">100 MW </w:t>
      </w:r>
      <w:r>
        <w:rPr>
          <w:rFonts w:eastAsiaTheme="minorHAnsi" w:cs="Arial"/>
          <w:color w:val="auto"/>
        </w:rPr>
        <w:t xml:space="preserve">threshold </w:t>
      </w:r>
      <w:r w:rsidRPr="0087608C">
        <w:rPr>
          <w:rFonts w:eastAsiaTheme="minorHAnsi" w:cs="Arial"/>
          <w:color w:val="auto"/>
        </w:rPr>
        <w:t>w</w:t>
      </w:r>
      <w:r>
        <w:rPr>
          <w:rFonts w:eastAsiaTheme="minorHAnsi" w:cs="Arial"/>
          <w:color w:val="auto"/>
        </w:rPr>
        <w:t>as met</w:t>
      </w:r>
      <w:r w:rsidRPr="0087608C">
        <w:rPr>
          <w:rFonts w:eastAsiaTheme="minorHAnsi" w:cs="Arial"/>
          <w:color w:val="auto"/>
        </w:rPr>
        <w:t>.</w:t>
      </w:r>
    </w:p>
    <w:p w14:paraId="52E1E460" w14:textId="77777777" w:rsidR="000B14CC" w:rsidRPr="0087608C" w:rsidRDefault="000B14CC" w:rsidP="000B14CC">
      <w:pPr>
        <w:spacing w:line="276" w:lineRule="auto"/>
        <w:jc w:val="both"/>
        <w:rPr>
          <w:rFonts w:eastAsiaTheme="minorHAnsi" w:cs="Arial"/>
          <w:color w:val="auto"/>
        </w:rPr>
      </w:pPr>
    </w:p>
    <w:p w14:paraId="3F030B52" w14:textId="0DB3AAFB" w:rsidR="000B14CC" w:rsidRPr="0087608C" w:rsidRDefault="000B14CC" w:rsidP="000B14CC">
      <w:pPr>
        <w:spacing w:line="276" w:lineRule="auto"/>
        <w:jc w:val="both"/>
        <w:rPr>
          <w:rFonts w:eastAsiaTheme="minorHAnsi" w:cs="Arial"/>
          <w:bCs/>
          <w:color w:val="auto"/>
        </w:rPr>
      </w:pPr>
      <w:r>
        <w:rPr>
          <w:rFonts w:eastAsiaTheme="minorHAnsi" w:cs="Arial"/>
          <w:color w:val="auto"/>
        </w:rPr>
        <w:t xml:space="preserve">The additional data required from </w:t>
      </w:r>
      <w:r w:rsidRPr="0087608C">
        <w:rPr>
          <w:rFonts w:eastAsiaTheme="minorHAnsi" w:cs="Arial"/>
          <w:color w:val="auto"/>
        </w:rPr>
        <w:t xml:space="preserve">NOIEs </w:t>
      </w:r>
      <w:r>
        <w:rPr>
          <w:rFonts w:eastAsiaTheme="minorHAnsi" w:cs="Arial"/>
          <w:color w:val="auto"/>
        </w:rPr>
        <w:t xml:space="preserve">consisted of counts </w:t>
      </w:r>
      <w:r w:rsidR="002963CA">
        <w:rPr>
          <w:rFonts w:eastAsiaTheme="minorHAnsi" w:cs="Arial"/>
          <w:color w:val="auto"/>
        </w:rPr>
        <w:t xml:space="preserve">of </w:t>
      </w:r>
      <w:r w:rsidRPr="0087608C">
        <w:rPr>
          <w:rFonts w:eastAsiaTheme="minorHAnsi" w:cs="Arial"/>
          <w:bCs/>
          <w:color w:val="auto"/>
        </w:rPr>
        <w:t xml:space="preserve">residential and non-residential customers participating </w:t>
      </w:r>
      <w:r w:rsidR="002963CA">
        <w:rPr>
          <w:rFonts w:eastAsiaTheme="minorHAnsi" w:cs="Arial"/>
          <w:bCs/>
          <w:color w:val="auto"/>
        </w:rPr>
        <w:t>in</w:t>
      </w:r>
      <w:r w:rsidRPr="0087608C">
        <w:rPr>
          <w:rFonts w:eastAsiaTheme="minorHAnsi" w:cs="Arial"/>
          <w:bCs/>
          <w:color w:val="auto"/>
        </w:rPr>
        <w:t xml:space="preserve"> the </w:t>
      </w:r>
      <w:r>
        <w:rPr>
          <w:rFonts w:eastAsiaTheme="minorHAnsi" w:cs="Arial"/>
          <w:bCs/>
          <w:color w:val="auto"/>
        </w:rPr>
        <w:t xml:space="preserve">various </w:t>
      </w:r>
      <w:r w:rsidRPr="0087608C">
        <w:rPr>
          <w:rFonts w:eastAsiaTheme="minorHAnsi" w:cs="Arial"/>
          <w:bCs/>
          <w:color w:val="auto"/>
        </w:rPr>
        <w:t>program</w:t>
      </w:r>
      <w:r>
        <w:rPr>
          <w:rFonts w:eastAsiaTheme="minorHAnsi" w:cs="Arial"/>
          <w:bCs/>
          <w:color w:val="auto"/>
        </w:rPr>
        <w:t xml:space="preserve"> categories</w:t>
      </w:r>
      <w:r w:rsidRPr="0087608C">
        <w:rPr>
          <w:rFonts w:eastAsiaTheme="minorHAnsi" w:cs="Arial"/>
          <w:bCs/>
          <w:color w:val="auto"/>
        </w:rPr>
        <w:t xml:space="preserve"> </w:t>
      </w:r>
      <w:r w:rsidR="002963CA">
        <w:rPr>
          <w:rFonts w:eastAsiaTheme="minorHAnsi" w:cs="Arial"/>
          <w:bCs/>
          <w:color w:val="auto"/>
        </w:rPr>
        <w:t>as of</w:t>
      </w:r>
      <w:r w:rsidRPr="0087608C">
        <w:rPr>
          <w:rFonts w:eastAsiaTheme="minorHAnsi" w:cs="Arial"/>
          <w:bCs/>
          <w:color w:val="auto"/>
        </w:rPr>
        <w:t xml:space="preserve"> the September 1, 202</w:t>
      </w:r>
      <w:r>
        <w:rPr>
          <w:rFonts w:eastAsiaTheme="minorHAnsi" w:cs="Arial"/>
          <w:bCs/>
          <w:color w:val="auto"/>
        </w:rPr>
        <w:t>2,</w:t>
      </w:r>
      <w:r w:rsidRPr="0087608C">
        <w:rPr>
          <w:rFonts w:eastAsiaTheme="minorHAnsi" w:cs="Arial"/>
          <w:bCs/>
          <w:color w:val="auto"/>
        </w:rPr>
        <w:t xml:space="preserve"> snapshot date. To the extent the NOIE was operating deployment</w:t>
      </w:r>
      <w:r>
        <w:rPr>
          <w:rFonts w:eastAsiaTheme="minorHAnsi" w:cs="Arial"/>
          <w:bCs/>
          <w:color w:val="auto"/>
        </w:rPr>
        <w:t>-</w:t>
      </w:r>
      <w:r w:rsidRPr="0087608C">
        <w:rPr>
          <w:rFonts w:eastAsiaTheme="minorHAnsi" w:cs="Arial"/>
          <w:bCs/>
          <w:color w:val="auto"/>
        </w:rPr>
        <w:t xml:space="preserve">type programs, NOIEs </w:t>
      </w:r>
      <w:r>
        <w:rPr>
          <w:rFonts w:eastAsiaTheme="minorHAnsi" w:cs="Arial"/>
          <w:bCs/>
          <w:color w:val="auto"/>
        </w:rPr>
        <w:t xml:space="preserve">also </w:t>
      </w:r>
      <w:r w:rsidRPr="0087608C">
        <w:rPr>
          <w:rFonts w:eastAsiaTheme="minorHAnsi" w:cs="Arial"/>
          <w:bCs/>
          <w:color w:val="auto"/>
        </w:rPr>
        <w:t>were asked to provide the dates and times of those deployments as well as the number of residential and non-residential customers for each event.</w:t>
      </w:r>
    </w:p>
    <w:p w14:paraId="72D61776" w14:textId="77777777" w:rsidR="000B14CC" w:rsidRPr="0087608C" w:rsidRDefault="000B14CC" w:rsidP="000B14CC">
      <w:pPr>
        <w:spacing w:line="276" w:lineRule="auto"/>
        <w:jc w:val="both"/>
        <w:rPr>
          <w:rFonts w:eastAsiaTheme="minorHAnsi" w:cs="Arial"/>
          <w:color w:val="auto"/>
        </w:rPr>
      </w:pPr>
    </w:p>
    <w:p w14:paraId="1A4EFF6F" w14:textId="77777777" w:rsidR="000B14CC" w:rsidRDefault="000B14CC" w:rsidP="000B14CC">
      <w:pPr>
        <w:spacing w:line="276" w:lineRule="auto"/>
        <w:jc w:val="both"/>
        <w:rPr>
          <w:rFonts w:eastAsiaTheme="minorHAnsi" w:cs="Arial"/>
          <w:bCs/>
          <w:color w:val="auto"/>
        </w:rPr>
      </w:pPr>
      <w:r w:rsidRPr="0087608C">
        <w:rPr>
          <w:rFonts w:eastAsiaTheme="minorHAnsi" w:cs="Arial"/>
          <w:bCs/>
          <w:color w:val="auto"/>
        </w:rPr>
        <w:lastRenderedPageBreak/>
        <w:t>The NOIE survey included the categories used for the REP survey</w:t>
      </w:r>
      <w:r>
        <w:rPr>
          <w:rFonts w:eastAsiaTheme="minorHAnsi" w:cs="Arial"/>
          <w:bCs/>
          <w:color w:val="auto"/>
        </w:rPr>
        <w:t xml:space="preserve">, as well as </w:t>
      </w:r>
      <w:r w:rsidRPr="0087608C">
        <w:rPr>
          <w:rFonts w:eastAsiaTheme="minorHAnsi" w:cs="Arial"/>
          <w:bCs/>
          <w:color w:val="auto"/>
        </w:rPr>
        <w:t>the following</w:t>
      </w:r>
      <w:r>
        <w:rPr>
          <w:rFonts w:eastAsiaTheme="minorHAnsi" w:cs="Arial"/>
          <w:bCs/>
          <w:color w:val="auto"/>
        </w:rPr>
        <w:t xml:space="preserve"> additional categories</w:t>
      </w:r>
      <w:r w:rsidRPr="0087608C">
        <w:rPr>
          <w:rFonts w:eastAsiaTheme="minorHAnsi" w:cs="Arial"/>
          <w:bCs/>
          <w:color w:val="auto"/>
        </w:rPr>
        <w:t>:</w:t>
      </w:r>
    </w:p>
    <w:p w14:paraId="63A9F8A6" w14:textId="77777777" w:rsidR="000B14CC" w:rsidRPr="0087608C" w:rsidRDefault="000B14CC" w:rsidP="000B14CC">
      <w:pPr>
        <w:spacing w:line="276" w:lineRule="auto"/>
        <w:jc w:val="both"/>
        <w:rPr>
          <w:rFonts w:eastAsiaTheme="minorHAnsi" w:cs="Arial"/>
          <w:bCs/>
          <w:color w:val="auto"/>
        </w:rPr>
      </w:pPr>
    </w:p>
    <w:p w14:paraId="0AB4E268" w14:textId="77777777" w:rsidR="000B14CC" w:rsidRPr="0087608C" w:rsidRDefault="000B14CC" w:rsidP="000B14CC">
      <w:pPr>
        <w:numPr>
          <w:ilvl w:val="0"/>
          <w:numId w:val="22"/>
        </w:numPr>
        <w:autoSpaceDE w:val="0"/>
        <w:autoSpaceDN w:val="0"/>
        <w:adjustRightInd w:val="0"/>
        <w:rPr>
          <w:rFonts w:eastAsia="Calibri" w:cs="Arial"/>
          <w:color w:val="000000"/>
        </w:rPr>
      </w:pPr>
      <w:r w:rsidRPr="0087608C">
        <w:rPr>
          <w:rFonts w:eastAsia="Calibri" w:cs="Arial"/>
          <w:color w:val="000000"/>
        </w:rPr>
        <w:t>4CP Incentive</w:t>
      </w:r>
    </w:p>
    <w:p w14:paraId="585E6B0C" w14:textId="77777777" w:rsidR="000B14CC" w:rsidRPr="0087608C" w:rsidRDefault="000B14CC" w:rsidP="000B14CC">
      <w:pPr>
        <w:numPr>
          <w:ilvl w:val="0"/>
          <w:numId w:val="22"/>
        </w:numPr>
        <w:autoSpaceDE w:val="0"/>
        <w:autoSpaceDN w:val="0"/>
        <w:adjustRightInd w:val="0"/>
        <w:rPr>
          <w:rFonts w:eastAsia="Calibri" w:cs="Arial"/>
          <w:color w:val="000000"/>
        </w:rPr>
      </w:pPr>
      <w:r w:rsidRPr="0087608C">
        <w:rPr>
          <w:rFonts w:eastAsia="Calibri" w:cs="Arial"/>
          <w:color w:val="000000"/>
        </w:rPr>
        <w:t>Conservation Voltage Reduction (CVR)</w:t>
      </w:r>
    </w:p>
    <w:p w14:paraId="393D9F33" w14:textId="77777777" w:rsidR="000B14CC" w:rsidRDefault="000B14CC" w:rsidP="000B14CC">
      <w:pPr>
        <w:spacing w:line="276" w:lineRule="auto"/>
        <w:jc w:val="both"/>
        <w:rPr>
          <w:rFonts w:eastAsiaTheme="minorHAnsi" w:cs="Arial"/>
          <w:b/>
          <w:color w:val="auto"/>
        </w:rPr>
      </w:pPr>
    </w:p>
    <w:p w14:paraId="0C113A54" w14:textId="77777777" w:rsidR="000B14CC" w:rsidRPr="007B0B69" w:rsidRDefault="000B14CC" w:rsidP="000B14CC">
      <w:pPr>
        <w:spacing w:line="276" w:lineRule="auto"/>
        <w:ind w:left="720"/>
        <w:jc w:val="both"/>
        <w:rPr>
          <w:rFonts w:eastAsiaTheme="minorHAnsi" w:cs="Arial"/>
          <w:i/>
          <w:color w:val="auto"/>
        </w:rPr>
      </w:pPr>
      <w:r w:rsidRPr="007B0B69">
        <w:rPr>
          <w:rFonts w:eastAsiaTheme="minorHAnsi" w:cs="Arial"/>
          <w:i/>
          <w:color w:val="auto"/>
        </w:rPr>
        <w:t>Data Analysis Overview</w:t>
      </w:r>
      <w:r w:rsidRPr="00A008CF">
        <w:rPr>
          <w:rStyle w:val="FootnoteReference"/>
          <w:rFonts w:eastAsiaTheme="minorHAnsi" w:cs="Arial"/>
          <w:iCs/>
          <w:color w:val="auto"/>
        </w:rPr>
        <w:footnoteReference w:id="5"/>
      </w:r>
    </w:p>
    <w:p w14:paraId="0BF750FB" w14:textId="77777777" w:rsidR="000B14CC" w:rsidRPr="0087608C" w:rsidRDefault="000B14CC" w:rsidP="000B14CC">
      <w:pPr>
        <w:pStyle w:val="spacer"/>
        <w:widowControl w:val="0"/>
        <w:spacing w:before="240"/>
        <w:jc w:val="both"/>
        <w:rPr>
          <w:rFonts w:eastAsiaTheme="minorHAnsi"/>
          <w:bCs w:val="0"/>
          <w:color w:val="auto"/>
          <w:kern w:val="0"/>
          <w:sz w:val="24"/>
          <w:szCs w:val="24"/>
        </w:rPr>
      </w:pPr>
      <w:r>
        <w:rPr>
          <w:rFonts w:eastAsiaTheme="minorHAnsi"/>
          <w:bCs w:val="0"/>
          <w:color w:val="auto"/>
          <w:kern w:val="0"/>
          <w:sz w:val="24"/>
          <w:szCs w:val="24"/>
        </w:rPr>
        <w:t>ERCOT conducted a detailed analysis</w:t>
      </w:r>
      <w:r w:rsidRPr="0087608C">
        <w:rPr>
          <w:rFonts w:eastAsiaTheme="minorHAnsi"/>
          <w:bCs w:val="0"/>
          <w:color w:val="auto"/>
          <w:kern w:val="0"/>
          <w:sz w:val="24"/>
          <w:szCs w:val="24"/>
        </w:rPr>
        <w:t xml:space="preserve"> </w:t>
      </w:r>
      <w:r>
        <w:rPr>
          <w:rFonts w:eastAsiaTheme="minorHAnsi"/>
          <w:bCs w:val="0"/>
          <w:color w:val="auto"/>
          <w:kern w:val="0"/>
          <w:sz w:val="24"/>
          <w:szCs w:val="24"/>
        </w:rPr>
        <w:t>of</w:t>
      </w:r>
      <w:r w:rsidRPr="0087608C">
        <w:rPr>
          <w:rFonts w:eastAsiaTheme="minorHAnsi"/>
          <w:bCs w:val="0"/>
          <w:color w:val="auto"/>
          <w:kern w:val="0"/>
          <w:sz w:val="24"/>
          <w:szCs w:val="24"/>
        </w:rPr>
        <w:t xml:space="preserve"> the ESIID</w:t>
      </w:r>
      <w:r>
        <w:rPr>
          <w:rFonts w:eastAsiaTheme="minorHAnsi"/>
          <w:bCs w:val="0"/>
          <w:color w:val="auto"/>
          <w:kern w:val="0"/>
          <w:sz w:val="24"/>
          <w:szCs w:val="24"/>
        </w:rPr>
        <w:t>s</w:t>
      </w:r>
      <w:r w:rsidRPr="0087608C">
        <w:rPr>
          <w:rFonts w:eastAsiaTheme="minorHAnsi"/>
          <w:bCs w:val="0"/>
          <w:color w:val="auto"/>
          <w:kern w:val="0"/>
          <w:sz w:val="24"/>
          <w:szCs w:val="24"/>
        </w:rPr>
        <w:t xml:space="preserve"> submitted by the </w:t>
      </w:r>
      <w:r>
        <w:rPr>
          <w:rFonts w:eastAsiaTheme="minorHAnsi"/>
          <w:bCs w:val="0"/>
          <w:color w:val="auto"/>
          <w:kern w:val="0"/>
          <w:sz w:val="24"/>
          <w:szCs w:val="24"/>
        </w:rPr>
        <w:t>REPs</w:t>
      </w:r>
      <w:r w:rsidRPr="0087608C">
        <w:rPr>
          <w:rFonts w:eastAsiaTheme="minorHAnsi"/>
          <w:bCs w:val="0"/>
          <w:color w:val="auto"/>
          <w:kern w:val="0"/>
          <w:sz w:val="24"/>
          <w:szCs w:val="24"/>
        </w:rPr>
        <w:t xml:space="preserve"> using interval meter data stored in the ERCOT settlement database. The analysis objective </w:t>
      </w:r>
      <w:r>
        <w:rPr>
          <w:rFonts w:eastAsiaTheme="minorHAnsi"/>
          <w:bCs w:val="0"/>
          <w:color w:val="auto"/>
          <w:kern w:val="0"/>
          <w:sz w:val="24"/>
          <w:szCs w:val="24"/>
        </w:rPr>
        <w:t>was</w:t>
      </w:r>
      <w:r w:rsidRPr="0087608C">
        <w:rPr>
          <w:rFonts w:eastAsiaTheme="minorHAnsi"/>
          <w:bCs w:val="0"/>
          <w:color w:val="auto"/>
          <w:kern w:val="0"/>
          <w:sz w:val="24"/>
          <w:szCs w:val="24"/>
        </w:rPr>
        <w:t xml:space="preserve"> to develop estimates of the amount of Load reduction produced by the various programs for days with high prices and other deployments applicable to the program category.</w:t>
      </w:r>
    </w:p>
    <w:p w14:paraId="29EA63F5" w14:textId="77777777" w:rsidR="000B14CC" w:rsidRPr="0087608C" w:rsidRDefault="000B14CC" w:rsidP="000B14CC">
      <w:pPr>
        <w:spacing w:line="276" w:lineRule="auto"/>
        <w:jc w:val="both"/>
        <w:rPr>
          <w:rFonts w:eastAsiaTheme="minorHAnsi" w:cs="Arial"/>
          <w:color w:val="auto"/>
        </w:rPr>
      </w:pPr>
    </w:p>
    <w:p w14:paraId="20097F61" w14:textId="40B30D91" w:rsidR="000B14CC" w:rsidRDefault="000B14CC" w:rsidP="000B14CC">
      <w:pPr>
        <w:spacing w:line="276" w:lineRule="auto"/>
        <w:jc w:val="both"/>
        <w:rPr>
          <w:rFonts w:eastAsiaTheme="minorHAnsi" w:cs="Arial"/>
          <w:color w:val="auto"/>
        </w:rPr>
      </w:pPr>
      <w:r w:rsidRPr="00BA42C4">
        <w:rPr>
          <w:rFonts w:eastAsiaTheme="minorHAnsi" w:cs="Arial"/>
          <w:color w:val="auto"/>
        </w:rPr>
        <w:t>T</w:t>
      </w:r>
      <w:r>
        <w:rPr>
          <w:rFonts w:eastAsiaTheme="minorHAnsi" w:cs="Arial"/>
          <w:color w:val="auto"/>
        </w:rPr>
        <w:t>he analysis typically involves looking at three years of historical data, and exceptional events during the analysis window are taken into consideration. For the 2023 analysis, two exceptional events were considered: Hurricane Nicholas and Winter Storm Uri</w:t>
      </w:r>
      <w:r w:rsidR="005A251C">
        <w:rPr>
          <w:rFonts w:eastAsiaTheme="minorHAnsi" w:cs="Arial"/>
          <w:color w:val="auto"/>
        </w:rPr>
        <w:t>, both</w:t>
      </w:r>
      <w:r>
        <w:rPr>
          <w:rFonts w:eastAsiaTheme="minorHAnsi" w:cs="Arial"/>
          <w:color w:val="auto"/>
        </w:rPr>
        <w:t xml:space="preserve"> in</w:t>
      </w:r>
      <w:r w:rsidR="002C7EB1">
        <w:rPr>
          <w:rFonts w:eastAsiaTheme="minorHAnsi" w:cs="Arial"/>
          <w:color w:val="auto"/>
        </w:rPr>
        <w:t xml:space="preserve"> </w:t>
      </w:r>
      <w:r>
        <w:rPr>
          <w:rFonts w:eastAsiaTheme="minorHAnsi" w:cs="Arial"/>
          <w:color w:val="auto"/>
        </w:rPr>
        <w:t>2021</w:t>
      </w:r>
      <w:r w:rsidRPr="00BA42C4">
        <w:rPr>
          <w:rFonts w:eastAsiaTheme="minorHAnsi" w:cs="Arial"/>
          <w:color w:val="auto"/>
        </w:rPr>
        <w:t>.</w:t>
      </w:r>
      <w:r>
        <w:rPr>
          <w:rFonts w:eastAsiaTheme="minorHAnsi" w:cs="Arial"/>
          <w:color w:val="auto"/>
        </w:rPr>
        <w:t xml:space="preserve"> </w:t>
      </w:r>
      <w:r w:rsidRPr="00BA42C4">
        <w:rPr>
          <w:rFonts w:eastAsiaTheme="minorHAnsi" w:cs="Arial"/>
          <w:color w:val="auto"/>
        </w:rPr>
        <w:t>The analysis methodology was adapted to account for the impact these events had on customer Load patterns</w:t>
      </w:r>
      <w:r>
        <w:rPr>
          <w:rFonts w:eastAsiaTheme="minorHAnsi" w:cs="Arial"/>
          <w:color w:val="auto"/>
        </w:rPr>
        <w:t>, based on the nature of the specific events</w:t>
      </w:r>
      <w:r w:rsidRPr="00BA42C4">
        <w:rPr>
          <w:rFonts w:eastAsiaTheme="minorHAnsi" w:cs="Arial"/>
          <w:color w:val="auto"/>
        </w:rPr>
        <w:t>.</w:t>
      </w:r>
      <w:r>
        <w:rPr>
          <w:rFonts w:asciiTheme="majorHAnsi" w:eastAsiaTheme="minorHAnsi" w:hAnsiTheme="majorHAnsi" w:cstheme="majorHAnsi"/>
          <w:color w:val="auto"/>
        </w:rPr>
        <w:t xml:space="preserve"> </w:t>
      </w:r>
      <w:r w:rsidRPr="00BA42C4">
        <w:rPr>
          <w:rFonts w:eastAsiaTheme="minorHAnsi" w:cs="Arial"/>
          <w:color w:val="auto"/>
        </w:rPr>
        <w:t xml:space="preserve">An algorithm ERCOT developed in 2017 for Hurricane Harvey was leveraged to identify specific ESIIDs and dates </w:t>
      </w:r>
      <w:r>
        <w:rPr>
          <w:rFonts w:eastAsiaTheme="minorHAnsi" w:cs="Arial"/>
          <w:color w:val="auto"/>
        </w:rPr>
        <w:t>that appeared to be impacted by</w:t>
      </w:r>
      <w:r w:rsidRPr="00BA42C4">
        <w:rPr>
          <w:rFonts w:eastAsiaTheme="minorHAnsi" w:cs="Arial"/>
          <w:color w:val="auto"/>
        </w:rPr>
        <w:t xml:space="preserve"> </w:t>
      </w:r>
      <w:r w:rsidRPr="005B2A6D">
        <w:rPr>
          <w:rFonts w:eastAsiaTheme="minorHAnsi" w:cs="Arial"/>
          <w:color w:val="auto"/>
        </w:rPr>
        <w:t>Hurricane Nicholas,</w:t>
      </w:r>
      <w:r>
        <w:rPr>
          <w:rFonts w:eastAsiaTheme="minorHAnsi" w:cs="Arial"/>
          <w:color w:val="auto"/>
        </w:rPr>
        <w:t xml:space="preserve"> and the</w:t>
      </w:r>
      <w:r w:rsidRPr="00BA42C4">
        <w:rPr>
          <w:rFonts w:eastAsiaTheme="minorHAnsi" w:cs="Arial"/>
          <w:color w:val="auto"/>
        </w:rPr>
        <w:t xml:space="preserve"> data for those ESIDs and dates was excluded from use in </w:t>
      </w:r>
      <w:r>
        <w:rPr>
          <w:rFonts w:eastAsiaTheme="minorHAnsi" w:cs="Arial"/>
          <w:color w:val="auto"/>
        </w:rPr>
        <w:t xml:space="preserve">the individual </w:t>
      </w:r>
      <w:r w:rsidRPr="00BA42C4">
        <w:rPr>
          <w:rFonts w:eastAsiaTheme="minorHAnsi" w:cs="Arial"/>
          <w:color w:val="auto"/>
        </w:rPr>
        <w:t>ESIID</w:t>
      </w:r>
      <w:r>
        <w:rPr>
          <w:rFonts w:eastAsiaTheme="minorHAnsi" w:cs="Arial"/>
          <w:color w:val="auto"/>
        </w:rPr>
        <w:t xml:space="preserve"> and </w:t>
      </w:r>
      <w:r w:rsidRPr="00BA42C4">
        <w:rPr>
          <w:rFonts w:eastAsiaTheme="minorHAnsi" w:cs="Arial"/>
          <w:color w:val="auto"/>
        </w:rPr>
        <w:t>NOIE baseline development.</w:t>
      </w:r>
      <w:r>
        <w:rPr>
          <w:rFonts w:eastAsiaTheme="minorHAnsi" w:cs="Arial"/>
          <w:color w:val="auto"/>
        </w:rPr>
        <w:t xml:space="preserve"> </w:t>
      </w:r>
      <w:r w:rsidRPr="00BA42C4">
        <w:rPr>
          <w:rFonts w:eastAsiaTheme="minorHAnsi" w:cs="Arial"/>
          <w:color w:val="auto"/>
        </w:rPr>
        <w:t xml:space="preserve">The approach adopted for </w:t>
      </w:r>
      <w:r>
        <w:rPr>
          <w:rFonts w:eastAsiaTheme="minorHAnsi" w:cs="Arial"/>
          <w:color w:val="auto"/>
        </w:rPr>
        <w:t xml:space="preserve">Winter Storm Uri </w:t>
      </w:r>
      <w:r w:rsidRPr="00BA42C4">
        <w:rPr>
          <w:rFonts w:eastAsiaTheme="minorHAnsi" w:cs="Arial"/>
          <w:color w:val="auto"/>
        </w:rPr>
        <w:t xml:space="preserve">was to </w:t>
      </w:r>
      <w:r>
        <w:rPr>
          <w:rFonts w:eastAsiaTheme="minorHAnsi" w:cs="Arial"/>
          <w:color w:val="auto"/>
        </w:rPr>
        <w:t>exclude data for February</w:t>
      </w:r>
      <w:r w:rsidR="005A251C">
        <w:rPr>
          <w:rFonts w:eastAsiaTheme="minorHAnsi" w:cs="Arial"/>
          <w:color w:val="auto"/>
        </w:rPr>
        <w:t xml:space="preserve"> 2021</w:t>
      </w:r>
      <w:r>
        <w:rPr>
          <w:rFonts w:eastAsiaTheme="minorHAnsi" w:cs="Arial"/>
          <w:color w:val="auto"/>
        </w:rPr>
        <w:t>.</w:t>
      </w:r>
    </w:p>
    <w:p w14:paraId="6E0E9E42" w14:textId="77777777" w:rsidR="005B2A6D" w:rsidRDefault="005B2A6D" w:rsidP="000B14CC">
      <w:pPr>
        <w:spacing w:line="276" w:lineRule="auto"/>
        <w:jc w:val="both"/>
        <w:rPr>
          <w:rFonts w:eastAsiaTheme="minorHAnsi" w:cs="Arial"/>
          <w:color w:val="auto"/>
        </w:rPr>
      </w:pPr>
    </w:p>
    <w:p w14:paraId="276869C2" w14:textId="3DEF5494" w:rsidR="000B14CC" w:rsidRDefault="000B14CC" w:rsidP="000B14CC">
      <w:pPr>
        <w:spacing w:line="276" w:lineRule="auto"/>
        <w:jc w:val="both"/>
        <w:rPr>
          <w:rFonts w:eastAsiaTheme="minorHAnsi" w:cs="Arial"/>
          <w:color w:val="auto"/>
        </w:rPr>
      </w:pPr>
      <w:r>
        <w:rPr>
          <w:rFonts w:eastAsiaTheme="minorHAnsi" w:cs="Arial"/>
          <w:color w:val="auto"/>
        </w:rPr>
        <w:t xml:space="preserve">Finally, with the addition to the grid of large </w:t>
      </w:r>
      <w:proofErr w:type="spellStart"/>
      <w:r w:rsidR="005A251C">
        <w:rPr>
          <w:rFonts w:eastAsiaTheme="minorHAnsi" w:cs="Arial"/>
          <w:color w:val="auto"/>
        </w:rPr>
        <w:t>c</w:t>
      </w:r>
      <w:r>
        <w:rPr>
          <w:rFonts w:eastAsiaTheme="minorHAnsi" w:cs="Arial"/>
          <w:color w:val="auto"/>
        </w:rPr>
        <w:t>ryptomining</w:t>
      </w:r>
      <w:proofErr w:type="spellEnd"/>
      <w:r>
        <w:rPr>
          <w:rFonts w:eastAsiaTheme="minorHAnsi" w:cs="Arial"/>
          <w:color w:val="auto"/>
        </w:rPr>
        <w:t xml:space="preserve"> Loads, ERCOT analysis has found price response occurring at much lower levels than had previously been observed. Known </w:t>
      </w:r>
      <w:r w:rsidR="005A251C">
        <w:rPr>
          <w:rFonts w:eastAsiaTheme="minorHAnsi" w:cs="Arial"/>
          <w:color w:val="auto"/>
        </w:rPr>
        <w:t>c</w:t>
      </w:r>
      <w:r>
        <w:rPr>
          <w:rFonts w:eastAsiaTheme="minorHAnsi" w:cs="Arial"/>
          <w:color w:val="auto"/>
        </w:rPr>
        <w:t xml:space="preserve">rypto ESIIDs were flagged, and the analysis methodology was modified to apply the Meter-Before-Meter-After baseline and thus avoid the likely bias that </w:t>
      </w:r>
      <w:r w:rsidR="000E1C2E">
        <w:rPr>
          <w:rFonts w:eastAsiaTheme="minorHAnsi" w:cs="Arial"/>
          <w:color w:val="auto"/>
        </w:rPr>
        <w:t xml:space="preserve">would have </w:t>
      </w:r>
      <w:r>
        <w:rPr>
          <w:rFonts w:eastAsiaTheme="minorHAnsi" w:cs="Arial"/>
          <w:color w:val="auto"/>
        </w:rPr>
        <w:t>otherwise occurred in determining the baseline.  ERCOT will continue to work on a method to identify additional ESIIDs that respond at low prices, and, if required, re-run the analysis and update this and prior year’s reports.</w:t>
      </w:r>
    </w:p>
    <w:p w14:paraId="6BADEFD2" w14:textId="77777777" w:rsidR="000B14CC" w:rsidRDefault="000B14CC" w:rsidP="000B14CC">
      <w:pPr>
        <w:spacing w:line="276" w:lineRule="auto"/>
        <w:jc w:val="both"/>
        <w:rPr>
          <w:rFonts w:eastAsiaTheme="minorHAnsi" w:cs="Arial"/>
          <w:color w:val="auto"/>
        </w:rPr>
      </w:pPr>
    </w:p>
    <w:p w14:paraId="57C50D6B" w14:textId="77777777" w:rsidR="000B14CC" w:rsidRPr="007E5B5B" w:rsidRDefault="000B14CC" w:rsidP="000B14CC">
      <w:pPr>
        <w:spacing w:line="276" w:lineRule="auto"/>
        <w:ind w:left="720"/>
        <w:jc w:val="both"/>
        <w:rPr>
          <w:rFonts w:eastAsiaTheme="minorHAnsi" w:cs="Arial"/>
          <w:i/>
          <w:color w:val="auto"/>
        </w:rPr>
      </w:pPr>
      <w:r w:rsidRPr="007E5B5B">
        <w:rPr>
          <w:rFonts w:eastAsiaTheme="minorHAnsi" w:cs="Arial"/>
          <w:i/>
          <w:color w:val="auto"/>
        </w:rPr>
        <w:t xml:space="preserve">4CP Analysis </w:t>
      </w:r>
    </w:p>
    <w:p w14:paraId="3DA0AF6B" w14:textId="77777777" w:rsidR="000B14CC" w:rsidRDefault="000B14CC" w:rsidP="000B14CC">
      <w:pPr>
        <w:spacing w:line="276" w:lineRule="auto"/>
        <w:jc w:val="both"/>
        <w:rPr>
          <w:rFonts w:asciiTheme="majorHAnsi" w:eastAsiaTheme="minorHAnsi" w:hAnsiTheme="majorHAnsi" w:cstheme="majorHAnsi"/>
          <w:color w:val="auto"/>
        </w:rPr>
      </w:pPr>
    </w:p>
    <w:p w14:paraId="587664C6" w14:textId="218C91E7" w:rsidR="000B14CC" w:rsidRDefault="000B14CC" w:rsidP="000B14CC">
      <w:pPr>
        <w:spacing w:line="276" w:lineRule="auto"/>
        <w:jc w:val="both"/>
        <w:rPr>
          <w:rFonts w:eastAsiaTheme="minorHAnsi" w:cs="Arial"/>
          <w:color w:val="auto"/>
        </w:rPr>
      </w:pPr>
      <w:r w:rsidRPr="0087608C">
        <w:rPr>
          <w:rFonts w:eastAsiaTheme="minorHAnsi" w:cs="Arial"/>
          <w:color w:val="auto"/>
        </w:rPr>
        <w:t>The four coincident peaks</w:t>
      </w:r>
      <w:r w:rsidR="000E1C2E">
        <w:rPr>
          <w:rFonts w:eastAsiaTheme="minorHAnsi" w:cs="Arial"/>
          <w:color w:val="auto"/>
        </w:rPr>
        <w:t>, or “4CP”,</w:t>
      </w:r>
      <w:r w:rsidRPr="0087608C">
        <w:rPr>
          <w:rFonts w:eastAsiaTheme="minorHAnsi" w:cs="Arial"/>
          <w:color w:val="auto"/>
        </w:rPr>
        <w:t xml:space="preserve"> in ERCOT are the four 15-minute </w:t>
      </w:r>
      <w:r>
        <w:rPr>
          <w:rFonts w:eastAsiaTheme="minorHAnsi" w:cs="Arial"/>
          <w:color w:val="auto"/>
        </w:rPr>
        <w:t>S</w:t>
      </w:r>
      <w:r w:rsidRPr="0087608C">
        <w:rPr>
          <w:rFonts w:eastAsiaTheme="minorHAnsi" w:cs="Arial"/>
          <w:color w:val="auto"/>
        </w:rPr>
        <w:t xml:space="preserve">ettlement </w:t>
      </w:r>
      <w:r>
        <w:rPr>
          <w:rFonts w:eastAsiaTheme="minorHAnsi" w:cs="Arial"/>
          <w:color w:val="auto"/>
        </w:rPr>
        <w:t>I</w:t>
      </w:r>
      <w:r w:rsidRPr="0087608C">
        <w:rPr>
          <w:rFonts w:eastAsiaTheme="minorHAnsi" w:cs="Arial"/>
          <w:color w:val="auto"/>
        </w:rPr>
        <w:t xml:space="preserve">ntervals corresponding with the highest ERCOT Load in each of the four summer months (June, July, August, and September).  For NOIEs and certain retail choice customers, the average of the 4CP Loads establishes the share of cost responsibility for </w:t>
      </w:r>
      <w:r w:rsidR="005A251C">
        <w:rPr>
          <w:rFonts w:eastAsiaTheme="minorHAnsi" w:cs="Arial"/>
          <w:color w:val="auto"/>
        </w:rPr>
        <w:t>t</w:t>
      </w:r>
      <w:r w:rsidRPr="0087608C">
        <w:rPr>
          <w:rFonts w:eastAsiaTheme="minorHAnsi" w:cs="Arial"/>
          <w:color w:val="auto"/>
        </w:rPr>
        <w:t xml:space="preserve">ransmission charges. 4CP billing can incentivize customers to reduce Load during anticipated 4CP intervals. </w:t>
      </w:r>
    </w:p>
    <w:p w14:paraId="5104F604" w14:textId="77777777" w:rsidR="000B14CC" w:rsidRDefault="000B14CC" w:rsidP="000B14CC">
      <w:pPr>
        <w:spacing w:line="276" w:lineRule="auto"/>
        <w:jc w:val="both"/>
        <w:rPr>
          <w:rFonts w:eastAsiaTheme="minorHAnsi" w:cs="Arial"/>
          <w:color w:val="auto"/>
        </w:rPr>
      </w:pPr>
    </w:p>
    <w:p w14:paraId="465EDB7B" w14:textId="28C6001E" w:rsidR="000B14CC" w:rsidRPr="0087608C" w:rsidRDefault="000B14CC" w:rsidP="000B14CC">
      <w:pPr>
        <w:spacing w:line="276" w:lineRule="auto"/>
        <w:jc w:val="both"/>
        <w:rPr>
          <w:rFonts w:eastAsiaTheme="minorHAnsi" w:cs="Arial"/>
          <w:color w:val="auto"/>
        </w:rPr>
      </w:pPr>
      <w:r w:rsidRPr="0087608C">
        <w:rPr>
          <w:rFonts w:eastAsiaTheme="minorHAnsi" w:cs="Arial"/>
          <w:color w:val="auto"/>
        </w:rPr>
        <w:lastRenderedPageBreak/>
        <w:t>ERCOT separately analyzed the response behavior for both NOIEs and ESIIDs in competitive choice areas subject to 4CP charges.</w:t>
      </w:r>
      <w:r>
        <w:rPr>
          <w:rFonts w:eastAsiaTheme="minorHAnsi" w:cs="Arial"/>
          <w:color w:val="auto"/>
        </w:rPr>
        <w:t xml:space="preserve"> </w:t>
      </w:r>
      <w:r w:rsidRPr="0087608C">
        <w:rPr>
          <w:rFonts w:eastAsiaTheme="minorHAnsi" w:cs="Arial"/>
          <w:color w:val="auto"/>
        </w:rPr>
        <w:t>4CP response for NOIEs was based on estimated reductions in total NOIE Load, as determined from boundary metering after netting out NOIE-area generation. Response in competitive areas w</w:t>
      </w:r>
      <w:r>
        <w:rPr>
          <w:rFonts w:eastAsiaTheme="minorHAnsi" w:cs="Arial"/>
          <w:color w:val="auto"/>
        </w:rPr>
        <w:t>as</w:t>
      </w:r>
      <w:r w:rsidRPr="0087608C">
        <w:rPr>
          <w:rFonts w:eastAsiaTheme="minorHAnsi" w:cs="Arial"/>
          <w:color w:val="auto"/>
        </w:rPr>
        <w:t xml:space="preserve"> estimated based on the TDSP metering of the customer’s actual Load.  In both cases, reductions were estimated for actual 4CP days as well as other “Near-CP” days. These Near-CP days were determined by identifying </w:t>
      </w:r>
      <w:r>
        <w:rPr>
          <w:rFonts w:eastAsiaTheme="minorHAnsi" w:cs="Arial"/>
          <w:color w:val="auto"/>
        </w:rPr>
        <w:t xml:space="preserve">summer days on which </w:t>
      </w:r>
      <w:r w:rsidRPr="0087608C">
        <w:rPr>
          <w:rFonts w:eastAsiaTheme="minorHAnsi" w:cs="Arial"/>
          <w:color w:val="auto"/>
        </w:rPr>
        <w:t xml:space="preserve">the ERCOT total Load was high and for which </w:t>
      </w:r>
      <w:r>
        <w:rPr>
          <w:rFonts w:eastAsiaTheme="minorHAnsi" w:cs="Arial"/>
          <w:color w:val="auto"/>
        </w:rPr>
        <w:t>significant</w:t>
      </w:r>
      <w:r w:rsidRPr="0087608C">
        <w:rPr>
          <w:rFonts w:eastAsiaTheme="minorHAnsi" w:cs="Arial"/>
          <w:color w:val="auto"/>
        </w:rPr>
        <w:t xml:space="preserve"> Load reductions </w:t>
      </w:r>
      <w:r>
        <w:rPr>
          <w:rFonts w:eastAsiaTheme="minorHAnsi" w:cs="Arial"/>
          <w:color w:val="auto"/>
        </w:rPr>
        <w:t xml:space="preserve">were observed among </w:t>
      </w:r>
      <w:r w:rsidR="00FE2FCE">
        <w:rPr>
          <w:rFonts w:eastAsiaTheme="minorHAnsi" w:cs="Arial"/>
          <w:color w:val="auto"/>
        </w:rPr>
        <w:t>t</w:t>
      </w:r>
      <w:r>
        <w:rPr>
          <w:rFonts w:eastAsiaTheme="minorHAnsi" w:cs="Arial"/>
          <w:color w:val="auto"/>
        </w:rPr>
        <w:t>ransmission voltage customers identified as 4CP responders during the summer prior to the survey year</w:t>
      </w:r>
      <w:r w:rsidRPr="0087608C">
        <w:rPr>
          <w:rFonts w:eastAsiaTheme="minorHAnsi" w:cs="Arial"/>
          <w:color w:val="auto"/>
        </w:rPr>
        <w:t>.</w:t>
      </w:r>
    </w:p>
    <w:p w14:paraId="4016EA54" w14:textId="77777777" w:rsidR="000B14CC" w:rsidRPr="0087608C" w:rsidRDefault="000B14CC" w:rsidP="000B14CC">
      <w:pPr>
        <w:spacing w:line="276" w:lineRule="auto"/>
        <w:jc w:val="both"/>
        <w:rPr>
          <w:rFonts w:eastAsiaTheme="minorHAnsi" w:cs="Arial"/>
          <w:color w:val="auto"/>
        </w:rPr>
      </w:pPr>
    </w:p>
    <w:p w14:paraId="4A2880E4" w14:textId="34C85EA9" w:rsidR="000B14CC" w:rsidRPr="0087608C" w:rsidRDefault="000B14CC" w:rsidP="000B14CC">
      <w:pPr>
        <w:spacing w:line="276" w:lineRule="auto"/>
        <w:jc w:val="both"/>
        <w:rPr>
          <w:rFonts w:eastAsiaTheme="minorHAnsi" w:cs="Arial"/>
          <w:color w:val="auto"/>
        </w:rPr>
      </w:pPr>
      <w:r w:rsidRPr="0087608C">
        <w:rPr>
          <w:rFonts w:eastAsiaTheme="minorHAnsi" w:cs="Arial"/>
          <w:color w:val="auto"/>
        </w:rPr>
        <w:t>ERCOT’s practice with 4CP analysis is to base the Load reduction estimates on ESIIDs that have demonstrated a likelihood to respond to 4CP and Near-CP events. The likelihood is determined from the ESIID’s response to such events over the</w:t>
      </w:r>
      <w:r>
        <w:rPr>
          <w:rFonts w:eastAsiaTheme="minorHAnsi" w:cs="Arial"/>
          <w:color w:val="auto"/>
        </w:rPr>
        <w:t xml:space="preserve"> most recent</w:t>
      </w:r>
      <w:r w:rsidRPr="0087608C">
        <w:rPr>
          <w:rFonts w:eastAsiaTheme="minorHAnsi" w:cs="Arial"/>
          <w:color w:val="auto"/>
        </w:rPr>
        <w:t xml:space="preserve"> three</w:t>
      </w:r>
      <w:r>
        <w:rPr>
          <w:rFonts w:eastAsiaTheme="minorHAnsi" w:cs="Arial"/>
          <w:color w:val="auto"/>
        </w:rPr>
        <w:t>-</w:t>
      </w:r>
      <w:r w:rsidRPr="0087608C">
        <w:rPr>
          <w:rFonts w:eastAsiaTheme="minorHAnsi" w:cs="Arial"/>
          <w:color w:val="auto"/>
        </w:rPr>
        <w:t>year period</w:t>
      </w:r>
      <w:r>
        <w:rPr>
          <w:rFonts w:eastAsiaTheme="minorHAnsi" w:cs="Arial"/>
          <w:color w:val="auto"/>
        </w:rPr>
        <w:t>,</w:t>
      </w:r>
      <w:r w:rsidRPr="0087608C">
        <w:rPr>
          <w:rFonts w:eastAsiaTheme="minorHAnsi" w:cs="Arial"/>
          <w:color w:val="auto"/>
        </w:rPr>
        <w:t xml:space="preserve"> including summer 202</w:t>
      </w:r>
      <w:r>
        <w:rPr>
          <w:rFonts w:eastAsiaTheme="minorHAnsi" w:cs="Arial"/>
          <w:color w:val="auto"/>
        </w:rPr>
        <w:t>3</w:t>
      </w:r>
      <w:r w:rsidRPr="0087608C">
        <w:rPr>
          <w:rFonts w:eastAsiaTheme="minorHAnsi" w:cs="Arial"/>
          <w:color w:val="auto"/>
        </w:rPr>
        <w:t>.</w:t>
      </w:r>
    </w:p>
    <w:p w14:paraId="0EE585A5" w14:textId="77777777" w:rsidR="000B14CC" w:rsidRPr="0087608C" w:rsidRDefault="000B14CC" w:rsidP="000B14CC">
      <w:pPr>
        <w:spacing w:line="276" w:lineRule="auto"/>
        <w:jc w:val="both"/>
        <w:rPr>
          <w:rFonts w:eastAsiaTheme="minorHAnsi" w:cs="Arial"/>
          <w:color w:val="auto"/>
        </w:rPr>
      </w:pPr>
    </w:p>
    <w:p w14:paraId="1644C41D" w14:textId="05E4503E" w:rsidR="000B14CC" w:rsidRPr="0087608C" w:rsidRDefault="000B14CC" w:rsidP="000B14CC">
      <w:pPr>
        <w:spacing w:line="276" w:lineRule="auto"/>
        <w:jc w:val="both"/>
        <w:rPr>
          <w:rFonts w:eastAsiaTheme="minorHAnsi" w:cs="Arial"/>
          <w:color w:val="auto"/>
        </w:rPr>
      </w:pPr>
      <w:r>
        <w:rPr>
          <w:rFonts w:eastAsiaTheme="minorHAnsi" w:cs="Arial"/>
          <w:color w:val="auto"/>
        </w:rPr>
        <w:t>I</w:t>
      </w:r>
      <w:r w:rsidRPr="0087608C">
        <w:rPr>
          <w:rFonts w:eastAsiaTheme="minorHAnsi" w:cs="Arial"/>
          <w:color w:val="auto"/>
        </w:rPr>
        <w:t>n the areas of ERCOT</w:t>
      </w:r>
      <w:r>
        <w:rPr>
          <w:rFonts w:eastAsiaTheme="minorHAnsi" w:cs="Arial"/>
          <w:color w:val="auto"/>
        </w:rPr>
        <w:t xml:space="preserve"> with retail competition</w:t>
      </w:r>
      <w:r w:rsidRPr="0087608C">
        <w:rPr>
          <w:rFonts w:eastAsiaTheme="minorHAnsi" w:cs="Arial"/>
          <w:color w:val="auto"/>
        </w:rPr>
        <w:t>, customers subject to 4CP billing</w:t>
      </w:r>
      <w:r>
        <w:rPr>
          <w:rFonts w:eastAsiaTheme="minorHAnsi" w:cs="Arial"/>
          <w:color w:val="auto"/>
        </w:rPr>
        <w:t xml:space="preserve"> largely</w:t>
      </w:r>
      <w:r w:rsidRPr="0087608C">
        <w:rPr>
          <w:rFonts w:eastAsiaTheme="minorHAnsi" w:cs="Arial"/>
          <w:color w:val="auto"/>
        </w:rPr>
        <w:t xml:space="preserve"> make their own decisions, independent of their REP, on a day-by-day basis as to whether to reduce </w:t>
      </w:r>
      <w:r>
        <w:rPr>
          <w:rFonts w:eastAsiaTheme="minorHAnsi" w:cs="Arial"/>
          <w:color w:val="auto"/>
        </w:rPr>
        <w:t>L</w:t>
      </w:r>
      <w:r w:rsidRPr="0087608C">
        <w:rPr>
          <w:rFonts w:eastAsiaTheme="minorHAnsi" w:cs="Arial"/>
          <w:color w:val="auto"/>
        </w:rPr>
        <w:t>oad to avoid 4CP</w:t>
      </w:r>
      <w:r>
        <w:rPr>
          <w:rFonts w:eastAsiaTheme="minorHAnsi" w:cs="Arial"/>
          <w:color w:val="auto"/>
        </w:rPr>
        <w:t>-</w:t>
      </w:r>
      <w:r w:rsidRPr="0087608C">
        <w:rPr>
          <w:rFonts w:eastAsiaTheme="minorHAnsi" w:cs="Arial"/>
          <w:color w:val="auto"/>
        </w:rPr>
        <w:t xml:space="preserve">based charges. </w:t>
      </w:r>
      <w:r>
        <w:rPr>
          <w:rFonts w:eastAsiaTheme="minorHAnsi" w:cs="Arial"/>
          <w:color w:val="auto"/>
        </w:rPr>
        <w:t>Given this,</w:t>
      </w:r>
      <w:r w:rsidRPr="0087608C">
        <w:rPr>
          <w:rFonts w:eastAsiaTheme="minorHAnsi" w:cs="Arial"/>
          <w:color w:val="auto"/>
        </w:rPr>
        <w:t xml:space="preserve"> the REP survey is not used directly to identify ESIIDs that take action to avoid those charges. However, the</w:t>
      </w:r>
      <w:r>
        <w:rPr>
          <w:rFonts w:eastAsiaTheme="minorHAnsi" w:cs="Arial"/>
          <w:color w:val="auto"/>
        </w:rPr>
        <w:t xml:space="preserve"> REP</w:t>
      </w:r>
      <w:r w:rsidRPr="0087608C">
        <w:rPr>
          <w:rFonts w:eastAsiaTheme="minorHAnsi" w:cs="Arial"/>
          <w:color w:val="auto"/>
        </w:rPr>
        <w:t xml:space="preserve"> survey data is an important input into the 4CP analysis in that it identifies ESIIDs</w:t>
      </w:r>
      <w:r>
        <w:rPr>
          <w:rFonts w:eastAsiaTheme="minorHAnsi" w:cs="Arial"/>
          <w:color w:val="auto"/>
        </w:rPr>
        <w:t xml:space="preserve"> that are</w:t>
      </w:r>
      <w:r w:rsidRPr="0087608C">
        <w:rPr>
          <w:rFonts w:eastAsiaTheme="minorHAnsi" w:cs="Arial"/>
          <w:color w:val="auto"/>
        </w:rPr>
        <w:t xml:space="preserve"> on </w:t>
      </w:r>
      <w:r w:rsidR="00FE2FCE">
        <w:rPr>
          <w:rFonts w:eastAsiaTheme="minorHAnsi" w:cs="Arial"/>
          <w:color w:val="auto"/>
        </w:rPr>
        <w:t>i</w:t>
      </w:r>
      <w:r w:rsidRPr="0087608C">
        <w:rPr>
          <w:rFonts w:eastAsiaTheme="minorHAnsi" w:cs="Arial"/>
          <w:color w:val="auto"/>
        </w:rPr>
        <w:t>ndexed pricing products and/or</w:t>
      </w:r>
      <w:r>
        <w:rPr>
          <w:rFonts w:eastAsiaTheme="minorHAnsi" w:cs="Arial"/>
          <w:color w:val="auto"/>
        </w:rPr>
        <w:t xml:space="preserve"> that</w:t>
      </w:r>
      <w:r w:rsidRPr="0087608C">
        <w:rPr>
          <w:rFonts w:eastAsiaTheme="minorHAnsi" w:cs="Arial"/>
          <w:color w:val="auto"/>
        </w:rPr>
        <w:t xml:space="preserve"> participate in REP deployment type products. This information allows ERCOT to identify days to exclude from </w:t>
      </w:r>
      <w:r>
        <w:rPr>
          <w:rFonts w:eastAsiaTheme="minorHAnsi" w:cs="Arial"/>
          <w:color w:val="auto"/>
        </w:rPr>
        <w:t>its</w:t>
      </w:r>
      <w:r w:rsidRPr="0087608C">
        <w:rPr>
          <w:rFonts w:eastAsiaTheme="minorHAnsi" w:cs="Arial"/>
          <w:color w:val="auto"/>
        </w:rPr>
        <w:t xml:space="preserve"> baseline evaluation and determination.</w:t>
      </w:r>
    </w:p>
    <w:p w14:paraId="672456B6" w14:textId="77777777" w:rsidR="000B14CC" w:rsidRPr="0087608C" w:rsidRDefault="000B14CC" w:rsidP="000B14CC">
      <w:pPr>
        <w:spacing w:line="276" w:lineRule="auto"/>
        <w:jc w:val="both"/>
        <w:rPr>
          <w:rFonts w:eastAsiaTheme="minorHAnsi" w:cs="Arial"/>
          <w:color w:val="auto"/>
        </w:rPr>
      </w:pPr>
    </w:p>
    <w:p w14:paraId="781F7D93" w14:textId="77777777" w:rsidR="000B14CC" w:rsidRPr="0087608C" w:rsidRDefault="000B14CC" w:rsidP="000B14CC">
      <w:pPr>
        <w:spacing w:line="276" w:lineRule="auto"/>
        <w:jc w:val="both"/>
      </w:pPr>
      <w:r w:rsidRPr="0087608C">
        <w:rPr>
          <w:rFonts w:eastAsiaTheme="minorHAnsi" w:cs="Arial"/>
          <w:color w:val="auto"/>
        </w:rPr>
        <w:t>The same considerations apply to the NOIE survey</w:t>
      </w:r>
      <w:r>
        <w:rPr>
          <w:rFonts w:eastAsiaTheme="minorHAnsi" w:cs="Arial"/>
          <w:color w:val="auto"/>
        </w:rPr>
        <w:t>,</w:t>
      </w:r>
      <w:r w:rsidRPr="0087608C">
        <w:rPr>
          <w:rFonts w:eastAsiaTheme="minorHAnsi" w:cs="Arial"/>
          <w:color w:val="auto"/>
        </w:rPr>
        <w:t xml:space="preserve"> with the exception that it is done at the NOIE total </w:t>
      </w:r>
      <w:r>
        <w:rPr>
          <w:rFonts w:eastAsiaTheme="minorHAnsi" w:cs="Arial"/>
          <w:color w:val="auto"/>
        </w:rPr>
        <w:t>L</w:t>
      </w:r>
      <w:r w:rsidRPr="0087608C">
        <w:rPr>
          <w:rFonts w:eastAsiaTheme="minorHAnsi" w:cs="Arial"/>
          <w:color w:val="auto"/>
        </w:rPr>
        <w:t xml:space="preserve">oad level.  For NOIE </w:t>
      </w:r>
      <w:r>
        <w:rPr>
          <w:rFonts w:eastAsiaTheme="minorHAnsi" w:cs="Arial"/>
          <w:color w:val="auto"/>
        </w:rPr>
        <w:t>L</w:t>
      </w:r>
      <w:r w:rsidRPr="0087608C">
        <w:rPr>
          <w:rFonts w:eastAsiaTheme="minorHAnsi" w:cs="Arial"/>
          <w:color w:val="auto"/>
        </w:rPr>
        <w:t>oad analysis, high price days and deployment days (including those for 4CP and other programs) are excluded from the baseline development</w:t>
      </w:r>
      <w:r>
        <w:rPr>
          <w:rFonts w:eastAsiaTheme="minorHAnsi" w:cs="Arial"/>
          <w:color w:val="auto"/>
        </w:rPr>
        <w:t>.</w:t>
      </w:r>
    </w:p>
    <w:p w14:paraId="6B215B19" w14:textId="77777777" w:rsidR="000B14CC" w:rsidRPr="0087608C" w:rsidRDefault="000B14CC" w:rsidP="000B14CC">
      <w:pPr>
        <w:spacing w:line="276" w:lineRule="auto"/>
        <w:jc w:val="both"/>
        <w:rPr>
          <w:rFonts w:eastAsiaTheme="minorHAnsi" w:cs="Arial"/>
          <w:color w:val="auto"/>
        </w:rPr>
      </w:pPr>
      <w:r w:rsidRPr="0087608C">
        <w:rPr>
          <w:rFonts w:eastAsiaTheme="minorHAnsi" w:cs="Arial"/>
          <w:color w:val="auto"/>
        </w:rPr>
        <w:t xml:space="preserve"> </w:t>
      </w:r>
    </w:p>
    <w:p w14:paraId="79B0C118" w14:textId="77777777" w:rsidR="000B14CC" w:rsidRDefault="000B14CC" w:rsidP="000B14CC">
      <w:pPr>
        <w:rPr>
          <w:rFonts w:eastAsiaTheme="minorHAnsi" w:cs="Arial"/>
          <w:b/>
          <w:color w:val="auto"/>
        </w:rPr>
      </w:pPr>
      <w:r>
        <w:rPr>
          <w:rFonts w:eastAsiaTheme="minorHAnsi" w:cs="Arial"/>
          <w:b/>
          <w:color w:val="auto"/>
        </w:rPr>
        <w:br w:type="page"/>
      </w:r>
    </w:p>
    <w:p w14:paraId="0CECAF08" w14:textId="77777777" w:rsidR="000B14CC" w:rsidRPr="0087608C" w:rsidRDefault="000B14CC" w:rsidP="000B14CC">
      <w:pPr>
        <w:spacing w:line="276" w:lineRule="auto"/>
        <w:ind w:left="720"/>
        <w:jc w:val="both"/>
        <w:rPr>
          <w:rFonts w:eastAsiaTheme="minorHAnsi" w:cs="Arial"/>
          <w:color w:val="auto"/>
        </w:rPr>
      </w:pPr>
      <w:r w:rsidRPr="007E5B5B">
        <w:rPr>
          <w:rFonts w:eastAsiaTheme="minorHAnsi" w:cs="Arial"/>
          <w:i/>
          <w:color w:val="auto"/>
        </w:rPr>
        <w:lastRenderedPageBreak/>
        <w:t>REP and NOIE Participation Results</w:t>
      </w:r>
    </w:p>
    <w:p w14:paraId="6F037C60" w14:textId="77777777" w:rsidR="000B14CC" w:rsidRPr="0087608C" w:rsidRDefault="000B14CC" w:rsidP="000B14CC">
      <w:pPr>
        <w:jc w:val="both"/>
        <w:rPr>
          <w:rFonts w:eastAsiaTheme="minorHAnsi" w:cs="Arial"/>
          <w:color w:val="auto"/>
        </w:rPr>
      </w:pPr>
    </w:p>
    <w:p w14:paraId="73C77119" w14:textId="0A9988A7" w:rsidR="000B14CC" w:rsidRDefault="000B14CC" w:rsidP="000B14CC">
      <w:pPr>
        <w:jc w:val="both"/>
        <w:rPr>
          <w:rFonts w:eastAsiaTheme="minorHAnsi" w:cs="Arial"/>
          <w:color w:val="auto"/>
        </w:rPr>
      </w:pPr>
      <w:r w:rsidRPr="0087608C">
        <w:rPr>
          <w:rFonts w:eastAsiaTheme="minorHAnsi" w:cs="Arial"/>
          <w:color w:val="auto"/>
        </w:rPr>
        <w:t>Using the REP and NOIE survey data, ERCOT has compiled the number of ESIIDs/</w:t>
      </w:r>
      <w:r>
        <w:rPr>
          <w:rFonts w:eastAsiaTheme="minorHAnsi" w:cs="Arial"/>
          <w:color w:val="auto"/>
        </w:rPr>
        <w:t>a</w:t>
      </w:r>
      <w:r w:rsidRPr="0087608C">
        <w:rPr>
          <w:rFonts w:eastAsiaTheme="minorHAnsi" w:cs="Arial"/>
          <w:color w:val="auto"/>
        </w:rPr>
        <w:t>ccounts participating in the various Demand/Price Response categories</w:t>
      </w:r>
      <w:r>
        <w:rPr>
          <w:rFonts w:eastAsiaTheme="minorHAnsi" w:cs="Arial"/>
          <w:color w:val="auto"/>
        </w:rPr>
        <w:t>, as</w:t>
      </w:r>
      <w:r w:rsidRPr="0087608C">
        <w:rPr>
          <w:rFonts w:eastAsiaTheme="minorHAnsi" w:cs="Arial"/>
          <w:color w:val="auto"/>
        </w:rPr>
        <w:t xml:space="preserve"> shown in Table</w:t>
      </w:r>
      <w:r>
        <w:rPr>
          <w:rFonts w:eastAsiaTheme="minorHAnsi" w:cs="Arial"/>
          <w:color w:val="auto"/>
        </w:rPr>
        <w:t>s</w:t>
      </w:r>
      <w:r w:rsidRPr="0087608C">
        <w:rPr>
          <w:rFonts w:eastAsiaTheme="minorHAnsi" w:cs="Arial"/>
          <w:color w:val="auto"/>
        </w:rPr>
        <w:t xml:space="preserve"> </w:t>
      </w:r>
      <w:r w:rsidR="00742B60">
        <w:rPr>
          <w:rFonts w:eastAsiaTheme="minorHAnsi" w:cs="Arial"/>
          <w:color w:val="auto"/>
        </w:rPr>
        <w:t>14</w:t>
      </w:r>
      <w:r w:rsidRPr="0087608C">
        <w:rPr>
          <w:rFonts w:eastAsiaTheme="minorHAnsi" w:cs="Arial"/>
          <w:color w:val="auto"/>
        </w:rPr>
        <w:t xml:space="preserve"> </w:t>
      </w:r>
      <w:r>
        <w:rPr>
          <w:rFonts w:eastAsiaTheme="minorHAnsi" w:cs="Arial"/>
          <w:color w:val="auto"/>
        </w:rPr>
        <w:t xml:space="preserve">and </w:t>
      </w:r>
      <w:r w:rsidR="00742B60">
        <w:rPr>
          <w:rFonts w:eastAsiaTheme="minorHAnsi" w:cs="Arial"/>
          <w:color w:val="auto"/>
        </w:rPr>
        <w:t>15</w:t>
      </w:r>
      <w:r>
        <w:rPr>
          <w:rFonts w:eastAsiaTheme="minorHAnsi" w:cs="Arial"/>
          <w:color w:val="auto"/>
        </w:rPr>
        <w:t xml:space="preserve"> </w:t>
      </w:r>
      <w:r w:rsidRPr="0087608C">
        <w:rPr>
          <w:rFonts w:eastAsiaTheme="minorHAnsi" w:cs="Arial"/>
          <w:color w:val="auto"/>
        </w:rPr>
        <w:t>below.</w:t>
      </w:r>
    </w:p>
    <w:p w14:paraId="454AC098" w14:textId="77777777" w:rsidR="000B14CC" w:rsidRDefault="000B14CC" w:rsidP="000B14CC">
      <w:pPr>
        <w:jc w:val="both"/>
        <w:rPr>
          <w:rFonts w:eastAsiaTheme="minorHAnsi" w:cs="Arial"/>
          <w:color w:val="auto"/>
        </w:rPr>
      </w:pPr>
    </w:p>
    <w:p w14:paraId="582CCB49" w14:textId="6997BFEC" w:rsidR="000B14CC" w:rsidRDefault="000B14CC" w:rsidP="002C7EB1">
      <w:pPr>
        <w:pStyle w:val="Caption"/>
        <w:keepNext/>
        <w:spacing w:after="0"/>
        <w:rPr>
          <w:rFonts w:eastAsiaTheme="minorHAnsi"/>
        </w:rPr>
      </w:pPr>
      <w:r>
        <w:rPr>
          <w:rFonts w:asciiTheme="majorHAnsi" w:hAnsiTheme="majorHAnsi" w:cstheme="majorHAnsi"/>
        </w:rPr>
        <w:t xml:space="preserve">Table </w:t>
      </w:r>
      <w:r w:rsidR="00742B60">
        <w:rPr>
          <w:rFonts w:asciiTheme="majorHAnsi" w:hAnsiTheme="majorHAnsi" w:cstheme="majorHAnsi"/>
        </w:rPr>
        <w:t>14</w:t>
      </w:r>
      <w:r w:rsidR="00FE2FCE">
        <w:rPr>
          <w:rFonts w:asciiTheme="majorHAnsi" w:hAnsiTheme="majorHAnsi" w:cstheme="majorHAnsi"/>
        </w:rPr>
        <w:t>:</w:t>
      </w:r>
      <w:r>
        <w:rPr>
          <w:rFonts w:asciiTheme="majorHAnsi" w:hAnsiTheme="majorHAnsi" w:cstheme="majorHAnsi"/>
        </w:rPr>
        <w:t xml:space="preserve"> </w:t>
      </w:r>
      <w:r w:rsidRPr="009D0A92">
        <w:rPr>
          <w:rFonts w:asciiTheme="majorHAnsi" w:hAnsiTheme="majorHAnsi" w:cstheme="majorHAnsi"/>
        </w:rPr>
        <w:t xml:space="preserve">REP Reported Price-Responsive Demand Response </w:t>
      </w:r>
      <w:r>
        <w:rPr>
          <w:rFonts w:asciiTheme="majorHAnsi" w:hAnsiTheme="majorHAnsi" w:cstheme="majorHAnsi"/>
        </w:rPr>
        <w:t>(DR) and 4CP Load Reduction</w:t>
      </w:r>
      <w:r w:rsidRPr="009F6D72">
        <w:rPr>
          <w:rFonts w:asciiTheme="majorHAnsi" w:hAnsiTheme="majorHAnsi" w:cstheme="majorHAnsi"/>
        </w:rPr>
        <w:t xml:space="preserve"> </w:t>
      </w:r>
      <w:r w:rsidRPr="009D0A92">
        <w:rPr>
          <w:rFonts w:asciiTheme="majorHAnsi" w:hAnsiTheme="majorHAnsi" w:cstheme="majorHAnsi"/>
        </w:rPr>
        <w:t xml:space="preserve">Participation </w:t>
      </w:r>
      <w:r w:rsidR="00FE2FCE">
        <w:rPr>
          <w:rFonts w:asciiTheme="majorHAnsi" w:hAnsiTheme="majorHAnsi" w:cstheme="majorHAnsi"/>
        </w:rPr>
        <w:t>(</w:t>
      </w:r>
      <w:r w:rsidRPr="009D0A92">
        <w:rPr>
          <w:rFonts w:asciiTheme="majorHAnsi" w:hAnsiTheme="majorHAnsi" w:cstheme="majorHAnsi"/>
        </w:rPr>
        <w:t>based on 20</w:t>
      </w:r>
      <w:r>
        <w:rPr>
          <w:rFonts w:asciiTheme="majorHAnsi" w:hAnsiTheme="majorHAnsi" w:cstheme="majorHAnsi"/>
        </w:rPr>
        <w:t xml:space="preserve">14 - </w:t>
      </w:r>
      <w:r w:rsidRPr="009D0A92">
        <w:rPr>
          <w:rFonts w:asciiTheme="majorHAnsi" w:hAnsiTheme="majorHAnsi" w:cstheme="majorHAnsi"/>
        </w:rPr>
        <w:t>20</w:t>
      </w:r>
      <w:r>
        <w:rPr>
          <w:rFonts w:asciiTheme="majorHAnsi" w:hAnsiTheme="majorHAnsi" w:cstheme="majorHAnsi"/>
        </w:rPr>
        <w:t>23</w:t>
      </w:r>
      <w:r w:rsidRPr="009D0A92">
        <w:rPr>
          <w:rFonts w:asciiTheme="majorHAnsi" w:hAnsiTheme="majorHAnsi" w:cstheme="majorHAnsi"/>
        </w:rPr>
        <w:t xml:space="preserve"> data</w:t>
      </w:r>
      <w:r w:rsidR="00FE2FCE">
        <w:rPr>
          <w:rFonts w:asciiTheme="majorHAnsi" w:hAnsiTheme="majorHAnsi" w:cstheme="majorHAnsi"/>
        </w:rPr>
        <w:t>)</w:t>
      </w:r>
    </w:p>
    <w:p w14:paraId="48F15AB6" w14:textId="4FAB09BD" w:rsidR="00D96D0B" w:rsidRDefault="000B14CC" w:rsidP="000B14CC">
      <w:pPr>
        <w:rPr>
          <w:rFonts w:eastAsiaTheme="minorHAnsi" w:cs="Arial"/>
          <w:color w:val="auto"/>
        </w:rPr>
      </w:pPr>
      <w:r w:rsidRPr="00951F8F">
        <w:rPr>
          <w:rFonts w:eastAsiaTheme="minorHAnsi" w:cs="Arial"/>
          <w:noProof/>
          <w:color w:val="auto"/>
        </w:rPr>
        <w:drawing>
          <wp:inline distT="0" distB="0" distL="0" distR="0" wp14:anchorId="439089EE" wp14:editId="1B083872">
            <wp:extent cx="5943600" cy="2668905"/>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68905"/>
                    </a:xfrm>
                    <a:prstGeom prst="rect">
                      <a:avLst/>
                    </a:prstGeom>
                    <a:noFill/>
                    <a:ln w="15875">
                      <a:solidFill>
                        <a:schemeClr val="tx1"/>
                      </a:solidFill>
                    </a:ln>
                  </pic:spPr>
                </pic:pic>
              </a:graphicData>
            </a:graphic>
          </wp:inline>
        </w:drawing>
      </w:r>
    </w:p>
    <w:p w14:paraId="7E939698" w14:textId="77777777" w:rsidR="00D96D0B" w:rsidRDefault="00D96D0B" w:rsidP="00D96D0B">
      <w:pPr>
        <w:pStyle w:val="Caption"/>
        <w:keepNext/>
        <w:spacing w:after="0"/>
        <w:rPr>
          <w:rFonts w:asciiTheme="majorHAnsi" w:hAnsiTheme="majorHAnsi" w:cstheme="majorHAnsi"/>
        </w:rPr>
      </w:pPr>
    </w:p>
    <w:p w14:paraId="4BCA762F" w14:textId="4AE7807A" w:rsidR="000B14CC" w:rsidRDefault="000B14CC" w:rsidP="00D96D0B">
      <w:pPr>
        <w:pStyle w:val="Caption"/>
        <w:keepNext/>
        <w:spacing w:after="0"/>
        <w:rPr>
          <w:rFonts w:eastAsiaTheme="minorHAnsi"/>
        </w:rPr>
      </w:pPr>
      <w:r w:rsidRPr="00D96D0B">
        <w:rPr>
          <w:rFonts w:asciiTheme="majorHAnsi" w:hAnsiTheme="majorHAnsi" w:cstheme="majorHAnsi"/>
        </w:rPr>
        <w:t xml:space="preserve">Table </w:t>
      </w:r>
      <w:r w:rsidR="00742B60">
        <w:rPr>
          <w:rFonts w:asciiTheme="majorHAnsi" w:hAnsiTheme="majorHAnsi" w:cstheme="majorHAnsi"/>
        </w:rPr>
        <w:t>15</w:t>
      </w:r>
      <w:r w:rsidR="00FE2FCE">
        <w:rPr>
          <w:rFonts w:asciiTheme="majorHAnsi" w:hAnsiTheme="majorHAnsi" w:cstheme="majorHAnsi"/>
        </w:rPr>
        <w:t>:</w:t>
      </w:r>
      <w:r w:rsidRPr="00D96D0B">
        <w:rPr>
          <w:rFonts w:asciiTheme="majorHAnsi" w:hAnsiTheme="majorHAnsi" w:cstheme="majorHAnsi"/>
        </w:rPr>
        <w:t xml:space="preserve"> NOIE Reported Price-Responsive Demand Response (DR) and 4CP Load Reduction Participation </w:t>
      </w:r>
      <w:r w:rsidR="00FE2FCE">
        <w:rPr>
          <w:rFonts w:asciiTheme="majorHAnsi" w:hAnsiTheme="majorHAnsi" w:cstheme="majorHAnsi"/>
        </w:rPr>
        <w:t>(</w:t>
      </w:r>
      <w:r w:rsidRPr="00D96D0B">
        <w:rPr>
          <w:rFonts w:asciiTheme="majorHAnsi" w:hAnsiTheme="majorHAnsi" w:cstheme="majorHAnsi"/>
        </w:rPr>
        <w:t>based on 2014 - 2023 data</w:t>
      </w:r>
      <w:r w:rsidR="00FE2FCE">
        <w:rPr>
          <w:rFonts w:asciiTheme="majorHAnsi" w:hAnsiTheme="majorHAnsi" w:cstheme="majorHAnsi"/>
        </w:rPr>
        <w:t>)</w:t>
      </w:r>
    </w:p>
    <w:p w14:paraId="3124D68C" w14:textId="77777777" w:rsidR="000B14CC" w:rsidRDefault="000B14CC" w:rsidP="000B14CC">
      <w:pPr>
        <w:jc w:val="both"/>
        <w:rPr>
          <w:rFonts w:eastAsiaTheme="minorHAnsi" w:cs="Arial"/>
          <w:color w:val="auto"/>
        </w:rPr>
      </w:pPr>
      <w:r w:rsidRPr="00951F8F">
        <w:rPr>
          <w:rFonts w:eastAsiaTheme="minorHAnsi" w:cs="Arial"/>
          <w:noProof/>
          <w:color w:val="auto"/>
        </w:rPr>
        <w:drawing>
          <wp:inline distT="0" distB="0" distL="0" distR="0" wp14:anchorId="256A1DBF" wp14:editId="7303E1EE">
            <wp:extent cx="5943600" cy="2439035"/>
            <wp:effectExtent l="19050" t="19050" r="1905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439035"/>
                    </a:xfrm>
                    <a:prstGeom prst="rect">
                      <a:avLst/>
                    </a:prstGeom>
                    <a:noFill/>
                    <a:ln w="15875">
                      <a:solidFill>
                        <a:schemeClr val="tx1"/>
                      </a:solidFill>
                    </a:ln>
                  </pic:spPr>
                </pic:pic>
              </a:graphicData>
            </a:graphic>
          </wp:inline>
        </w:drawing>
      </w:r>
    </w:p>
    <w:p w14:paraId="6D477ACB" w14:textId="77777777" w:rsidR="000B14CC" w:rsidRDefault="000B14CC" w:rsidP="000B14CC">
      <w:pPr>
        <w:jc w:val="both"/>
        <w:rPr>
          <w:rFonts w:eastAsiaTheme="minorHAnsi" w:cs="Arial"/>
          <w:color w:val="auto"/>
        </w:rPr>
      </w:pPr>
    </w:p>
    <w:p w14:paraId="6A3EB7F4" w14:textId="77777777" w:rsidR="000B14CC" w:rsidRDefault="000B14CC" w:rsidP="000B14CC">
      <w:pPr>
        <w:jc w:val="both"/>
        <w:rPr>
          <w:rFonts w:eastAsiaTheme="minorHAnsi" w:cs="Arial"/>
          <w:color w:val="auto"/>
        </w:rPr>
      </w:pPr>
    </w:p>
    <w:p w14:paraId="0323EF60" w14:textId="22A2899C" w:rsidR="000B14CC" w:rsidRPr="0087608C" w:rsidRDefault="00886BEF" w:rsidP="000B14CC">
      <w:pPr>
        <w:jc w:val="both"/>
        <w:rPr>
          <w:rFonts w:eastAsiaTheme="minorHAnsi" w:cs="Arial"/>
          <w:color w:val="auto"/>
        </w:rPr>
      </w:pPr>
      <w:r w:rsidRPr="00C233FE">
        <w:rPr>
          <w:rFonts w:eastAsiaTheme="minorHAnsi" w:cs="Arial"/>
          <w:noProof/>
          <w:color w:val="auto"/>
        </w:rPr>
        <w:lastRenderedPageBreak/>
        <w:drawing>
          <wp:inline distT="0" distB="0" distL="0" distR="0" wp14:anchorId="079F7072" wp14:editId="2C7B64A6">
            <wp:extent cx="5943600" cy="1308735"/>
            <wp:effectExtent l="19050" t="19050" r="19050" b="2476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308735"/>
                    </a:xfrm>
                    <a:prstGeom prst="rect">
                      <a:avLst/>
                    </a:prstGeom>
                    <a:noFill/>
                    <a:ln w="19050">
                      <a:solidFill>
                        <a:schemeClr val="tx1"/>
                      </a:solidFill>
                    </a:ln>
                  </pic:spPr>
                </pic:pic>
              </a:graphicData>
            </a:graphic>
          </wp:inline>
        </w:drawing>
      </w:r>
    </w:p>
    <w:p w14:paraId="14A2E04A" w14:textId="77777777" w:rsidR="000B14CC" w:rsidRPr="0087608C" w:rsidRDefault="000B14CC" w:rsidP="000B14CC">
      <w:pPr>
        <w:jc w:val="both"/>
        <w:rPr>
          <w:rFonts w:eastAsiaTheme="minorHAnsi" w:cs="Arial"/>
          <w:color w:val="auto"/>
        </w:rPr>
      </w:pPr>
    </w:p>
    <w:p w14:paraId="47832305" w14:textId="77777777" w:rsidR="000B14CC" w:rsidRPr="0087608C" w:rsidRDefault="000B14CC" w:rsidP="000B14CC">
      <w:pPr>
        <w:jc w:val="both"/>
        <w:rPr>
          <w:rFonts w:eastAsiaTheme="minorHAnsi" w:cs="Arial"/>
          <w:color w:val="auto"/>
        </w:rPr>
      </w:pPr>
      <w:r>
        <w:rPr>
          <w:rFonts w:eastAsiaTheme="minorHAnsi" w:cs="Arial"/>
          <w:color w:val="auto"/>
        </w:rPr>
        <w:t>Issues to note</w:t>
      </w:r>
      <w:r w:rsidRPr="0087608C">
        <w:rPr>
          <w:rFonts w:eastAsiaTheme="minorHAnsi" w:cs="Arial"/>
          <w:color w:val="auto"/>
        </w:rPr>
        <w:t xml:space="preserve"> when considering the participation numbers:</w:t>
      </w:r>
    </w:p>
    <w:p w14:paraId="0CE340C6" w14:textId="77777777" w:rsidR="000B14CC" w:rsidRPr="0087608C" w:rsidRDefault="000B14CC" w:rsidP="000B14CC">
      <w:pPr>
        <w:jc w:val="both"/>
        <w:rPr>
          <w:rFonts w:eastAsiaTheme="minorHAnsi" w:cs="Arial"/>
          <w:color w:val="auto"/>
        </w:rPr>
      </w:pPr>
    </w:p>
    <w:p w14:paraId="0538AA20" w14:textId="77777777" w:rsidR="000B14CC" w:rsidRPr="0087608C" w:rsidRDefault="000B14CC" w:rsidP="000B14CC">
      <w:pPr>
        <w:pStyle w:val="ListParagraph"/>
        <w:numPr>
          <w:ilvl w:val="0"/>
          <w:numId w:val="25"/>
        </w:numPr>
        <w:jc w:val="both"/>
        <w:rPr>
          <w:rFonts w:ascii="Arial" w:hAnsi="Arial" w:cs="Arial"/>
          <w:sz w:val="24"/>
          <w:szCs w:val="24"/>
        </w:rPr>
      </w:pPr>
      <w:r>
        <w:rPr>
          <w:rFonts w:ascii="Arial" w:hAnsi="Arial" w:cs="Arial"/>
          <w:sz w:val="24"/>
          <w:szCs w:val="24"/>
        </w:rPr>
        <w:t>P</w:t>
      </w:r>
      <w:r w:rsidRPr="0087608C">
        <w:rPr>
          <w:rFonts w:ascii="Arial" w:hAnsi="Arial" w:cs="Arial"/>
          <w:sz w:val="24"/>
          <w:szCs w:val="24"/>
        </w:rPr>
        <w:t xml:space="preserve">ricing category definitions and identifications were changed </w:t>
      </w:r>
      <w:r>
        <w:rPr>
          <w:rFonts w:ascii="Arial" w:hAnsi="Arial" w:cs="Arial"/>
          <w:sz w:val="24"/>
          <w:szCs w:val="24"/>
        </w:rPr>
        <w:t xml:space="preserve">starting with the </w:t>
      </w:r>
      <w:r w:rsidRPr="0087608C">
        <w:rPr>
          <w:rFonts w:ascii="Arial" w:hAnsi="Arial" w:cs="Arial"/>
          <w:sz w:val="24"/>
          <w:szCs w:val="24"/>
        </w:rPr>
        <w:t>2020 survey.</w:t>
      </w:r>
    </w:p>
    <w:p w14:paraId="69E337F5" w14:textId="2E38B51E" w:rsidR="000B14CC" w:rsidRPr="0087608C" w:rsidRDefault="000B14CC" w:rsidP="000B14CC">
      <w:pPr>
        <w:pStyle w:val="ListParagraph"/>
        <w:numPr>
          <w:ilvl w:val="1"/>
          <w:numId w:val="25"/>
        </w:numPr>
        <w:jc w:val="both"/>
        <w:rPr>
          <w:rFonts w:ascii="Arial" w:hAnsi="Arial" w:cs="Arial"/>
          <w:sz w:val="24"/>
          <w:szCs w:val="24"/>
        </w:rPr>
      </w:pPr>
      <w:r w:rsidRPr="0087608C">
        <w:rPr>
          <w:rFonts w:ascii="Arial" w:hAnsi="Arial" w:cs="Arial"/>
          <w:sz w:val="24"/>
          <w:szCs w:val="24"/>
        </w:rPr>
        <w:t xml:space="preserve">The </w:t>
      </w:r>
      <w:r w:rsidR="00AB7231">
        <w:rPr>
          <w:rFonts w:ascii="Arial" w:hAnsi="Arial" w:cs="Arial"/>
          <w:sz w:val="24"/>
          <w:szCs w:val="24"/>
        </w:rPr>
        <w:t>B&amp;I</w:t>
      </w:r>
      <w:r w:rsidRPr="0087608C">
        <w:rPr>
          <w:rFonts w:ascii="Arial" w:hAnsi="Arial" w:cs="Arial"/>
          <w:sz w:val="24"/>
          <w:szCs w:val="24"/>
        </w:rPr>
        <w:t xml:space="preserve"> category</w:t>
      </w:r>
      <w:r>
        <w:rPr>
          <w:rFonts w:ascii="Arial" w:hAnsi="Arial" w:cs="Arial"/>
          <w:sz w:val="24"/>
          <w:szCs w:val="24"/>
        </w:rPr>
        <w:t>, which was not surveyed after 2019,</w:t>
      </w:r>
      <w:r w:rsidRPr="0087608C">
        <w:rPr>
          <w:rFonts w:ascii="Arial" w:hAnsi="Arial" w:cs="Arial"/>
          <w:sz w:val="24"/>
          <w:szCs w:val="24"/>
        </w:rPr>
        <w:t xml:space="preserve"> was applicable only to Non-Residential ESIIDs/Accounts</w:t>
      </w:r>
    </w:p>
    <w:p w14:paraId="4CE6A3E5" w14:textId="522EB1B3" w:rsidR="000B14CC" w:rsidRPr="0087608C" w:rsidRDefault="000B14CC" w:rsidP="000B14CC">
      <w:pPr>
        <w:pStyle w:val="ListParagraph"/>
        <w:numPr>
          <w:ilvl w:val="1"/>
          <w:numId w:val="25"/>
        </w:numPr>
        <w:jc w:val="both"/>
        <w:rPr>
          <w:rFonts w:ascii="Arial" w:hAnsi="Arial" w:cs="Arial"/>
          <w:sz w:val="24"/>
          <w:szCs w:val="24"/>
        </w:rPr>
      </w:pPr>
      <w:r w:rsidRPr="0087608C">
        <w:rPr>
          <w:rFonts w:ascii="Arial" w:hAnsi="Arial" w:cs="Arial"/>
          <w:sz w:val="24"/>
          <w:szCs w:val="24"/>
        </w:rPr>
        <w:t xml:space="preserve">The </w:t>
      </w:r>
      <w:r w:rsidR="00AB7231">
        <w:rPr>
          <w:rFonts w:ascii="Arial" w:hAnsi="Arial" w:cs="Arial"/>
          <w:sz w:val="24"/>
          <w:szCs w:val="24"/>
        </w:rPr>
        <w:t>RTP</w:t>
      </w:r>
      <w:r w:rsidRPr="0087608C">
        <w:rPr>
          <w:rFonts w:ascii="Arial" w:hAnsi="Arial" w:cs="Arial"/>
          <w:sz w:val="24"/>
          <w:szCs w:val="24"/>
        </w:rPr>
        <w:t xml:space="preserve"> category</w:t>
      </w:r>
      <w:r>
        <w:rPr>
          <w:rFonts w:ascii="Arial" w:hAnsi="Arial" w:cs="Arial"/>
          <w:sz w:val="24"/>
          <w:szCs w:val="24"/>
        </w:rPr>
        <w:t>,</w:t>
      </w:r>
      <w:r w:rsidRPr="007E5B5B">
        <w:rPr>
          <w:rFonts w:ascii="Arial" w:hAnsi="Arial" w:cs="Arial"/>
          <w:sz w:val="24"/>
          <w:szCs w:val="24"/>
        </w:rPr>
        <w:t xml:space="preserve"> </w:t>
      </w:r>
      <w:r>
        <w:rPr>
          <w:rFonts w:ascii="Arial" w:hAnsi="Arial" w:cs="Arial"/>
          <w:sz w:val="24"/>
          <w:szCs w:val="24"/>
        </w:rPr>
        <w:t>which was not surveyed after 2019,</w:t>
      </w:r>
      <w:r w:rsidRPr="0087608C">
        <w:rPr>
          <w:rFonts w:ascii="Arial" w:hAnsi="Arial" w:cs="Arial"/>
          <w:sz w:val="24"/>
          <w:szCs w:val="24"/>
        </w:rPr>
        <w:t xml:space="preserve"> </w:t>
      </w:r>
      <w:r>
        <w:rPr>
          <w:rFonts w:ascii="Arial" w:hAnsi="Arial" w:cs="Arial"/>
          <w:sz w:val="24"/>
          <w:szCs w:val="24"/>
        </w:rPr>
        <w:t>applied</w:t>
      </w:r>
      <w:r w:rsidRPr="0087608C">
        <w:rPr>
          <w:rFonts w:ascii="Arial" w:hAnsi="Arial" w:cs="Arial"/>
          <w:sz w:val="24"/>
          <w:szCs w:val="24"/>
        </w:rPr>
        <w:t xml:space="preserve"> to all ESIIDs/</w:t>
      </w:r>
      <w:r>
        <w:rPr>
          <w:rFonts w:ascii="Arial" w:hAnsi="Arial" w:cs="Arial"/>
          <w:sz w:val="24"/>
          <w:szCs w:val="24"/>
        </w:rPr>
        <w:t>a</w:t>
      </w:r>
      <w:r w:rsidRPr="0087608C">
        <w:rPr>
          <w:rFonts w:ascii="Arial" w:hAnsi="Arial" w:cs="Arial"/>
          <w:sz w:val="24"/>
          <w:szCs w:val="24"/>
        </w:rPr>
        <w:t>ccounts, but was limited to indexing based on Real-Time prices.</w:t>
      </w:r>
    </w:p>
    <w:p w14:paraId="472A65A0" w14:textId="6CCE504A" w:rsidR="000B14CC" w:rsidRPr="0087608C" w:rsidRDefault="000B14CC" w:rsidP="000B14CC">
      <w:pPr>
        <w:pStyle w:val="ListParagraph"/>
        <w:numPr>
          <w:ilvl w:val="1"/>
          <w:numId w:val="25"/>
        </w:numPr>
        <w:jc w:val="both"/>
        <w:rPr>
          <w:rFonts w:ascii="Arial" w:hAnsi="Arial" w:cs="Arial"/>
          <w:sz w:val="24"/>
          <w:szCs w:val="24"/>
        </w:rPr>
      </w:pPr>
      <w:r>
        <w:rPr>
          <w:rFonts w:ascii="Arial" w:hAnsi="Arial" w:cs="Arial"/>
          <w:sz w:val="24"/>
          <w:szCs w:val="24"/>
        </w:rPr>
        <w:t>Two</w:t>
      </w:r>
      <w:r w:rsidRPr="0087608C">
        <w:rPr>
          <w:rFonts w:ascii="Arial" w:hAnsi="Arial" w:cs="Arial"/>
          <w:sz w:val="24"/>
          <w:szCs w:val="24"/>
        </w:rPr>
        <w:t xml:space="preserve"> new categories, </w:t>
      </w:r>
      <w:r w:rsidR="00AB7231">
        <w:rPr>
          <w:rFonts w:ascii="Arial" w:hAnsi="Arial" w:cs="Arial"/>
          <w:sz w:val="24"/>
          <w:szCs w:val="24"/>
        </w:rPr>
        <w:t>IRT</w:t>
      </w:r>
      <w:r w:rsidRPr="0087608C">
        <w:rPr>
          <w:rFonts w:ascii="Arial" w:hAnsi="Arial" w:cs="Arial"/>
          <w:sz w:val="24"/>
          <w:szCs w:val="24"/>
        </w:rPr>
        <w:t xml:space="preserve"> and </w:t>
      </w:r>
      <w:r w:rsidR="00AB7231">
        <w:rPr>
          <w:rFonts w:ascii="Arial" w:hAnsi="Arial" w:cs="Arial"/>
          <w:sz w:val="24"/>
          <w:szCs w:val="24"/>
        </w:rPr>
        <w:t>IDA</w:t>
      </w:r>
      <w:r>
        <w:rPr>
          <w:rFonts w:ascii="Arial" w:hAnsi="Arial" w:cs="Arial"/>
          <w:sz w:val="24"/>
          <w:szCs w:val="24"/>
        </w:rPr>
        <w:t>, were surveyed starting in 2020 and</w:t>
      </w:r>
      <w:r w:rsidRPr="0087608C">
        <w:rPr>
          <w:rFonts w:ascii="Arial" w:hAnsi="Arial" w:cs="Arial"/>
          <w:sz w:val="24"/>
          <w:szCs w:val="24"/>
        </w:rPr>
        <w:t xml:space="preserve"> apply to all ESIIDs/Accounts and capture both types of indexing.</w:t>
      </w:r>
    </w:p>
    <w:p w14:paraId="4089985F" w14:textId="41EB1554" w:rsidR="000B14CC" w:rsidRPr="008742FD" w:rsidRDefault="000B14CC" w:rsidP="00AB7231">
      <w:pPr>
        <w:pStyle w:val="ListParagraph"/>
        <w:numPr>
          <w:ilvl w:val="1"/>
          <w:numId w:val="25"/>
        </w:numPr>
        <w:jc w:val="both"/>
        <w:rPr>
          <w:rFonts w:ascii="Arial" w:hAnsi="Arial" w:cs="Arial"/>
          <w:sz w:val="24"/>
          <w:szCs w:val="24"/>
        </w:rPr>
      </w:pPr>
      <w:r w:rsidRPr="008742FD">
        <w:rPr>
          <w:rFonts w:ascii="Arial" w:hAnsi="Arial" w:cs="Arial"/>
          <w:sz w:val="24"/>
          <w:szCs w:val="24"/>
        </w:rPr>
        <w:t xml:space="preserve">The survey also included an Indexed Other category to accommodate any other type of indexing; based on the REP’s description of their Indexed Other program, for analysis purposes, the ESIIDs reported as participating on this program were treated as participating in an </w:t>
      </w:r>
      <w:r w:rsidR="00AB7231">
        <w:rPr>
          <w:rFonts w:ascii="Arial" w:hAnsi="Arial" w:cs="Arial"/>
          <w:sz w:val="24"/>
          <w:szCs w:val="24"/>
        </w:rPr>
        <w:t>IRT</w:t>
      </w:r>
      <w:r w:rsidRPr="008742FD">
        <w:rPr>
          <w:rFonts w:ascii="Arial" w:hAnsi="Arial" w:cs="Arial"/>
          <w:sz w:val="24"/>
          <w:szCs w:val="24"/>
        </w:rPr>
        <w:t xml:space="preserve"> program.</w:t>
      </w:r>
    </w:p>
    <w:p w14:paraId="79A747E7" w14:textId="729E0776" w:rsidR="000B14CC" w:rsidRPr="0087608C" w:rsidRDefault="000B14CC" w:rsidP="000B14CC">
      <w:pPr>
        <w:pStyle w:val="ListParagraph"/>
        <w:numPr>
          <w:ilvl w:val="0"/>
          <w:numId w:val="25"/>
        </w:numPr>
        <w:jc w:val="both"/>
        <w:rPr>
          <w:rFonts w:ascii="Arial" w:hAnsi="Arial" w:cs="Arial"/>
          <w:sz w:val="24"/>
          <w:szCs w:val="24"/>
        </w:rPr>
      </w:pPr>
      <w:r w:rsidRPr="0087608C">
        <w:rPr>
          <w:rFonts w:ascii="Arial" w:hAnsi="Arial" w:cs="Arial"/>
          <w:sz w:val="24"/>
          <w:szCs w:val="24"/>
        </w:rPr>
        <w:t xml:space="preserve">The </w:t>
      </w:r>
      <w:r w:rsidR="00AB7231">
        <w:rPr>
          <w:rFonts w:ascii="Arial" w:hAnsi="Arial" w:cs="Arial"/>
          <w:sz w:val="24"/>
          <w:szCs w:val="24"/>
        </w:rPr>
        <w:t>OTH</w:t>
      </w:r>
      <w:r w:rsidRPr="0087608C">
        <w:rPr>
          <w:rFonts w:ascii="Arial" w:hAnsi="Arial" w:cs="Arial"/>
          <w:sz w:val="24"/>
          <w:szCs w:val="24"/>
        </w:rPr>
        <w:t xml:space="preserve"> category is included in the survey to capture participation in a program type that doesn’t fit in any of the pre-defined </w:t>
      </w:r>
      <w:r>
        <w:rPr>
          <w:rFonts w:ascii="Arial" w:hAnsi="Arial" w:cs="Arial"/>
          <w:sz w:val="24"/>
          <w:szCs w:val="24"/>
        </w:rPr>
        <w:t xml:space="preserve">survey </w:t>
      </w:r>
      <w:r w:rsidRPr="0087608C">
        <w:rPr>
          <w:rFonts w:ascii="Arial" w:hAnsi="Arial" w:cs="Arial"/>
          <w:sz w:val="24"/>
          <w:szCs w:val="24"/>
        </w:rPr>
        <w:t>categories.</w:t>
      </w:r>
    </w:p>
    <w:p w14:paraId="217E6F7E" w14:textId="77777777" w:rsidR="000B14CC" w:rsidRDefault="000B14CC" w:rsidP="000B14CC">
      <w:pPr>
        <w:pStyle w:val="ListParagraph"/>
        <w:numPr>
          <w:ilvl w:val="1"/>
          <w:numId w:val="25"/>
        </w:numPr>
        <w:jc w:val="both"/>
        <w:rPr>
          <w:rFonts w:ascii="Arial" w:hAnsi="Arial" w:cs="Arial"/>
          <w:sz w:val="24"/>
          <w:szCs w:val="24"/>
        </w:rPr>
      </w:pPr>
      <w:r>
        <w:rPr>
          <w:rFonts w:ascii="Arial" w:hAnsi="Arial" w:cs="Arial"/>
          <w:sz w:val="24"/>
          <w:szCs w:val="24"/>
        </w:rPr>
        <w:t xml:space="preserve">Some </w:t>
      </w:r>
      <w:r w:rsidRPr="0087608C">
        <w:rPr>
          <w:rFonts w:ascii="Arial" w:hAnsi="Arial" w:cs="Arial"/>
          <w:sz w:val="24"/>
          <w:szCs w:val="24"/>
        </w:rPr>
        <w:t xml:space="preserve">participation </w:t>
      </w:r>
      <w:r>
        <w:rPr>
          <w:rFonts w:ascii="Arial" w:hAnsi="Arial" w:cs="Arial"/>
          <w:sz w:val="24"/>
          <w:szCs w:val="24"/>
        </w:rPr>
        <w:t>w</w:t>
      </w:r>
      <w:r w:rsidRPr="0087608C">
        <w:rPr>
          <w:rFonts w:ascii="Arial" w:hAnsi="Arial" w:cs="Arial"/>
          <w:sz w:val="24"/>
          <w:szCs w:val="24"/>
        </w:rPr>
        <w:t xml:space="preserve">as reported </w:t>
      </w:r>
      <w:r>
        <w:rPr>
          <w:rFonts w:ascii="Arial" w:hAnsi="Arial" w:cs="Arial"/>
          <w:sz w:val="24"/>
          <w:szCs w:val="24"/>
        </w:rPr>
        <w:t xml:space="preserve">by </w:t>
      </w:r>
      <w:r w:rsidRPr="0087608C">
        <w:rPr>
          <w:rFonts w:ascii="Arial" w:hAnsi="Arial" w:cs="Arial"/>
          <w:sz w:val="24"/>
          <w:szCs w:val="24"/>
        </w:rPr>
        <w:t>REP</w:t>
      </w:r>
      <w:r>
        <w:rPr>
          <w:rFonts w:ascii="Arial" w:hAnsi="Arial" w:cs="Arial"/>
          <w:sz w:val="24"/>
          <w:szCs w:val="24"/>
        </w:rPr>
        <w:t>s in this category for 2023.</w:t>
      </w:r>
    </w:p>
    <w:p w14:paraId="0A87F0F2" w14:textId="6456C2E7" w:rsidR="000B14CC" w:rsidRDefault="000B14CC" w:rsidP="000B14CC">
      <w:pPr>
        <w:pStyle w:val="ListParagraph"/>
        <w:numPr>
          <w:ilvl w:val="1"/>
          <w:numId w:val="25"/>
        </w:numPr>
        <w:jc w:val="both"/>
        <w:rPr>
          <w:rFonts w:ascii="Arial" w:hAnsi="Arial" w:cs="Arial"/>
          <w:sz w:val="24"/>
          <w:szCs w:val="24"/>
        </w:rPr>
      </w:pPr>
      <w:r>
        <w:rPr>
          <w:rFonts w:ascii="Arial" w:hAnsi="Arial" w:cs="Arial"/>
          <w:sz w:val="24"/>
          <w:szCs w:val="24"/>
        </w:rPr>
        <w:t xml:space="preserve">Based on discussions with </w:t>
      </w:r>
      <w:r w:rsidRPr="0087608C">
        <w:rPr>
          <w:rFonts w:ascii="Arial" w:hAnsi="Arial" w:cs="Arial"/>
          <w:sz w:val="24"/>
          <w:szCs w:val="24"/>
        </w:rPr>
        <w:t xml:space="preserve">the </w:t>
      </w:r>
      <w:r>
        <w:rPr>
          <w:rFonts w:ascii="Arial" w:hAnsi="Arial" w:cs="Arial"/>
          <w:sz w:val="24"/>
          <w:szCs w:val="24"/>
        </w:rPr>
        <w:t>involved</w:t>
      </w:r>
      <w:r w:rsidRPr="0087608C">
        <w:rPr>
          <w:rFonts w:ascii="Arial" w:hAnsi="Arial" w:cs="Arial"/>
          <w:sz w:val="24"/>
          <w:szCs w:val="24"/>
        </w:rPr>
        <w:t xml:space="preserve"> REP</w:t>
      </w:r>
      <w:r>
        <w:rPr>
          <w:rFonts w:ascii="Arial" w:hAnsi="Arial" w:cs="Arial"/>
          <w:sz w:val="24"/>
          <w:szCs w:val="24"/>
        </w:rPr>
        <w:t xml:space="preserve">s, some of the ESIIDs were treated as participating </w:t>
      </w:r>
      <w:r w:rsidR="00AB7231">
        <w:rPr>
          <w:rFonts w:ascii="Arial" w:hAnsi="Arial" w:cs="Arial"/>
          <w:sz w:val="24"/>
          <w:szCs w:val="24"/>
        </w:rPr>
        <w:t>in</w:t>
      </w:r>
      <w:r>
        <w:rPr>
          <w:rFonts w:ascii="Arial" w:hAnsi="Arial" w:cs="Arial"/>
          <w:sz w:val="24"/>
          <w:szCs w:val="24"/>
        </w:rPr>
        <w:t xml:space="preserve"> an Indexed pricing program, and others were treated as participating on a </w:t>
      </w:r>
      <w:r w:rsidR="00AB7231">
        <w:rPr>
          <w:rFonts w:ascii="Arial" w:hAnsi="Arial" w:cs="Arial"/>
          <w:sz w:val="24"/>
          <w:szCs w:val="24"/>
        </w:rPr>
        <w:t>PR</w:t>
      </w:r>
      <w:r>
        <w:rPr>
          <w:rFonts w:ascii="Arial" w:hAnsi="Arial" w:cs="Arial"/>
          <w:sz w:val="24"/>
          <w:szCs w:val="24"/>
        </w:rPr>
        <w:t xml:space="preserve"> program.</w:t>
      </w:r>
    </w:p>
    <w:p w14:paraId="1C3321EC" w14:textId="1ED9DE11" w:rsidR="000B14CC" w:rsidRDefault="000B14CC" w:rsidP="000B14CC">
      <w:pPr>
        <w:pStyle w:val="ListParagraph"/>
        <w:numPr>
          <w:ilvl w:val="1"/>
          <w:numId w:val="25"/>
        </w:numPr>
        <w:jc w:val="both"/>
        <w:rPr>
          <w:rFonts w:ascii="Arial" w:hAnsi="Arial" w:cs="Arial"/>
          <w:sz w:val="24"/>
          <w:szCs w:val="24"/>
        </w:rPr>
      </w:pPr>
      <w:r w:rsidRPr="0087608C">
        <w:rPr>
          <w:rFonts w:ascii="Arial" w:hAnsi="Arial" w:cs="Arial"/>
          <w:sz w:val="24"/>
          <w:szCs w:val="24"/>
        </w:rPr>
        <w:t xml:space="preserve">A significant portion of the NOIE participation </w:t>
      </w:r>
      <w:r>
        <w:rPr>
          <w:rFonts w:ascii="Arial" w:hAnsi="Arial" w:cs="Arial"/>
          <w:sz w:val="24"/>
          <w:szCs w:val="24"/>
        </w:rPr>
        <w:t xml:space="preserve">in </w:t>
      </w:r>
      <w:r w:rsidRPr="0087608C">
        <w:rPr>
          <w:rFonts w:ascii="Arial" w:hAnsi="Arial" w:cs="Arial"/>
          <w:sz w:val="24"/>
          <w:szCs w:val="24"/>
        </w:rPr>
        <w:t xml:space="preserve">2019 reflected NOIE adoption of </w:t>
      </w:r>
      <w:r w:rsidR="000D6DAD">
        <w:rPr>
          <w:rFonts w:ascii="Arial" w:hAnsi="Arial" w:cs="Arial"/>
          <w:sz w:val="24"/>
          <w:szCs w:val="24"/>
        </w:rPr>
        <w:t>CVR</w:t>
      </w:r>
      <w:r w:rsidRPr="0087608C">
        <w:rPr>
          <w:rFonts w:ascii="Arial" w:hAnsi="Arial" w:cs="Arial"/>
          <w:sz w:val="24"/>
          <w:szCs w:val="24"/>
        </w:rPr>
        <w:t xml:space="preserve"> programs. This contributed to the </w:t>
      </w:r>
      <w:r>
        <w:rPr>
          <w:rFonts w:ascii="Arial" w:hAnsi="Arial" w:cs="Arial"/>
          <w:sz w:val="24"/>
          <w:szCs w:val="24"/>
        </w:rPr>
        <w:t xml:space="preserve">addition </w:t>
      </w:r>
      <w:r w:rsidRPr="0087608C">
        <w:rPr>
          <w:rFonts w:ascii="Arial" w:hAnsi="Arial" w:cs="Arial"/>
          <w:sz w:val="24"/>
          <w:szCs w:val="24"/>
        </w:rPr>
        <w:t xml:space="preserve">of CVR as a separate </w:t>
      </w:r>
      <w:r>
        <w:rPr>
          <w:rFonts w:ascii="Arial" w:hAnsi="Arial" w:cs="Arial"/>
          <w:sz w:val="24"/>
          <w:szCs w:val="24"/>
        </w:rPr>
        <w:t xml:space="preserve">survey </w:t>
      </w:r>
      <w:r w:rsidRPr="0087608C">
        <w:rPr>
          <w:rFonts w:ascii="Arial" w:hAnsi="Arial" w:cs="Arial"/>
          <w:sz w:val="24"/>
          <w:szCs w:val="24"/>
        </w:rPr>
        <w:t>category specific to NOIEs</w:t>
      </w:r>
      <w:r>
        <w:rPr>
          <w:rFonts w:ascii="Arial" w:hAnsi="Arial" w:cs="Arial"/>
          <w:sz w:val="24"/>
          <w:szCs w:val="24"/>
        </w:rPr>
        <w:t xml:space="preserve"> starting with the 2020 survey process</w:t>
      </w:r>
      <w:r w:rsidRPr="0087608C">
        <w:rPr>
          <w:rFonts w:ascii="Arial" w:hAnsi="Arial" w:cs="Arial"/>
          <w:sz w:val="24"/>
          <w:szCs w:val="24"/>
        </w:rPr>
        <w:t>.</w:t>
      </w:r>
    </w:p>
    <w:p w14:paraId="239B1C60" w14:textId="0A5AA81B" w:rsidR="000B14CC" w:rsidRPr="00D96D0B" w:rsidRDefault="000B14CC" w:rsidP="00D96D0B">
      <w:pPr>
        <w:pStyle w:val="ListParagraph"/>
        <w:numPr>
          <w:ilvl w:val="1"/>
          <w:numId w:val="25"/>
        </w:numPr>
        <w:jc w:val="both"/>
        <w:rPr>
          <w:rFonts w:cs="Arial"/>
        </w:rPr>
      </w:pPr>
      <w:r>
        <w:rPr>
          <w:rFonts w:ascii="Arial" w:hAnsi="Arial" w:cs="Arial"/>
          <w:sz w:val="24"/>
          <w:szCs w:val="24"/>
        </w:rPr>
        <w:t>For the 2020 - 2023 surveys, a significant fraction of the NOIE participation in the Other Category was found to be in Behavioral Demand Response type programs.</w:t>
      </w:r>
    </w:p>
    <w:p w14:paraId="109C41C1" w14:textId="6A35245A" w:rsidR="000B14CC" w:rsidRPr="0087608C" w:rsidRDefault="000B14CC" w:rsidP="000B14CC">
      <w:pPr>
        <w:pStyle w:val="ListParagraph"/>
        <w:numPr>
          <w:ilvl w:val="0"/>
          <w:numId w:val="25"/>
        </w:numPr>
        <w:jc w:val="both"/>
        <w:rPr>
          <w:rFonts w:ascii="Arial" w:hAnsi="Arial" w:cs="Arial"/>
          <w:sz w:val="24"/>
          <w:szCs w:val="24"/>
        </w:rPr>
      </w:pPr>
      <w:r w:rsidRPr="0087608C">
        <w:rPr>
          <w:rFonts w:ascii="Arial" w:hAnsi="Arial" w:cs="Arial"/>
          <w:sz w:val="24"/>
          <w:szCs w:val="24"/>
        </w:rPr>
        <w:t xml:space="preserve">The 4CP Incentive program category is specific to the NOIE survey and was included for the first time in 2019. This category provides for a way to distinguish the less direct 4CP incentive program from the </w:t>
      </w:r>
      <w:r>
        <w:rPr>
          <w:rFonts w:ascii="Arial" w:hAnsi="Arial" w:cs="Arial"/>
          <w:sz w:val="24"/>
          <w:szCs w:val="24"/>
        </w:rPr>
        <w:t xml:space="preserve">4CP </w:t>
      </w:r>
      <w:r w:rsidRPr="0087608C">
        <w:rPr>
          <w:rFonts w:ascii="Arial" w:hAnsi="Arial" w:cs="Arial"/>
          <w:sz w:val="24"/>
          <w:szCs w:val="24"/>
        </w:rPr>
        <w:t>Advise/Control program.</w:t>
      </w:r>
      <w:r>
        <w:rPr>
          <w:rFonts w:ascii="Arial" w:hAnsi="Arial" w:cs="Arial"/>
          <w:sz w:val="24"/>
          <w:szCs w:val="24"/>
        </w:rPr>
        <w:t xml:space="preserve"> It should be noted that TDSPs in the competitive areas of ERCOT have modified their Tariffs such that all ESIIDs with peak demands over 700 k</w:t>
      </w:r>
      <w:r w:rsidR="007311B4">
        <w:rPr>
          <w:rFonts w:ascii="Arial" w:hAnsi="Arial" w:cs="Arial"/>
          <w:sz w:val="24"/>
          <w:szCs w:val="24"/>
        </w:rPr>
        <w:t>W</w:t>
      </w:r>
      <w:r>
        <w:rPr>
          <w:rFonts w:ascii="Arial" w:hAnsi="Arial" w:cs="Arial"/>
          <w:sz w:val="24"/>
          <w:szCs w:val="24"/>
        </w:rPr>
        <w:t xml:space="preserve"> have an incentive to avoid 4CP charges. Several REPs are offering 4CP advisory services, and the ESIIDs participating are reported to ERCOT as part of the Annual Demand Response Survey. </w:t>
      </w:r>
    </w:p>
    <w:p w14:paraId="55934967" w14:textId="77777777" w:rsidR="000B14CC" w:rsidRPr="0087608C" w:rsidRDefault="000B14CC" w:rsidP="000B14CC">
      <w:pPr>
        <w:pStyle w:val="ListParagraph"/>
        <w:jc w:val="both"/>
        <w:rPr>
          <w:rFonts w:ascii="Arial" w:hAnsi="Arial" w:cs="Arial"/>
          <w:sz w:val="24"/>
          <w:szCs w:val="24"/>
        </w:rPr>
      </w:pPr>
    </w:p>
    <w:p w14:paraId="0E73C86A" w14:textId="77777777" w:rsidR="000B14CC" w:rsidRPr="005D24E6" w:rsidRDefault="000B14CC" w:rsidP="000B14CC">
      <w:pPr>
        <w:spacing w:line="276" w:lineRule="auto"/>
        <w:ind w:left="720"/>
        <w:jc w:val="both"/>
        <w:rPr>
          <w:rFonts w:eastAsiaTheme="minorHAnsi" w:cs="Arial"/>
          <w:i/>
          <w:color w:val="auto"/>
        </w:rPr>
      </w:pPr>
      <w:r w:rsidRPr="005D24E6">
        <w:rPr>
          <w:rFonts w:eastAsiaTheme="minorHAnsi" w:cs="Arial"/>
          <w:i/>
          <w:color w:val="auto"/>
        </w:rPr>
        <w:t>Demand/Price Load Reduction Results</w:t>
      </w:r>
    </w:p>
    <w:p w14:paraId="0ADC55BD" w14:textId="77777777" w:rsidR="000B14CC" w:rsidRPr="0087608C" w:rsidRDefault="000B14CC" w:rsidP="000B14CC">
      <w:pPr>
        <w:rPr>
          <w:rFonts w:eastAsiaTheme="minorHAnsi" w:cs="Arial"/>
          <w:color w:val="auto"/>
        </w:rPr>
      </w:pPr>
    </w:p>
    <w:p w14:paraId="41D1F539" w14:textId="2AF29B9B" w:rsidR="000B14CC" w:rsidRDefault="000B14CC" w:rsidP="000B14CC">
      <w:pPr>
        <w:spacing w:line="276" w:lineRule="auto"/>
        <w:jc w:val="both"/>
        <w:rPr>
          <w:rFonts w:eastAsiaTheme="minorHAnsi" w:cs="Arial"/>
          <w:color w:val="auto"/>
        </w:rPr>
      </w:pPr>
      <w:r w:rsidRPr="001D4361">
        <w:rPr>
          <w:rFonts w:eastAsiaTheme="minorHAnsi" w:cs="Arial"/>
          <w:color w:val="auto"/>
        </w:rPr>
        <w:t xml:space="preserve">The two tables below show findings associated with the </w:t>
      </w:r>
      <w:r w:rsidRPr="001A21B0">
        <w:rPr>
          <w:rFonts w:eastAsiaTheme="minorHAnsi" w:cs="Arial"/>
          <w:color w:val="auto"/>
        </w:rPr>
        <w:t>2</w:t>
      </w:r>
      <w:r>
        <w:rPr>
          <w:rFonts w:eastAsiaTheme="minorHAnsi" w:cs="Arial"/>
          <w:color w:val="auto"/>
        </w:rPr>
        <w:t>6</w:t>
      </w:r>
      <w:r w:rsidRPr="001D4361">
        <w:rPr>
          <w:rFonts w:eastAsiaTheme="minorHAnsi" w:cs="Arial"/>
          <w:color w:val="auto"/>
        </w:rPr>
        <w:t xml:space="preserve"> summer days in </w:t>
      </w:r>
      <w:r w:rsidRPr="001A21B0">
        <w:rPr>
          <w:rFonts w:eastAsiaTheme="minorHAnsi" w:cs="Arial"/>
          <w:color w:val="auto"/>
        </w:rPr>
        <w:t>202</w:t>
      </w:r>
      <w:r>
        <w:rPr>
          <w:rFonts w:eastAsiaTheme="minorHAnsi" w:cs="Arial"/>
          <w:color w:val="auto"/>
        </w:rPr>
        <w:t>3</w:t>
      </w:r>
      <w:r w:rsidRPr="001A21B0">
        <w:rPr>
          <w:rFonts w:eastAsiaTheme="minorHAnsi" w:cs="Arial"/>
          <w:color w:val="auto"/>
        </w:rPr>
        <w:t xml:space="preserve"> for which the Load reduction amounts at the system-level exceeded </w:t>
      </w:r>
      <w:r>
        <w:rPr>
          <w:rFonts w:eastAsiaTheme="minorHAnsi" w:cs="Arial"/>
          <w:color w:val="auto"/>
        </w:rPr>
        <w:t>3</w:t>
      </w:r>
      <w:r w:rsidRPr="001D4361">
        <w:rPr>
          <w:rFonts w:eastAsiaTheme="minorHAnsi" w:cs="Arial"/>
          <w:color w:val="auto"/>
        </w:rPr>
        <w:t>,</w:t>
      </w:r>
      <w:r w:rsidRPr="001A21B0">
        <w:rPr>
          <w:rFonts w:eastAsiaTheme="minorHAnsi" w:cs="Arial"/>
          <w:color w:val="auto"/>
        </w:rPr>
        <w:t>50</w:t>
      </w:r>
      <w:r w:rsidRPr="001D4361">
        <w:rPr>
          <w:rFonts w:eastAsiaTheme="minorHAnsi" w:cs="Arial"/>
          <w:color w:val="auto"/>
        </w:rPr>
        <w:t>0 MW</w:t>
      </w:r>
      <w:r w:rsidR="000E1C2E">
        <w:rPr>
          <w:rFonts w:eastAsiaTheme="minorHAnsi" w:cs="Arial"/>
          <w:color w:val="auto"/>
        </w:rPr>
        <w:t>, after accounting for any overlap across categories</w:t>
      </w:r>
      <w:r w:rsidRPr="001D4361">
        <w:rPr>
          <w:rFonts w:eastAsiaTheme="minorHAnsi" w:cs="Arial"/>
          <w:color w:val="auto"/>
        </w:rPr>
        <w:t xml:space="preserve">.  Table 8 shows the amount of Load reduction </w:t>
      </w:r>
      <w:r>
        <w:rPr>
          <w:rFonts w:eastAsiaTheme="minorHAnsi" w:cs="Arial"/>
          <w:color w:val="auto"/>
        </w:rPr>
        <w:t xml:space="preserve">in MW </w:t>
      </w:r>
      <w:r w:rsidRPr="001D4361">
        <w:rPr>
          <w:rFonts w:eastAsiaTheme="minorHAnsi" w:cs="Arial"/>
          <w:color w:val="auto"/>
        </w:rPr>
        <w:t xml:space="preserve">on the various days, and Table 9 shows the number of ESIIDs/NOIEs identified as responding on those days. All </w:t>
      </w:r>
      <w:r w:rsidRPr="001A21B0">
        <w:rPr>
          <w:rFonts w:eastAsiaTheme="minorHAnsi" w:cs="Arial"/>
          <w:color w:val="auto"/>
        </w:rPr>
        <w:t>2</w:t>
      </w:r>
      <w:r>
        <w:rPr>
          <w:rFonts w:eastAsiaTheme="minorHAnsi" w:cs="Arial"/>
          <w:color w:val="auto"/>
        </w:rPr>
        <w:t>6</w:t>
      </w:r>
      <w:r w:rsidRPr="001D4361">
        <w:rPr>
          <w:rFonts w:eastAsiaTheme="minorHAnsi" w:cs="Arial"/>
          <w:color w:val="auto"/>
        </w:rPr>
        <w:t xml:space="preserve"> days had 4CP-related Load reductions, and </w:t>
      </w:r>
      <w:r>
        <w:rPr>
          <w:rFonts w:eastAsiaTheme="minorHAnsi" w:cs="Arial"/>
          <w:color w:val="auto"/>
        </w:rPr>
        <w:t>18</w:t>
      </w:r>
      <w:r w:rsidRPr="001D4361">
        <w:rPr>
          <w:rFonts w:eastAsiaTheme="minorHAnsi" w:cs="Arial"/>
          <w:color w:val="auto"/>
        </w:rPr>
        <w:t xml:space="preserve"> of th</w:t>
      </w:r>
      <w:r>
        <w:rPr>
          <w:rFonts w:eastAsiaTheme="minorHAnsi" w:cs="Arial"/>
          <w:color w:val="auto"/>
        </w:rPr>
        <w:t>os</w:t>
      </w:r>
      <w:r w:rsidRPr="001D4361">
        <w:rPr>
          <w:rFonts w:eastAsiaTheme="minorHAnsi" w:cs="Arial"/>
          <w:color w:val="auto"/>
        </w:rPr>
        <w:t>e days were also high price days.</w:t>
      </w:r>
    </w:p>
    <w:p w14:paraId="2EB96313" w14:textId="77777777" w:rsidR="000B14CC" w:rsidRDefault="000B14CC" w:rsidP="000B14CC">
      <w:pPr>
        <w:spacing w:line="276" w:lineRule="auto"/>
        <w:jc w:val="both"/>
        <w:rPr>
          <w:rFonts w:eastAsiaTheme="minorHAnsi" w:cs="Arial"/>
          <w:color w:val="auto"/>
        </w:rPr>
      </w:pPr>
    </w:p>
    <w:p w14:paraId="191AA1CD" w14:textId="1B502F09" w:rsidR="000B14CC" w:rsidRDefault="000B14CC" w:rsidP="000B14CC">
      <w:pPr>
        <w:spacing w:line="276" w:lineRule="auto"/>
        <w:jc w:val="both"/>
        <w:rPr>
          <w:rFonts w:eastAsiaTheme="minorHAnsi" w:cs="Arial"/>
          <w:color w:val="auto"/>
        </w:rPr>
      </w:pPr>
      <w:r w:rsidRPr="001A21B0">
        <w:rPr>
          <w:rFonts w:eastAsiaTheme="minorHAnsi" w:cs="Arial"/>
          <w:color w:val="auto"/>
        </w:rPr>
        <w:t xml:space="preserve">Load reductions for an additional set of </w:t>
      </w:r>
      <w:r>
        <w:rPr>
          <w:rFonts w:eastAsiaTheme="minorHAnsi" w:cs="Arial"/>
          <w:color w:val="auto"/>
        </w:rPr>
        <w:t>18</w:t>
      </w:r>
      <w:r w:rsidRPr="001D4361">
        <w:rPr>
          <w:rFonts w:eastAsiaTheme="minorHAnsi" w:cs="Arial"/>
          <w:color w:val="auto"/>
        </w:rPr>
        <w:t xml:space="preserve"> 4CP</w:t>
      </w:r>
      <w:r w:rsidRPr="001A21B0">
        <w:rPr>
          <w:rFonts w:eastAsiaTheme="minorHAnsi" w:cs="Arial"/>
          <w:color w:val="auto"/>
        </w:rPr>
        <w:t>/Near CP days</w:t>
      </w:r>
      <w:r w:rsidRPr="001D4361">
        <w:rPr>
          <w:rFonts w:eastAsiaTheme="minorHAnsi" w:cs="Arial"/>
          <w:color w:val="auto"/>
        </w:rPr>
        <w:t xml:space="preserve"> and high-price days </w:t>
      </w:r>
      <w:r>
        <w:rPr>
          <w:rFonts w:eastAsiaTheme="minorHAnsi" w:cs="Arial"/>
          <w:color w:val="auto"/>
        </w:rPr>
        <w:t>were identified and a</w:t>
      </w:r>
      <w:r w:rsidRPr="001D4361">
        <w:rPr>
          <w:rFonts w:eastAsiaTheme="minorHAnsi" w:cs="Arial"/>
          <w:color w:val="auto"/>
        </w:rPr>
        <w:t xml:space="preserve">nalyzed, but </w:t>
      </w:r>
      <w:r w:rsidR="000E1C2E">
        <w:rPr>
          <w:rFonts w:eastAsiaTheme="minorHAnsi" w:cs="Arial"/>
          <w:color w:val="auto"/>
        </w:rPr>
        <w:t xml:space="preserve">did not meet the 3,500 MW threshold and, </w:t>
      </w:r>
      <w:r w:rsidRPr="001D4361">
        <w:rPr>
          <w:rFonts w:eastAsiaTheme="minorHAnsi" w:cs="Arial"/>
          <w:color w:val="auto"/>
        </w:rPr>
        <w:t>for brevity</w:t>
      </w:r>
      <w:r w:rsidR="00986964">
        <w:rPr>
          <w:rFonts w:eastAsiaTheme="minorHAnsi" w:cs="Arial"/>
          <w:color w:val="auto"/>
        </w:rPr>
        <w:t>,</w:t>
      </w:r>
      <w:r w:rsidRPr="001D4361">
        <w:rPr>
          <w:rFonts w:eastAsiaTheme="minorHAnsi" w:cs="Arial"/>
          <w:color w:val="auto"/>
        </w:rPr>
        <w:t xml:space="preserve"> were omitted from this report.</w:t>
      </w:r>
      <w:r>
        <w:rPr>
          <w:rFonts w:eastAsiaTheme="minorHAnsi" w:cs="Arial"/>
          <w:color w:val="auto"/>
        </w:rPr>
        <w:t xml:space="preserve"> </w:t>
      </w:r>
    </w:p>
    <w:p w14:paraId="2DBDFD68" w14:textId="77777777" w:rsidR="000B14CC" w:rsidRPr="0087608C" w:rsidRDefault="000B14CC" w:rsidP="000B14CC">
      <w:pPr>
        <w:spacing w:line="276" w:lineRule="auto"/>
        <w:jc w:val="both"/>
        <w:rPr>
          <w:rFonts w:eastAsiaTheme="minorHAnsi" w:cs="Arial"/>
          <w:color w:val="auto"/>
        </w:rPr>
      </w:pPr>
    </w:p>
    <w:p w14:paraId="6CAF40A4" w14:textId="77777777" w:rsidR="000B14CC" w:rsidRDefault="000B14CC" w:rsidP="000B14CC">
      <w:pPr>
        <w:spacing w:line="276" w:lineRule="auto"/>
        <w:jc w:val="both"/>
        <w:rPr>
          <w:rFonts w:eastAsiaTheme="minorHAnsi" w:cs="Arial"/>
          <w:color w:val="auto"/>
        </w:rPr>
      </w:pPr>
      <w:r w:rsidRPr="0087608C">
        <w:rPr>
          <w:rFonts w:eastAsiaTheme="minorHAnsi" w:cs="Arial"/>
          <w:color w:val="auto"/>
        </w:rPr>
        <w:t xml:space="preserve">NOIE </w:t>
      </w:r>
      <w:r>
        <w:rPr>
          <w:rFonts w:eastAsiaTheme="minorHAnsi" w:cs="Arial"/>
          <w:color w:val="auto"/>
        </w:rPr>
        <w:t>L</w:t>
      </w:r>
      <w:r w:rsidRPr="0087608C">
        <w:rPr>
          <w:rFonts w:eastAsiaTheme="minorHAnsi" w:cs="Arial"/>
          <w:color w:val="auto"/>
        </w:rPr>
        <w:t>oad reduction estimates were only developed for high price days or days identified as 4CP/Near-CP days</w:t>
      </w:r>
      <w:r>
        <w:rPr>
          <w:rFonts w:eastAsiaTheme="minorHAnsi" w:cs="Arial"/>
          <w:color w:val="auto"/>
        </w:rPr>
        <w:t>; however, several NOIEs did deploy their Load reduction programs on other days.</w:t>
      </w:r>
    </w:p>
    <w:p w14:paraId="1A4FC6D2" w14:textId="77777777" w:rsidR="000B14CC" w:rsidRDefault="000B14CC" w:rsidP="000B14CC">
      <w:pPr>
        <w:spacing w:line="276" w:lineRule="auto"/>
        <w:jc w:val="both"/>
        <w:rPr>
          <w:rFonts w:eastAsiaTheme="minorHAnsi" w:cs="Arial"/>
          <w:color w:val="auto"/>
        </w:rPr>
      </w:pPr>
    </w:p>
    <w:p w14:paraId="018B27DB" w14:textId="585FD4A1" w:rsidR="000B14CC" w:rsidRDefault="000B14CC" w:rsidP="000B14CC">
      <w:pPr>
        <w:spacing w:line="276" w:lineRule="auto"/>
        <w:jc w:val="both"/>
        <w:rPr>
          <w:rFonts w:eastAsiaTheme="minorHAnsi" w:cs="Arial"/>
          <w:color w:val="auto"/>
        </w:rPr>
      </w:pPr>
      <w:r w:rsidRPr="00712521">
        <w:rPr>
          <w:rFonts w:eastAsiaTheme="minorHAnsi" w:cs="Arial"/>
          <w:color w:val="auto"/>
        </w:rPr>
        <w:t xml:space="preserve">For </w:t>
      </w:r>
      <w:r w:rsidR="00986964">
        <w:rPr>
          <w:rFonts w:eastAsiaTheme="minorHAnsi" w:cs="Arial"/>
          <w:color w:val="auto"/>
        </w:rPr>
        <w:t>this</w:t>
      </w:r>
      <w:r w:rsidRPr="00712521">
        <w:rPr>
          <w:rFonts w:eastAsiaTheme="minorHAnsi" w:cs="Arial"/>
          <w:color w:val="auto"/>
        </w:rPr>
        <w:t xml:space="preserve"> report, Load reduction estimates were developed </w:t>
      </w:r>
      <w:r>
        <w:rPr>
          <w:rFonts w:eastAsiaTheme="minorHAnsi" w:cs="Arial"/>
          <w:color w:val="auto"/>
        </w:rPr>
        <w:t xml:space="preserve">at the premise level </w:t>
      </w:r>
      <w:r w:rsidRPr="00712521">
        <w:rPr>
          <w:rFonts w:eastAsiaTheme="minorHAnsi" w:cs="Arial"/>
          <w:color w:val="auto"/>
        </w:rPr>
        <w:t xml:space="preserve">for </w:t>
      </w:r>
      <w:r>
        <w:rPr>
          <w:rFonts w:eastAsiaTheme="minorHAnsi" w:cs="Arial"/>
          <w:color w:val="auto"/>
        </w:rPr>
        <w:t xml:space="preserve">ESIIDs with Non-controllable Load Resources </w:t>
      </w:r>
      <w:r w:rsidR="00986964">
        <w:rPr>
          <w:rFonts w:eastAsiaTheme="minorHAnsi" w:cs="Arial"/>
          <w:color w:val="auto"/>
        </w:rPr>
        <w:t>that</w:t>
      </w:r>
      <w:r>
        <w:rPr>
          <w:rFonts w:eastAsiaTheme="minorHAnsi" w:cs="Arial"/>
          <w:color w:val="auto"/>
        </w:rPr>
        <w:t xml:space="preserve"> were deployed for </w:t>
      </w:r>
      <w:r w:rsidR="00986964">
        <w:rPr>
          <w:rFonts w:eastAsiaTheme="minorHAnsi" w:cs="Arial"/>
          <w:color w:val="auto"/>
        </w:rPr>
        <w:t>RRS</w:t>
      </w:r>
      <w:r>
        <w:rPr>
          <w:rFonts w:eastAsiaTheme="minorHAnsi" w:cs="Arial"/>
          <w:color w:val="auto"/>
        </w:rPr>
        <w:t xml:space="preserve">, </w:t>
      </w:r>
      <w:r w:rsidR="00986964">
        <w:rPr>
          <w:rFonts w:eastAsiaTheme="minorHAnsi" w:cs="Arial"/>
          <w:color w:val="auto"/>
        </w:rPr>
        <w:t>ECRS,</w:t>
      </w:r>
      <w:r>
        <w:rPr>
          <w:rFonts w:eastAsiaTheme="minorHAnsi" w:cs="Arial"/>
          <w:color w:val="auto"/>
        </w:rPr>
        <w:t xml:space="preserve"> and Non-Spin. </w:t>
      </w:r>
      <w:r w:rsidR="000E1C2E">
        <w:rPr>
          <w:rFonts w:eastAsiaTheme="minorHAnsi" w:cs="Arial"/>
          <w:color w:val="auto"/>
        </w:rPr>
        <w:t>One or more of t</w:t>
      </w:r>
      <w:r>
        <w:rPr>
          <w:rFonts w:eastAsiaTheme="minorHAnsi" w:cs="Arial"/>
          <w:color w:val="auto"/>
        </w:rPr>
        <w:t xml:space="preserve">hese </w:t>
      </w:r>
      <w:r w:rsidR="000E1C2E">
        <w:rPr>
          <w:rFonts w:eastAsiaTheme="minorHAnsi" w:cs="Arial"/>
          <w:color w:val="auto"/>
        </w:rPr>
        <w:t xml:space="preserve">Ancillary </w:t>
      </w:r>
      <w:r w:rsidRPr="00712521">
        <w:rPr>
          <w:rFonts w:eastAsiaTheme="minorHAnsi" w:cs="Arial"/>
          <w:color w:val="auto"/>
        </w:rPr>
        <w:t>Service</w:t>
      </w:r>
      <w:r>
        <w:rPr>
          <w:rFonts w:eastAsiaTheme="minorHAnsi" w:cs="Arial"/>
          <w:color w:val="auto"/>
        </w:rPr>
        <w:t>s were d</w:t>
      </w:r>
      <w:r w:rsidRPr="00712521">
        <w:rPr>
          <w:rFonts w:eastAsiaTheme="minorHAnsi" w:cs="Arial"/>
          <w:color w:val="auto"/>
        </w:rPr>
        <w:t xml:space="preserve">eployed </w:t>
      </w:r>
      <w:r w:rsidR="000E1C2E">
        <w:rPr>
          <w:rFonts w:eastAsiaTheme="minorHAnsi" w:cs="Arial"/>
          <w:color w:val="auto"/>
        </w:rPr>
        <w:t>from Non-controllable Load Resources</w:t>
      </w:r>
      <w:r w:rsidR="000E1C2E" w:rsidRPr="00712521">
        <w:rPr>
          <w:rFonts w:eastAsiaTheme="minorHAnsi" w:cs="Arial"/>
          <w:color w:val="auto"/>
        </w:rPr>
        <w:t xml:space="preserve"> </w:t>
      </w:r>
      <w:r w:rsidR="000E1C2E">
        <w:rPr>
          <w:rFonts w:eastAsiaTheme="minorHAnsi" w:cs="Arial"/>
          <w:color w:val="auto"/>
        </w:rPr>
        <w:t>o</w:t>
      </w:r>
      <w:r w:rsidRPr="00712521">
        <w:rPr>
          <w:rFonts w:eastAsiaTheme="minorHAnsi" w:cs="Arial"/>
          <w:color w:val="auto"/>
        </w:rPr>
        <w:t xml:space="preserve">n </w:t>
      </w:r>
      <w:r>
        <w:rPr>
          <w:rFonts w:eastAsiaTheme="minorHAnsi" w:cs="Arial"/>
          <w:color w:val="auto"/>
        </w:rPr>
        <w:t>three days in the summer of 2023: June 20, July 13</w:t>
      </w:r>
      <w:r w:rsidR="00986964">
        <w:rPr>
          <w:rFonts w:eastAsiaTheme="minorHAnsi" w:cs="Arial"/>
          <w:color w:val="auto"/>
        </w:rPr>
        <w:t>,</w:t>
      </w:r>
      <w:r>
        <w:rPr>
          <w:rFonts w:eastAsiaTheme="minorHAnsi" w:cs="Arial"/>
          <w:color w:val="auto"/>
        </w:rPr>
        <w:t xml:space="preserve"> and September 6; the reported ESIID premise-level load reduction amounts can be attributed to meeting Ancillary Service responsibilities as well as curtailment of other non-Load Resource load associated with the ESIIDs. </w:t>
      </w:r>
    </w:p>
    <w:p w14:paraId="5284AD90" w14:textId="77777777" w:rsidR="000B14CC" w:rsidRDefault="000B14CC" w:rsidP="000B14CC">
      <w:pPr>
        <w:spacing w:line="276" w:lineRule="auto"/>
        <w:jc w:val="both"/>
        <w:rPr>
          <w:rFonts w:eastAsiaTheme="minorHAnsi" w:cs="Arial"/>
          <w:color w:val="auto"/>
        </w:rPr>
      </w:pPr>
    </w:p>
    <w:p w14:paraId="47033F36" w14:textId="1F5130BC" w:rsidR="000B14CC" w:rsidRPr="00712521" w:rsidRDefault="000B14CC" w:rsidP="000B14CC">
      <w:pPr>
        <w:spacing w:line="276" w:lineRule="auto"/>
        <w:jc w:val="both"/>
        <w:rPr>
          <w:rFonts w:eastAsiaTheme="minorHAnsi" w:cs="Arial"/>
          <w:color w:val="auto"/>
        </w:rPr>
      </w:pPr>
      <w:r w:rsidRPr="00712521">
        <w:rPr>
          <w:rFonts w:eastAsiaTheme="minorHAnsi" w:cs="Arial"/>
          <w:color w:val="auto"/>
        </w:rPr>
        <w:t xml:space="preserve">Load reduction estimates were </w:t>
      </w:r>
      <w:r w:rsidR="00986964">
        <w:rPr>
          <w:rFonts w:eastAsiaTheme="minorHAnsi" w:cs="Arial"/>
          <w:color w:val="auto"/>
        </w:rPr>
        <w:t xml:space="preserve">also </w:t>
      </w:r>
      <w:r w:rsidRPr="00712521">
        <w:rPr>
          <w:rFonts w:eastAsiaTheme="minorHAnsi" w:cs="Arial"/>
          <w:color w:val="auto"/>
        </w:rPr>
        <w:t xml:space="preserve">developed </w:t>
      </w:r>
      <w:r>
        <w:rPr>
          <w:rFonts w:eastAsiaTheme="minorHAnsi" w:cs="Arial"/>
          <w:color w:val="auto"/>
        </w:rPr>
        <w:t xml:space="preserve">at the premise level </w:t>
      </w:r>
      <w:r w:rsidRPr="00712521">
        <w:rPr>
          <w:rFonts w:eastAsiaTheme="minorHAnsi" w:cs="Arial"/>
          <w:color w:val="auto"/>
        </w:rPr>
        <w:t xml:space="preserve">for </w:t>
      </w:r>
      <w:r>
        <w:rPr>
          <w:rFonts w:eastAsiaTheme="minorHAnsi" w:cs="Arial"/>
          <w:color w:val="auto"/>
        </w:rPr>
        <w:t>ESIIDs deployed by</w:t>
      </w:r>
      <w:r w:rsidRPr="00712521">
        <w:rPr>
          <w:rFonts w:eastAsiaTheme="minorHAnsi" w:cs="Arial"/>
          <w:color w:val="auto"/>
        </w:rPr>
        <w:t xml:space="preserve"> ERCOT’s </w:t>
      </w:r>
      <w:r w:rsidR="00986964">
        <w:rPr>
          <w:rFonts w:eastAsiaTheme="minorHAnsi" w:cs="Arial"/>
          <w:color w:val="auto"/>
        </w:rPr>
        <w:t>ERS</w:t>
      </w:r>
      <w:r w:rsidRPr="00712521">
        <w:rPr>
          <w:rFonts w:eastAsiaTheme="minorHAnsi" w:cs="Arial"/>
          <w:color w:val="auto"/>
        </w:rPr>
        <w:t xml:space="preserve"> program</w:t>
      </w:r>
      <w:r>
        <w:rPr>
          <w:rFonts w:eastAsiaTheme="minorHAnsi" w:cs="Arial"/>
          <w:color w:val="auto"/>
        </w:rPr>
        <w:t>. ERS</w:t>
      </w:r>
      <w:r w:rsidRPr="00712521">
        <w:rPr>
          <w:rFonts w:eastAsiaTheme="minorHAnsi" w:cs="Arial"/>
          <w:color w:val="auto"/>
        </w:rPr>
        <w:t xml:space="preserve"> was deployed on </w:t>
      </w:r>
      <w:r>
        <w:rPr>
          <w:rFonts w:eastAsiaTheme="minorHAnsi" w:cs="Arial"/>
          <w:color w:val="auto"/>
        </w:rPr>
        <w:t>August</w:t>
      </w:r>
      <w:r w:rsidRPr="00712521">
        <w:rPr>
          <w:rFonts w:eastAsiaTheme="minorHAnsi" w:cs="Arial"/>
          <w:color w:val="auto"/>
        </w:rPr>
        <w:t xml:space="preserve"> 1</w:t>
      </w:r>
      <w:r>
        <w:rPr>
          <w:rFonts w:eastAsiaTheme="minorHAnsi" w:cs="Arial"/>
          <w:color w:val="auto"/>
        </w:rPr>
        <w:t>7 and September 6</w:t>
      </w:r>
      <w:r w:rsidRPr="00712521">
        <w:rPr>
          <w:rFonts w:eastAsiaTheme="minorHAnsi" w:cs="Arial"/>
          <w:color w:val="auto"/>
        </w:rPr>
        <w:t xml:space="preserve">. The </w:t>
      </w:r>
      <w:r>
        <w:rPr>
          <w:rFonts w:eastAsiaTheme="minorHAnsi" w:cs="Arial"/>
          <w:color w:val="auto"/>
        </w:rPr>
        <w:t xml:space="preserve">reported load </w:t>
      </w:r>
      <w:r w:rsidRPr="00712521">
        <w:rPr>
          <w:rFonts w:eastAsiaTheme="minorHAnsi" w:cs="Arial"/>
          <w:color w:val="auto"/>
        </w:rPr>
        <w:t>reduction</w:t>
      </w:r>
      <w:r>
        <w:rPr>
          <w:rFonts w:eastAsiaTheme="minorHAnsi" w:cs="Arial"/>
          <w:color w:val="auto"/>
        </w:rPr>
        <w:t>s</w:t>
      </w:r>
      <w:r w:rsidRPr="00712521">
        <w:rPr>
          <w:rFonts w:eastAsiaTheme="minorHAnsi" w:cs="Arial"/>
          <w:color w:val="auto"/>
        </w:rPr>
        <w:t xml:space="preserve"> w</w:t>
      </w:r>
      <w:r>
        <w:rPr>
          <w:rFonts w:eastAsiaTheme="minorHAnsi" w:cs="Arial"/>
          <w:color w:val="auto"/>
        </w:rPr>
        <w:t xml:space="preserve">ere </w:t>
      </w:r>
      <w:r w:rsidRPr="00712521">
        <w:rPr>
          <w:rFonts w:eastAsiaTheme="minorHAnsi" w:cs="Arial"/>
          <w:color w:val="auto"/>
        </w:rPr>
        <w:t xml:space="preserve">only </w:t>
      </w:r>
      <w:r>
        <w:rPr>
          <w:rFonts w:eastAsiaTheme="minorHAnsi" w:cs="Arial"/>
          <w:color w:val="auto"/>
        </w:rPr>
        <w:t>developed</w:t>
      </w:r>
      <w:r w:rsidRPr="004030FB">
        <w:rPr>
          <w:rFonts w:eastAsiaTheme="minorHAnsi" w:cs="Arial"/>
          <w:color w:val="auto"/>
        </w:rPr>
        <w:t xml:space="preserve"> </w:t>
      </w:r>
      <w:r w:rsidRPr="00712521">
        <w:rPr>
          <w:rFonts w:eastAsiaTheme="minorHAnsi" w:cs="Arial"/>
          <w:color w:val="auto"/>
        </w:rPr>
        <w:t xml:space="preserve">for </w:t>
      </w:r>
      <w:r>
        <w:rPr>
          <w:rFonts w:eastAsiaTheme="minorHAnsi" w:cs="Arial"/>
          <w:color w:val="auto"/>
        </w:rPr>
        <w:t xml:space="preserve">ESIIDs </w:t>
      </w:r>
      <w:r w:rsidRPr="00712521">
        <w:rPr>
          <w:rFonts w:eastAsiaTheme="minorHAnsi" w:cs="Arial"/>
          <w:color w:val="auto"/>
        </w:rPr>
        <w:t>participating in the competitive region of ERCOT</w:t>
      </w:r>
      <w:r>
        <w:rPr>
          <w:rFonts w:eastAsiaTheme="minorHAnsi" w:cs="Arial"/>
          <w:color w:val="auto"/>
        </w:rPr>
        <w:t>; the reported load reduction amounts can be attributed to meeting ERS obligations and potentially curtailment of other non-ERS load associated with the ESIIDs.</w:t>
      </w:r>
    </w:p>
    <w:p w14:paraId="3498294C" w14:textId="77777777" w:rsidR="000B14CC" w:rsidRPr="0087608C" w:rsidRDefault="000B14CC" w:rsidP="000B14CC">
      <w:pPr>
        <w:spacing w:line="276" w:lineRule="auto"/>
        <w:jc w:val="both"/>
        <w:rPr>
          <w:rFonts w:eastAsiaTheme="minorHAnsi" w:cs="Arial"/>
          <w:color w:val="auto"/>
        </w:rPr>
      </w:pPr>
    </w:p>
    <w:p w14:paraId="4C752B24" w14:textId="77777777" w:rsidR="000B14CC" w:rsidRPr="0087608C" w:rsidRDefault="000B14CC" w:rsidP="000B14CC">
      <w:pPr>
        <w:jc w:val="both"/>
        <w:rPr>
          <w:rFonts w:eastAsiaTheme="minorHAnsi" w:cs="Arial"/>
          <w:color w:val="auto"/>
        </w:rPr>
      </w:pPr>
      <w:r>
        <w:rPr>
          <w:rFonts w:eastAsiaTheme="minorHAnsi" w:cs="Arial"/>
          <w:color w:val="auto"/>
        </w:rPr>
        <w:t>E</w:t>
      </w:r>
      <w:r w:rsidRPr="0087608C">
        <w:rPr>
          <w:rFonts w:eastAsiaTheme="minorHAnsi" w:cs="Arial"/>
          <w:color w:val="auto"/>
        </w:rPr>
        <w:t>mpty cells in the tables below are attributable to the following:</w:t>
      </w:r>
    </w:p>
    <w:p w14:paraId="4604D873" w14:textId="77777777" w:rsidR="000B14CC" w:rsidRPr="0087608C" w:rsidRDefault="000B14CC" w:rsidP="000B14CC">
      <w:pPr>
        <w:jc w:val="both"/>
        <w:rPr>
          <w:rFonts w:eastAsiaTheme="minorHAnsi" w:cs="Arial"/>
          <w:color w:val="auto"/>
        </w:rPr>
      </w:pPr>
    </w:p>
    <w:p w14:paraId="42F07B7C" w14:textId="77777777" w:rsidR="000B14CC" w:rsidRPr="002F63D5" w:rsidRDefault="000B14CC" w:rsidP="000B14CC">
      <w:pPr>
        <w:pStyle w:val="ListParagraph"/>
        <w:numPr>
          <w:ilvl w:val="0"/>
          <w:numId w:val="26"/>
        </w:numPr>
        <w:ind w:left="360"/>
        <w:jc w:val="both"/>
        <w:rPr>
          <w:rFonts w:ascii="Arial" w:hAnsi="Arial" w:cs="Arial"/>
          <w:sz w:val="24"/>
          <w:szCs w:val="24"/>
        </w:rPr>
      </w:pPr>
      <w:r w:rsidRPr="002F63D5">
        <w:rPr>
          <w:rFonts w:ascii="Arial" w:hAnsi="Arial" w:cs="Arial"/>
          <w:sz w:val="24"/>
          <w:szCs w:val="24"/>
        </w:rPr>
        <w:t>If prices were not high on specific 4CP and NearCP days, reduction estimates were developed for ESIIDs on Indexed Pricing only if the ESIIDs were identified as 4CP responders. For such days, the Indexed Pricing entries are left blank.</w:t>
      </w:r>
    </w:p>
    <w:p w14:paraId="1EBE175F" w14:textId="08C77132" w:rsidR="000B14CC" w:rsidRPr="002F63D5" w:rsidRDefault="000B14CC" w:rsidP="000B14CC">
      <w:pPr>
        <w:pStyle w:val="ListParagraph"/>
        <w:numPr>
          <w:ilvl w:val="0"/>
          <w:numId w:val="26"/>
        </w:numPr>
        <w:ind w:left="360"/>
        <w:jc w:val="both"/>
        <w:rPr>
          <w:rFonts w:ascii="Arial" w:hAnsi="Arial" w:cs="Arial"/>
          <w:sz w:val="24"/>
          <w:szCs w:val="24"/>
        </w:rPr>
      </w:pPr>
      <w:r w:rsidRPr="002F63D5">
        <w:rPr>
          <w:rFonts w:ascii="Arial" w:hAnsi="Arial" w:cs="Arial"/>
          <w:sz w:val="24"/>
          <w:szCs w:val="24"/>
        </w:rPr>
        <w:t xml:space="preserve">Deployment-based programs were only evaluated on days for which the REP reported having deployed the program. If the REP program was not deployed on a specific high-price or </w:t>
      </w:r>
      <w:r w:rsidRPr="002F63D5">
        <w:rPr>
          <w:rFonts w:cs="Arial"/>
          <w:sz w:val="24"/>
          <w:szCs w:val="24"/>
        </w:rPr>
        <w:t xml:space="preserve">4CP/NearCP </w:t>
      </w:r>
      <w:r w:rsidRPr="002F63D5">
        <w:rPr>
          <w:rFonts w:ascii="Arial" w:hAnsi="Arial" w:cs="Arial"/>
          <w:sz w:val="24"/>
          <w:szCs w:val="24"/>
        </w:rPr>
        <w:t xml:space="preserve">day, the table entry </w:t>
      </w:r>
      <w:r w:rsidR="001A7021">
        <w:rPr>
          <w:rFonts w:ascii="Arial" w:hAnsi="Arial" w:cs="Arial"/>
          <w:sz w:val="24"/>
          <w:szCs w:val="24"/>
        </w:rPr>
        <w:t>is</w:t>
      </w:r>
      <w:r w:rsidRPr="002F63D5">
        <w:rPr>
          <w:rFonts w:ascii="Arial" w:hAnsi="Arial" w:cs="Arial"/>
          <w:sz w:val="24"/>
          <w:szCs w:val="24"/>
        </w:rPr>
        <w:t xml:space="preserve"> left blank for that day.</w:t>
      </w:r>
    </w:p>
    <w:p w14:paraId="7D934A62" w14:textId="77777777" w:rsidR="000B14CC" w:rsidRPr="0087608C" w:rsidRDefault="000B14CC" w:rsidP="000B14CC">
      <w:pPr>
        <w:jc w:val="both"/>
        <w:rPr>
          <w:rFonts w:eastAsiaTheme="minorHAnsi" w:cs="Arial"/>
          <w:color w:val="auto"/>
        </w:rPr>
      </w:pPr>
      <w:r w:rsidRPr="0087608C">
        <w:rPr>
          <w:rFonts w:eastAsiaTheme="minorHAnsi" w:cs="Arial"/>
          <w:color w:val="auto"/>
        </w:rPr>
        <w:t>Some other items of note when considering the reported values:</w:t>
      </w:r>
    </w:p>
    <w:p w14:paraId="16999E9F" w14:textId="77777777" w:rsidR="000B14CC" w:rsidRPr="0087608C" w:rsidRDefault="000B14CC" w:rsidP="000B14CC">
      <w:pPr>
        <w:jc w:val="both"/>
        <w:rPr>
          <w:rFonts w:eastAsiaTheme="minorHAnsi" w:cs="Arial"/>
          <w:color w:val="auto"/>
        </w:rPr>
      </w:pPr>
    </w:p>
    <w:p w14:paraId="1E66E78C" w14:textId="77777777" w:rsidR="000B14CC" w:rsidRPr="0087608C" w:rsidRDefault="000B14CC" w:rsidP="000B14CC">
      <w:pPr>
        <w:pStyle w:val="ListParagraph"/>
        <w:numPr>
          <w:ilvl w:val="0"/>
          <w:numId w:val="28"/>
        </w:numPr>
        <w:jc w:val="both"/>
        <w:rPr>
          <w:rFonts w:ascii="Arial" w:hAnsi="Arial" w:cs="Arial"/>
          <w:sz w:val="24"/>
          <w:szCs w:val="24"/>
        </w:rPr>
      </w:pPr>
      <w:r w:rsidRPr="0087608C">
        <w:rPr>
          <w:rFonts w:ascii="Arial" w:hAnsi="Arial" w:cs="Arial"/>
          <w:sz w:val="24"/>
          <w:szCs w:val="24"/>
        </w:rPr>
        <w:t xml:space="preserve">MW reductions reported are all for </w:t>
      </w:r>
      <w:r>
        <w:rPr>
          <w:rFonts w:ascii="Arial" w:hAnsi="Arial" w:cs="Arial"/>
          <w:sz w:val="24"/>
          <w:szCs w:val="24"/>
        </w:rPr>
        <w:t>H</w:t>
      </w:r>
      <w:r w:rsidRPr="0087608C">
        <w:rPr>
          <w:rFonts w:ascii="Arial" w:hAnsi="Arial" w:cs="Arial"/>
          <w:sz w:val="24"/>
          <w:szCs w:val="24"/>
        </w:rPr>
        <w:t xml:space="preserve">our </w:t>
      </w:r>
      <w:r>
        <w:rPr>
          <w:rFonts w:ascii="Arial" w:hAnsi="Arial" w:cs="Arial"/>
          <w:sz w:val="24"/>
          <w:szCs w:val="24"/>
        </w:rPr>
        <w:t>E</w:t>
      </w:r>
      <w:r w:rsidRPr="0087608C">
        <w:rPr>
          <w:rFonts w:ascii="Arial" w:hAnsi="Arial" w:cs="Arial"/>
          <w:sz w:val="24"/>
          <w:szCs w:val="24"/>
        </w:rPr>
        <w:t>nding 17 to ensure consistency. In some cases</w:t>
      </w:r>
      <w:r>
        <w:rPr>
          <w:rFonts w:ascii="Arial" w:hAnsi="Arial" w:cs="Arial"/>
          <w:sz w:val="24"/>
          <w:szCs w:val="24"/>
        </w:rPr>
        <w:t>,</w:t>
      </w:r>
      <w:r w:rsidRPr="0087608C">
        <w:rPr>
          <w:rFonts w:ascii="Arial" w:hAnsi="Arial" w:cs="Arial"/>
          <w:sz w:val="24"/>
          <w:szCs w:val="24"/>
        </w:rPr>
        <w:t xml:space="preserve"> th</w:t>
      </w:r>
      <w:r>
        <w:rPr>
          <w:rFonts w:ascii="Arial" w:hAnsi="Arial" w:cs="Arial"/>
          <w:sz w:val="24"/>
          <w:szCs w:val="24"/>
        </w:rPr>
        <w:t>e</w:t>
      </w:r>
      <w:r w:rsidRPr="0087608C">
        <w:rPr>
          <w:rFonts w:ascii="Arial" w:hAnsi="Arial" w:cs="Arial"/>
          <w:sz w:val="24"/>
          <w:szCs w:val="24"/>
        </w:rPr>
        <w:t xml:space="preserve"> </w:t>
      </w:r>
      <w:r>
        <w:rPr>
          <w:rFonts w:ascii="Arial" w:hAnsi="Arial" w:cs="Arial"/>
          <w:sz w:val="24"/>
          <w:szCs w:val="24"/>
        </w:rPr>
        <w:t>L</w:t>
      </w:r>
      <w:r w:rsidRPr="0087608C">
        <w:rPr>
          <w:rFonts w:ascii="Arial" w:hAnsi="Arial" w:cs="Arial"/>
          <w:sz w:val="24"/>
          <w:szCs w:val="24"/>
        </w:rPr>
        <w:t>oad reductions shown are not in alignment with the high prices on that day or with the program deployment times. As a result, reductions reported here may not match those reported elsewhere for other Operating Hours.</w:t>
      </w:r>
    </w:p>
    <w:p w14:paraId="6CCD98A9" w14:textId="7F8A34E6" w:rsidR="000B14CC" w:rsidRPr="0087608C" w:rsidRDefault="000B14CC" w:rsidP="000B14CC">
      <w:pPr>
        <w:pStyle w:val="ListParagraph"/>
        <w:numPr>
          <w:ilvl w:val="0"/>
          <w:numId w:val="28"/>
        </w:numPr>
        <w:jc w:val="both"/>
        <w:rPr>
          <w:rFonts w:ascii="Arial" w:hAnsi="Arial" w:cs="Arial"/>
          <w:sz w:val="24"/>
          <w:szCs w:val="24"/>
        </w:rPr>
      </w:pPr>
      <w:r>
        <w:rPr>
          <w:rFonts w:ascii="Arial" w:hAnsi="Arial" w:cs="Arial"/>
          <w:sz w:val="24"/>
          <w:szCs w:val="24"/>
        </w:rPr>
        <w:t>E</w:t>
      </w:r>
      <w:r w:rsidRPr="0087608C">
        <w:rPr>
          <w:rFonts w:ascii="Arial" w:hAnsi="Arial" w:cs="Arial"/>
          <w:sz w:val="24"/>
          <w:szCs w:val="24"/>
        </w:rPr>
        <w:t>xport from Settlement</w:t>
      </w:r>
      <w:r w:rsidR="000B2A1D">
        <w:rPr>
          <w:rFonts w:ascii="Arial" w:hAnsi="Arial" w:cs="Arial"/>
          <w:sz w:val="24"/>
          <w:szCs w:val="24"/>
        </w:rPr>
        <w:t>-</w:t>
      </w:r>
      <w:r w:rsidRPr="0087608C">
        <w:rPr>
          <w:rFonts w:ascii="Arial" w:hAnsi="Arial" w:cs="Arial"/>
          <w:sz w:val="24"/>
          <w:szCs w:val="24"/>
        </w:rPr>
        <w:t xml:space="preserve">Only Generators </w:t>
      </w:r>
      <w:r w:rsidR="000B2A1D">
        <w:rPr>
          <w:rFonts w:ascii="Arial" w:hAnsi="Arial" w:cs="Arial"/>
          <w:sz w:val="24"/>
          <w:szCs w:val="24"/>
        </w:rPr>
        <w:t xml:space="preserve">(SOGs) </w:t>
      </w:r>
      <w:r w:rsidRPr="0087608C">
        <w:rPr>
          <w:rFonts w:ascii="Arial" w:hAnsi="Arial" w:cs="Arial"/>
          <w:sz w:val="24"/>
          <w:szCs w:val="24"/>
        </w:rPr>
        <w:t xml:space="preserve">is not included in this table. </w:t>
      </w:r>
      <w:r>
        <w:rPr>
          <w:rFonts w:ascii="Arial" w:hAnsi="Arial" w:cs="Arial"/>
          <w:sz w:val="24"/>
          <w:szCs w:val="24"/>
        </w:rPr>
        <w:t>If</w:t>
      </w:r>
      <w:r w:rsidRPr="0087608C">
        <w:rPr>
          <w:rFonts w:ascii="Arial" w:hAnsi="Arial" w:cs="Arial"/>
          <w:sz w:val="24"/>
          <w:szCs w:val="24"/>
        </w:rPr>
        <w:t xml:space="preserve"> </w:t>
      </w:r>
      <w:r>
        <w:rPr>
          <w:rFonts w:ascii="Arial" w:hAnsi="Arial" w:cs="Arial"/>
          <w:sz w:val="24"/>
          <w:szCs w:val="24"/>
        </w:rPr>
        <w:t>a</w:t>
      </w:r>
      <w:r w:rsidRPr="0087608C">
        <w:rPr>
          <w:rFonts w:ascii="Arial" w:hAnsi="Arial" w:cs="Arial"/>
          <w:sz w:val="24"/>
          <w:szCs w:val="24"/>
        </w:rPr>
        <w:t xml:space="preserve"> </w:t>
      </w:r>
      <w:r>
        <w:rPr>
          <w:rFonts w:ascii="Arial" w:hAnsi="Arial" w:cs="Arial"/>
          <w:sz w:val="24"/>
          <w:szCs w:val="24"/>
        </w:rPr>
        <w:t>L</w:t>
      </w:r>
      <w:r w:rsidRPr="0087608C">
        <w:rPr>
          <w:rFonts w:ascii="Arial" w:hAnsi="Arial" w:cs="Arial"/>
          <w:sz w:val="24"/>
          <w:szCs w:val="24"/>
        </w:rPr>
        <w:t>oad reduction was effectuated by operating behind</w:t>
      </w:r>
      <w:r w:rsidR="000B2A1D">
        <w:rPr>
          <w:rFonts w:ascii="Arial" w:hAnsi="Arial" w:cs="Arial"/>
          <w:sz w:val="24"/>
          <w:szCs w:val="24"/>
        </w:rPr>
        <w:t>-</w:t>
      </w:r>
      <w:r w:rsidRPr="0087608C">
        <w:rPr>
          <w:rFonts w:ascii="Arial" w:hAnsi="Arial" w:cs="Arial"/>
          <w:sz w:val="24"/>
          <w:szCs w:val="24"/>
        </w:rPr>
        <w:t>the</w:t>
      </w:r>
      <w:r w:rsidR="000B2A1D">
        <w:rPr>
          <w:rFonts w:ascii="Arial" w:hAnsi="Arial" w:cs="Arial"/>
          <w:sz w:val="24"/>
          <w:szCs w:val="24"/>
        </w:rPr>
        <w:t>-</w:t>
      </w:r>
      <w:r w:rsidRPr="0087608C">
        <w:rPr>
          <w:rFonts w:ascii="Arial" w:hAnsi="Arial" w:cs="Arial"/>
          <w:sz w:val="24"/>
          <w:szCs w:val="24"/>
        </w:rPr>
        <w:t xml:space="preserve">meter generators, the reduction is still treated as </w:t>
      </w:r>
      <w:r>
        <w:rPr>
          <w:rFonts w:ascii="Arial" w:hAnsi="Arial" w:cs="Arial"/>
          <w:sz w:val="24"/>
          <w:szCs w:val="24"/>
        </w:rPr>
        <w:t>L</w:t>
      </w:r>
      <w:r w:rsidRPr="0087608C">
        <w:rPr>
          <w:rFonts w:ascii="Arial" w:hAnsi="Arial" w:cs="Arial"/>
          <w:sz w:val="24"/>
          <w:szCs w:val="24"/>
        </w:rPr>
        <w:t xml:space="preserve">oad reduction </w:t>
      </w:r>
      <w:r>
        <w:rPr>
          <w:rFonts w:ascii="Arial" w:hAnsi="Arial" w:cs="Arial"/>
          <w:sz w:val="24"/>
          <w:szCs w:val="24"/>
        </w:rPr>
        <w:t>in</w:t>
      </w:r>
      <w:r w:rsidRPr="0087608C">
        <w:rPr>
          <w:rFonts w:ascii="Arial" w:hAnsi="Arial" w:cs="Arial"/>
          <w:sz w:val="24"/>
          <w:szCs w:val="24"/>
        </w:rPr>
        <w:t xml:space="preserve"> this report.</w:t>
      </w:r>
    </w:p>
    <w:p w14:paraId="26666B14" w14:textId="7D32C7A7" w:rsidR="000B14CC" w:rsidRPr="0087608C" w:rsidRDefault="000B14CC" w:rsidP="000B14CC">
      <w:pPr>
        <w:spacing w:line="276" w:lineRule="auto"/>
        <w:jc w:val="both"/>
        <w:rPr>
          <w:rFonts w:eastAsiaTheme="minorHAnsi" w:cs="Arial"/>
          <w:color w:val="auto"/>
        </w:rPr>
      </w:pPr>
      <w:r w:rsidRPr="0087608C">
        <w:rPr>
          <w:rFonts w:eastAsiaTheme="minorHAnsi" w:cs="Arial"/>
          <w:color w:val="auto"/>
        </w:rPr>
        <w:t xml:space="preserve">Table </w:t>
      </w:r>
      <w:r w:rsidR="00742B60">
        <w:rPr>
          <w:rFonts w:eastAsiaTheme="minorHAnsi" w:cs="Arial"/>
          <w:color w:val="auto"/>
        </w:rPr>
        <w:t>16</w:t>
      </w:r>
      <w:r w:rsidRPr="0087608C">
        <w:rPr>
          <w:rFonts w:eastAsiaTheme="minorHAnsi" w:cs="Arial"/>
          <w:color w:val="auto"/>
        </w:rPr>
        <w:t xml:space="preserve"> below shows </w:t>
      </w:r>
      <w:r>
        <w:rPr>
          <w:rFonts w:eastAsiaTheme="minorHAnsi" w:cs="Arial"/>
          <w:color w:val="auto"/>
        </w:rPr>
        <w:t xml:space="preserve">the </w:t>
      </w:r>
      <w:r w:rsidRPr="0087608C">
        <w:rPr>
          <w:rFonts w:eastAsiaTheme="minorHAnsi" w:cs="Arial"/>
          <w:color w:val="auto"/>
        </w:rPr>
        <w:t>Load reduction for each of the program categories on the specific day</w:t>
      </w:r>
      <w:r>
        <w:rPr>
          <w:rFonts w:eastAsiaTheme="minorHAnsi" w:cs="Arial"/>
          <w:color w:val="auto"/>
        </w:rPr>
        <w:t xml:space="preserve"> listed</w:t>
      </w:r>
      <w:r w:rsidRPr="0087608C">
        <w:rPr>
          <w:rFonts w:eastAsiaTheme="minorHAnsi" w:cs="Arial"/>
          <w:color w:val="auto"/>
        </w:rPr>
        <w:t xml:space="preserve">. The amounts shown in the </w:t>
      </w:r>
      <w:r w:rsidR="000B2A1D">
        <w:rPr>
          <w:rFonts w:eastAsiaTheme="minorHAnsi" w:cs="Arial"/>
          <w:color w:val="auto"/>
        </w:rPr>
        <w:t>“</w:t>
      </w:r>
      <w:r w:rsidRPr="0087608C">
        <w:rPr>
          <w:rFonts w:eastAsiaTheme="minorHAnsi" w:cs="Arial"/>
          <w:color w:val="auto"/>
        </w:rPr>
        <w:t>Total System DR</w:t>
      </w:r>
      <w:r w:rsidR="000B2A1D">
        <w:rPr>
          <w:rFonts w:eastAsiaTheme="minorHAnsi" w:cs="Arial"/>
          <w:color w:val="auto"/>
        </w:rPr>
        <w:t>”</w:t>
      </w:r>
      <w:r w:rsidRPr="0087608C">
        <w:rPr>
          <w:rFonts w:eastAsiaTheme="minorHAnsi" w:cs="Arial"/>
          <w:color w:val="auto"/>
        </w:rPr>
        <w:t xml:space="preserve"> column reflect summation of Load reduction across the various program categories</w:t>
      </w:r>
      <w:r>
        <w:rPr>
          <w:rFonts w:eastAsiaTheme="minorHAnsi" w:cs="Arial"/>
          <w:color w:val="auto"/>
        </w:rPr>
        <w:t xml:space="preserve"> and</w:t>
      </w:r>
      <w:r w:rsidRPr="0087608C">
        <w:rPr>
          <w:rFonts w:eastAsiaTheme="minorHAnsi" w:cs="Arial"/>
          <w:color w:val="auto"/>
        </w:rPr>
        <w:t xml:space="preserve"> eliminat</w:t>
      </w:r>
      <w:r>
        <w:rPr>
          <w:rFonts w:eastAsiaTheme="minorHAnsi" w:cs="Arial"/>
          <w:color w:val="auto"/>
        </w:rPr>
        <w:t>es</w:t>
      </w:r>
      <w:r w:rsidRPr="0087608C">
        <w:rPr>
          <w:rFonts w:eastAsiaTheme="minorHAnsi" w:cs="Arial"/>
          <w:color w:val="auto"/>
        </w:rPr>
        <w:t xml:space="preserve"> double counting when ESIIDs participate in more than one program or </w:t>
      </w:r>
      <w:r>
        <w:rPr>
          <w:rFonts w:eastAsiaTheme="minorHAnsi" w:cs="Arial"/>
          <w:color w:val="auto"/>
        </w:rPr>
        <w:t xml:space="preserve">when </w:t>
      </w:r>
      <w:r w:rsidRPr="0087608C">
        <w:rPr>
          <w:rFonts w:eastAsiaTheme="minorHAnsi" w:cs="Arial"/>
          <w:color w:val="auto"/>
        </w:rPr>
        <w:t>NOIEs are identified as responding to both 4CP and high prices.</w:t>
      </w:r>
      <w:r>
        <w:rPr>
          <w:rFonts w:eastAsiaTheme="minorHAnsi" w:cs="Arial"/>
          <w:color w:val="auto"/>
        </w:rPr>
        <w:t xml:space="preserve"> </w:t>
      </w:r>
      <w:r w:rsidRPr="0087608C">
        <w:rPr>
          <w:rFonts w:eastAsiaTheme="minorHAnsi" w:cs="Arial"/>
          <w:color w:val="auto"/>
        </w:rPr>
        <w:t xml:space="preserve">The </w:t>
      </w:r>
      <w:r w:rsidR="000B2A1D">
        <w:rPr>
          <w:rFonts w:eastAsiaTheme="minorHAnsi" w:cs="Arial"/>
          <w:color w:val="auto"/>
        </w:rPr>
        <w:t>“</w:t>
      </w:r>
      <w:r w:rsidRPr="0087608C">
        <w:rPr>
          <w:rFonts w:eastAsiaTheme="minorHAnsi" w:cs="Arial"/>
          <w:color w:val="auto"/>
        </w:rPr>
        <w:t>Overlap</w:t>
      </w:r>
      <w:r w:rsidR="000B2A1D">
        <w:rPr>
          <w:rFonts w:eastAsiaTheme="minorHAnsi" w:cs="Arial"/>
          <w:color w:val="auto"/>
        </w:rPr>
        <w:t>”</w:t>
      </w:r>
      <w:r w:rsidRPr="0087608C">
        <w:rPr>
          <w:rFonts w:eastAsiaTheme="minorHAnsi" w:cs="Arial"/>
          <w:color w:val="auto"/>
        </w:rPr>
        <w:t xml:space="preserve"> column is the difference between the amount in the </w:t>
      </w:r>
      <w:r w:rsidR="000B2A1D">
        <w:rPr>
          <w:rFonts w:eastAsiaTheme="minorHAnsi" w:cs="Arial"/>
          <w:color w:val="auto"/>
        </w:rPr>
        <w:t>“</w:t>
      </w:r>
      <w:r w:rsidRPr="0087608C">
        <w:rPr>
          <w:rFonts w:eastAsiaTheme="minorHAnsi" w:cs="Arial"/>
          <w:color w:val="auto"/>
        </w:rPr>
        <w:t>Category Total</w:t>
      </w:r>
      <w:r w:rsidR="000B2A1D">
        <w:rPr>
          <w:rFonts w:eastAsiaTheme="minorHAnsi" w:cs="Arial"/>
          <w:color w:val="auto"/>
        </w:rPr>
        <w:t>”</w:t>
      </w:r>
      <w:r w:rsidRPr="0087608C">
        <w:rPr>
          <w:rFonts w:eastAsiaTheme="minorHAnsi" w:cs="Arial"/>
          <w:color w:val="auto"/>
        </w:rPr>
        <w:t xml:space="preserve"> column and the </w:t>
      </w:r>
      <w:r w:rsidR="000B2A1D">
        <w:rPr>
          <w:rFonts w:eastAsiaTheme="minorHAnsi" w:cs="Arial"/>
          <w:color w:val="auto"/>
        </w:rPr>
        <w:t>“</w:t>
      </w:r>
      <w:r w:rsidRPr="0087608C">
        <w:rPr>
          <w:rFonts w:eastAsiaTheme="minorHAnsi" w:cs="Arial"/>
          <w:color w:val="auto"/>
        </w:rPr>
        <w:t>Total System DR</w:t>
      </w:r>
      <w:r w:rsidR="000B2A1D">
        <w:rPr>
          <w:rFonts w:eastAsiaTheme="minorHAnsi" w:cs="Arial"/>
          <w:color w:val="auto"/>
        </w:rPr>
        <w:t>”</w:t>
      </w:r>
      <w:r w:rsidRPr="0087608C">
        <w:rPr>
          <w:rFonts w:eastAsiaTheme="minorHAnsi" w:cs="Arial"/>
          <w:color w:val="auto"/>
        </w:rPr>
        <w:t xml:space="preserve"> column. Thus</w:t>
      </w:r>
      <w:r>
        <w:rPr>
          <w:rFonts w:eastAsiaTheme="minorHAnsi" w:cs="Arial"/>
          <w:color w:val="auto"/>
        </w:rPr>
        <w:t>,</w:t>
      </w:r>
      <w:r w:rsidRPr="0087608C">
        <w:rPr>
          <w:rFonts w:eastAsiaTheme="minorHAnsi" w:cs="Arial"/>
          <w:color w:val="auto"/>
        </w:rPr>
        <w:t xml:space="preserve"> the Overlap amount is the measure of double counting in the Category Total column.</w:t>
      </w:r>
    </w:p>
    <w:p w14:paraId="4226B675" w14:textId="77777777" w:rsidR="000B14CC" w:rsidRPr="009D0A92" w:rsidRDefault="000B14CC" w:rsidP="000B14CC">
      <w:pPr>
        <w:rPr>
          <w:rFonts w:asciiTheme="majorHAnsi" w:eastAsiaTheme="minorHAnsi" w:hAnsiTheme="majorHAnsi" w:cstheme="majorHAnsi"/>
          <w:color w:val="auto"/>
        </w:rPr>
      </w:pPr>
    </w:p>
    <w:p w14:paraId="62327853" w14:textId="77777777" w:rsidR="000B14CC" w:rsidRDefault="000B14CC" w:rsidP="000B14CC">
      <w:pPr>
        <w:rPr>
          <w:rFonts w:asciiTheme="majorHAnsi" w:hAnsiTheme="majorHAnsi" w:cstheme="majorHAnsi"/>
          <w:i/>
          <w:iCs/>
          <w:sz w:val="18"/>
          <w:szCs w:val="18"/>
        </w:rPr>
      </w:pPr>
      <w:r>
        <w:rPr>
          <w:rFonts w:asciiTheme="majorHAnsi" w:hAnsiTheme="majorHAnsi" w:cstheme="majorHAnsi"/>
        </w:rPr>
        <w:br w:type="page"/>
      </w:r>
    </w:p>
    <w:p w14:paraId="1A7607AB" w14:textId="60806030" w:rsidR="000B14CC" w:rsidRDefault="009E20B6" w:rsidP="00D96D0B">
      <w:pPr>
        <w:pStyle w:val="Caption"/>
        <w:keepNext/>
        <w:spacing w:after="0"/>
        <w:rPr>
          <w:rFonts w:eastAsiaTheme="minorHAnsi"/>
        </w:rPr>
      </w:pPr>
      <w:r>
        <w:rPr>
          <w:rFonts w:asciiTheme="majorHAnsi" w:hAnsiTheme="majorHAnsi" w:cstheme="majorHAnsi"/>
        </w:rPr>
        <w:lastRenderedPageBreak/>
        <w:t>T</w:t>
      </w:r>
      <w:r w:rsidR="000B14CC" w:rsidRPr="009D0A92">
        <w:rPr>
          <w:rFonts w:asciiTheme="majorHAnsi" w:hAnsiTheme="majorHAnsi" w:cstheme="majorHAnsi"/>
        </w:rPr>
        <w:t xml:space="preserve">able </w:t>
      </w:r>
      <w:r w:rsidR="00742B60">
        <w:rPr>
          <w:rFonts w:asciiTheme="majorHAnsi" w:hAnsiTheme="majorHAnsi" w:cstheme="majorHAnsi"/>
        </w:rPr>
        <w:t>16</w:t>
      </w:r>
      <w:r w:rsidR="000B2A1D">
        <w:rPr>
          <w:rFonts w:asciiTheme="majorHAnsi" w:hAnsiTheme="majorHAnsi" w:cstheme="majorHAnsi"/>
        </w:rPr>
        <w:t>:</w:t>
      </w:r>
      <w:r w:rsidR="000B14CC">
        <w:rPr>
          <w:rFonts w:asciiTheme="majorHAnsi" w:hAnsiTheme="majorHAnsi" w:cstheme="majorHAnsi"/>
        </w:rPr>
        <w:t xml:space="preserve"> </w:t>
      </w:r>
      <w:r w:rsidR="000B14CC" w:rsidRPr="009D0A92">
        <w:rPr>
          <w:rFonts w:asciiTheme="majorHAnsi" w:hAnsiTheme="majorHAnsi" w:cstheme="majorHAnsi"/>
        </w:rPr>
        <w:t>High Load Reduction Days 20</w:t>
      </w:r>
      <w:r w:rsidR="000B14CC">
        <w:rPr>
          <w:rFonts w:asciiTheme="majorHAnsi" w:hAnsiTheme="majorHAnsi" w:cstheme="majorHAnsi"/>
        </w:rPr>
        <w:t>2</w:t>
      </w:r>
      <w:r w:rsidR="00D96D0B">
        <w:rPr>
          <w:rFonts w:asciiTheme="majorHAnsi" w:hAnsiTheme="majorHAnsi" w:cstheme="majorHAnsi"/>
        </w:rPr>
        <w:t>3</w:t>
      </w:r>
      <w:r w:rsidR="000B14CC" w:rsidRPr="009D0A92">
        <w:rPr>
          <w:rFonts w:asciiTheme="majorHAnsi" w:hAnsiTheme="majorHAnsi" w:cstheme="majorHAnsi"/>
        </w:rPr>
        <w:t>, at Total System-Level and at Category-level – MW Reductions</w:t>
      </w:r>
    </w:p>
    <w:p w14:paraId="3D10F7A0" w14:textId="53F89127" w:rsidR="000B14CC" w:rsidRPr="009D0A92" w:rsidRDefault="009E20B6" w:rsidP="000B14CC">
      <w:pPr>
        <w:rPr>
          <w:rFonts w:asciiTheme="majorHAnsi" w:eastAsiaTheme="minorHAnsi" w:hAnsiTheme="majorHAnsi" w:cstheme="majorHAnsi"/>
          <w:color w:val="auto"/>
        </w:rPr>
      </w:pPr>
      <w:r w:rsidRPr="00B47F6F">
        <w:rPr>
          <w:rFonts w:asciiTheme="majorHAnsi" w:eastAsiaTheme="minorHAnsi" w:hAnsiTheme="majorHAnsi" w:cstheme="majorHAnsi"/>
          <w:noProof/>
          <w:color w:val="auto"/>
        </w:rPr>
        <w:drawing>
          <wp:inline distT="0" distB="0" distL="0" distR="0" wp14:anchorId="669D6DA0" wp14:editId="6FD8C450">
            <wp:extent cx="5943600" cy="6857365"/>
            <wp:effectExtent l="19050" t="19050" r="19050" b="19685"/>
            <wp:docPr id="1485" name="Picture 1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6857365"/>
                    </a:xfrm>
                    <a:prstGeom prst="rect">
                      <a:avLst/>
                    </a:prstGeom>
                    <a:noFill/>
                    <a:ln w="19050">
                      <a:solidFill>
                        <a:schemeClr val="tx1"/>
                      </a:solidFill>
                    </a:ln>
                  </pic:spPr>
                </pic:pic>
              </a:graphicData>
            </a:graphic>
          </wp:inline>
        </w:drawing>
      </w:r>
    </w:p>
    <w:p w14:paraId="4EF87A0F" w14:textId="77777777" w:rsidR="000B14CC" w:rsidRPr="009D0A92" w:rsidRDefault="000B14CC" w:rsidP="000B14CC">
      <w:pPr>
        <w:rPr>
          <w:rFonts w:asciiTheme="majorHAnsi" w:eastAsiaTheme="minorHAnsi" w:hAnsiTheme="majorHAnsi" w:cstheme="majorHAnsi"/>
          <w:color w:val="auto"/>
        </w:rPr>
      </w:pPr>
    </w:p>
    <w:p w14:paraId="2D6F6F7C" w14:textId="37F6F3BF" w:rsidR="000B14CC" w:rsidRPr="0087608C" w:rsidRDefault="000B14CC" w:rsidP="000B14CC">
      <w:pPr>
        <w:spacing w:line="276" w:lineRule="auto"/>
        <w:jc w:val="both"/>
        <w:rPr>
          <w:rFonts w:eastAsiaTheme="minorHAnsi" w:cs="Arial"/>
          <w:color w:val="auto"/>
        </w:rPr>
      </w:pPr>
      <w:r w:rsidRPr="0087608C">
        <w:rPr>
          <w:rFonts w:eastAsiaTheme="minorHAnsi" w:cs="Arial"/>
          <w:color w:val="auto"/>
        </w:rPr>
        <w:t xml:space="preserve">Table </w:t>
      </w:r>
      <w:r w:rsidR="00742B60">
        <w:rPr>
          <w:rFonts w:eastAsiaTheme="minorHAnsi" w:cs="Arial"/>
          <w:color w:val="auto"/>
        </w:rPr>
        <w:t>17</w:t>
      </w:r>
      <w:r w:rsidRPr="0087608C">
        <w:rPr>
          <w:rFonts w:eastAsiaTheme="minorHAnsi" w:cs="Arial"/>
          <w:color w:val="auto"/>
        </w:rPr>
        <w:t xml:space="preserve"> below covers the same dates as shown in </w:t>
      </w:r>
      <w:r w:rsidR="000B2A1D">
        <w:rPr>
          <w:rFonts w:eastAsiaTheme="minorHAnsi" w:cs="Arial"/>
          <w:color w:val="auto"/>
        </w:rPr>
        <w:t>T</w:t>
      </w:r>
      <w:r w:rsidRPr="0087608C">
        <w:rPr>
          <w:rFonts w:eastAsiaTheme="minorHAnsi" w:cs="Arial"/>
          <w:color w:val="auto"/>
        </w:rPr>
        <w:t xml:space="preserve">able </w:t>
      </w:r>
      <w:r>
        <w:rPr>
          <w:rFonts w:eastAsiaTheme="minorHAnsi" w:cs="Arial"/>
          <w:color w:val="auto"/>
        </w:rPr>
        <w:t>8</w:t>
      </w:r>
      <w:r w:rsidRPr="0087608C">
        <w:rPr>
          <w:rFonts w:eastAsiaTheme="minorHAnsi" w:cs="Arial"/>
          <w:color w:val="auto"/>
        </w:rPr>
        <w:t xml:space="preserve"> and reports the number of ESIIDs and NOIEs identified as responding on those particular days. For </w:t>
      </w:r>
      <w:r>
        <w:rPr>
          <w:rFonts w:eastAsiaTheme="minorHAnsi" w:cs="Arial"/>
          <w:color w:val="auto"/>
        </w:rPr>
        <w:t>this</w:t>
      </w:r>
      <w:r w:rsidRPr="0087608C">
        <w:rPr>
          <w:rFonts w:eastAsiaTheme="minorHAnsi" w:cs="Arial"/>
          <w:color w:val="auto"/>
        </w:rPr>
        <w:t xml:space="preserve"> table, </w:t>
      </w:r>
      <w:r>
        <w:rPr>
          <w:rFonts w:eastAsiaTheme="minorHAnsi" w:cs="Arial"/>
          <w:color w:val="auto"/>
        </w:rPr>
        <w:t xml:space="preserve">the measure of </w:t>
      </w:r>
      <w:r w:rsidRPr="0087608C">
        <w:rPr>
          <w:rFonts w:eastAsiaTheme="minorHAnsi" w:cs="Arial"/>
          <w:color w:val="auto"/>
        </w:rPr>
        <w:t xml:space="preserve">double counting is also reflected in the </w:t>
      </w:r>
      <w:r w:rsidR="000B2A1D">
        <w:rPr>
          <w:rFonts w:eastAsiaTheme="minorHAnsi" w:cs="Arial"/>
          <w:color w:val="auto"/>
        </w:rPr>
        <w:t>“</w:t>
      </w:r>
      <w:r w:rsidRPr="0087608C">
        <w:rPr>
          <w:rFonts w:eastAsiaTheme="minorHAnsi" w:cs="Arial"/>
          <w:color w:val="auto"/>
        </w:rPr>
        <w:t>Overlap</w:t>
      </w:r>
      <w:r w:rsidR="000B2A1D">
        <w:rPr>
          <w:rFonts w:eastAsiaTheme="minorHAnsi" w:cs="Arial"/>
          <w:color w:val="auto"/>
        </w:rPr>
        <w:t>”</w:t>
      </w:r>
      <w:r w:rsidRPr="0087608C">
        <w:rPr>
          <w:rFonts w:eastAsiaTheme="minorHAnsi" w:cs="Arial"/>
          <w:color w:val="auto"/>
        </w:rPr>
        <w:t xml:space="preserve"> column</w:t>
      </w:r>
      <w:r>
        <w:rPr>
          <w:rFonts w:eastAsiaTheme="minorHAnsi" w:cs="Arial"/>
          <w:color w:val="auto"/>
        </w:rPr>
        <w:t>s</w:t>
      </w:r>
      <w:r w:rsidRPr="0087608C">
        <w:rPr>
          <w:rFonts w:eastAsiaTheme="minorHAnsi" w:cs="Arial"/>
          <w:color w:val="auto"/>
        </w:rPr>
        <w:t xml:space="preserve">, and the </w:t>
      </w:r>
      <w:r w:rsidR="000B2A1D">
        <w:rPr>
          <w:rFonts w:eastAsiaTheme="minorHAnsi" w:cs="Arial"/>
          <w:color w:val="auto"/>
        </w:rPr>
        <w:t>“</w:t>
      </w:r>
      <w:r w:rsidRPr="0087608C">
        <w:rPr>
          <w:rFonts w:eastAsiaTheme="minorHAnsi" w:cs="Arial"/>
          <w:color w:val="auto"/>
        </w:rPr>
        <w:t>Total System DR</w:t>
      </w:r>
      <w:r w:rsidR="000B2A1D">
        <w:rPr>
          <w:rFonts w:eastAsiaTheme="minorHAnsi" w:cs="Arial"/>
          <w:color w:val="auto"/>
        </w:rPr>
        <w:t>”</w:t>
      </w:r>
      <w:r w:rsidRPr="0087608C">
        <w:rPr>
          <w:rFonts w:eastAsiaTheme="minorHAnsi" w:cs="Arial"/>
          <w:color w:val="auto"/>
        </w:rPr>
        <w:t xml:space="preserve"> column reflects the total number of unique ESIIDs and NOIEs responding on each day.</w:t>
      </w:r>
    </w:p>
    <w:p w14:paraId="2714C050" w14:textId="77777777" w:rsidR="000B14CC" w:rsidRDefault="000B14CC" w:rsidP="000B14CC">
      <w:pPr>
        <w:rPr>
          <w:rFonts w:asciiTheme="majorHAnsi" w:hAnsiTheme="majorHAnsi" w:cstheme="majorHAnsi"/>
          <w:i/>
          <w:iCs/>
          <w:sz w:val="18"/>
          <w:szCs w:val="18"/>
        </w:rPr>
      </w:pPr>
    </w:p>
    <w:p w14:paraId="622295DA" w14:textId="77777777" w:rsidR="000B14CC" w:rsidRDefault="000B14CC" w:rsidP="000B14CC">
      <w:pPr>
        <w:rPr>
          <w:rFonts w:asciiTheme="majorHAnsi" w:hAnsiTheme="majorHAnsi" w:cstheme="majorHAnsi"/>
          <w:i/>
          <w:iCs/>
          <w:sz w:val="18"/>
          <w:szCs w:val="18"/>
        </w:rPr>
      </w:pPr>
      <w:r>
        <w:rPr>
          <w:rFonts w:asciiTheme="majorHAnsi" w:hAnsiTheme="majorHAnsi" w:cstheme="majorHAnsi"/>
          <w:i/>
          <w:iCs/>
          <w:sz w:val="18"/>
          <w:szCs w:val="18"/>
        </w:rPr>
        <w:br w:type="page"/>
      </w:r>
    </w:p>
    <w:p w14:paraId="7DE4C8C6" w14:textId="17F1A5DB" w:rsidR="000B14CC" w:rsidRPr="009D0A92" w:rsidRDefault="000B14CC" w:rsidP="000B14CC">
      <w:pPr>
        <w:rPr>
          <w:rFonts w:asciiTheme="majorHAnsi" w:hAnsiTheme="majorHAnsi" w:cstheme="majorHAnsi"/>
        </w:rPr>
      </w:pPr>
      <w:r w:rsidRPr="009D0A92">
        <w:rPr>
          <w:rFonts w:asciiTheme="majorHAnsi" w:hAnsiTheme="majorHAnsi" w:cstheme="majorHAnsi"/>
          <w:i/>
          <w:iCs/>
          <w:sz w:val="18"/>
          <w:szCs w:val="18"/>
        </w:rPr>
        <w:lastRenderedPageBreak/>
        <w:t xml:space="preserve">Table </w:t>
      </w:r>
      <w:r w:rsidR="00742B60">
        <w:rPr>
          <w:rFonts w:asciiTheme="majorHAnsi" w:hAnsiTheme="majorHAnsi" w:cstheme="majorHAnsi"/>
          <w:i/>
          <w:iCs/>
          <w:sz w:val="18"/>
          <w:szCs w:val="18"/>
        </w:rPr>
        <w:t>17</w:t>
      </w:r>
      <w:r w:rsidR="000B2A1D">
        <w:rPr>
          <w:rFonts w:asciiTheme="majorHAnsi" w:hAnsiTheme="majorHAnsi" w:cstheme="majorHAnsi"/>
          <w:i/>
          <w:iCs/>
          <w:sz w:val="18"/>
          <w:szCs w:val="18"/>
        </w:rPr>
        <w:t xml:space="preserve">: </w:t>
      </w:r>
      <w:r w:rsidRPr="009D0A92">
        <w:rPr>
          <w:rFonts w:asciiTheme="majorHAnsi" w:hAnsiTheme="majorHAnsi" w:cstheme="majorHAnsi"/>
          <w:i/>
          <w:iCs/>
          <w:sz w:val="18"/>
          <w:szCs w:val="18"/>
        </w:rPr>
        <w:t>High Load Reduction Days 20</w:t>
      </w:r>
      <w:r>
        <w:rPr>
          <w:rFonts w:asciiTheme="majorHAnsi" w:hAnsiTheme="majorHAnsi" w:cstheme="majorHAnsi"/>
          <w:i/>
          <w:iCs/>
          <w:sz w:val="18"/>
          <w:szCs w:val="18"/>
        </w:rPr>
        <w:t>2</w:t>
      </w:r>
      <w:r w:rsidR="00D96D0B">
        <w:rPr>
          <w:rFonts w:asciiTheme="majorHAnsi" w:hAnsiTheme="majorHAnsi" w:cstheme="majorHAnsi"/>
          <w:i/>
          <w:iCs/>
          <w:sz w:val="18"/>
          <w:szCs w:val="18"/>
        </w:rPr>
        <w:t>3</w:t>
      </w:r>
      <w:r w:rsidRPr="009D0A92">
        <w:rPr>
          <w:rFonts w:asciiTheme="majorHAnsi" w:hAnsiTheme="majorHAnsi" w:cstheme="majorHAnsi"/>
          <w:i/>
          <w:iCs/>
          <w:sz w:val="18"/>
          <w:szCs w:val="18"/>
        </w:rPr>
        <w:t>, at Total System-Level and at Category-level – ESIID/NOIE Counts</w:t>
      </w:r>
    </w:p>
    <w:p w14:paraId="4CF74346" w14:textId="4CB300CB" w:rsidR="000B14CC" w:rsidRDefault="009E20B6" w:rsidP="000B14CC">
      <w:pPr>
        <w:rPr>
          <w:rFonts w:asciiTheme="majorHAnsi" w:hAnsiTheme="majorHAnsi" w:cstheme="majorHAnsi"/>
        </w:rPr>
      </w:pPr>
      <w:r w:rsidRPr="00B47F6F">
        <w:rPr>
          <w:rFonts w:asciiTheme="majorHAnsi" w:hAnsiTheme="majorHAnsi" w:cstheme="majorHAnsi"/>
          <w:noProof/>
        </w:rPr>
        <w:drawing>
          <wp:inline distT="0" distB="0" distL="0" distR="0" wp14:anchorId="7FBA59D2" wp14:editId="0602C976">
            <wp:extent cx="5943600" cy="5878195"/>
            <wp:effectExtent l="19050" t="19050" r="19050" b="27305"/>
            <wp:docPr id="1484" name="Picture 1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5878195"/>
                    </a:xfrm>
                    <a:prstGeom prst="rect">
                      <a:avLst/>
                    </a:prstGeom>
                    <a:noFill/>
                    <a:ln w="19050">
                      <a:solidFill>
                        <a:schemeClr val="tx1"/>
                      </a:solidFill>
                    </a:ln>
                  </pic:spPr>
                </pic:pic>
              </a:graphicData>
            </a:graphic>
          </wp:inline>
        </w:drawing>
      </w:r>
    </w:p>
    <w:p w14:paraId="44DCAB46" w14:textId="77777777" w:rsidR="000B14CC" w:rsidRDefault="000B14CC" w:rsidP="000B14CC">
      <w:pPr>
        <w:rPr>
          <w:rFonts w:asciiTheme="majorHAnsi" w:hAnsiTheme="majorHAnsi" w:cstheme="majorHAnsi"/>
        </w:rPr>
      </w:pPr>
    </w:p>
    <w:p w14:paraId="60A363E9" w14:textId="77777777" w:rsidR="000B14CC" w:rsidRDefault="000B14CC" w:rsidP="000B14CC">
      <w:pPr>
        <w:rPr>
          <w:rFonts w:asciiTheme="majorHAnsi" w:hAnsiTheme="majorHAnsi" w:cstheme="majorHAnsi"/>
        </w:rPr>
      </w:pPr>
    </w:p>
    <w:p w14:paraId="773CC66C" w14:textId="5F728AC4" w:rsidR="000B14CC" w:rsidRDefault="000B14CC" w:rsidP="000B14CC">
      <w:pPr>
        <w:spacing w:line="276" w:lineRule="auto"/>
        <w:jc w:val="both"/>
        <w:rPr>
          <w:rFonts w:eastAsiaTheme="minorHAnsi" w:cs="Arial"/>
          <w:color w:val="auto"/>
        </w:rPr>
      </w:pPr>
      <w:r>
        <w:rPr>
          <w:rFonts w:eastAsiaTheme="minorHAnsi" w:cs="Arial"/>
          <w:color w:val="auto"/>
        </w:rPr>
        <w:t xml:space="preserve">The graphs </w:t>
      </w:r>
      <w:r w:rsidRPr="0087608C">
        <w:rPr>
          <w:rFonts w:eastAsiaTheme="minorHAnsi" w:cs="Arial"/>
          <w:color w:val="auto"/>
        </w:rPr>
        <w:t xml:space="preserve">below </w:t>
      </w:r>
      <w:r>
        <w:rPr>
          <w:rFonts w:eastAsiaTheme="minorHAnsi" w:cs="Arial"/>
          <w:color w:val="auto"/>
        </w:rPr>
        <w:t>show the load reductions occurring at the system level. The baseline, actual</w:t>
      </w:r>
      <w:r w:rsidR="00C73160">
        <w:rPr>
          <w:rFonts w:eastAsiaTheme="minorHAnsi" w:cs="Arial"/>
          <w:color w:val="auto"/>
        </w:rPr>
        <w:t>,</w:t>
      </w:r>
      <w:r>
        <w:rPr>
          <w:rFonts w:eastAsiaTheme="minorHAnsi" w:cs="Arial"/>
          <w:color w:val="auto"/>
        </w:rPr>
        <w:t xml:space="preserve"> and reduction loads graphed are aggregated over </w:t>
      </w:r>
      <w:r w:rsidR="00C73160">
        <w:rPr>
          <w:rFonts w:eastAsiaTheme="minorHAnsi" w:cs="Arial"/>
          <w:color w:val="auto"/>
        </w:rPr>
        <w:t xml:space="preserve">the </w:t>
      </w:r>
      <w:r>
        <w:rPr>
          <w:rFonts w:eastAsiaTheme="minorHAnsi" w:cs="Arial"/>
          <w:color w:val="auto"/>
        </w:rPr>
        <w:t>ESIIDs and NOIEs identified as responding on the specific days. August 9</w:t>
      </w:r>
      <w:r w:rsidR="00C73160">
        <w:rPr>
          <w:rFonts w:eastAsiaTheme="minorHAnsi" w:cs="Arial"/>
          <w:color w:val="auto"/>
        </w:rPr>
        <w:t xml:space="preserve">, </w:t>
      </w:r>
      <w:proofErr w:type="gramStart"/>
      <w:r w:rsidR="00C73160">
        <w:rPr>
          <w:rFonts w:eastAsiaTheme="minorHAnsi" w:cs="Arial"/>
          <w:color w:val="auto"/>
        </w:rPr>
        <w:t>2023</w:t>
      </w:r>
      <w:proofErr w:type="gramEnd"/>
      <w:r>
        <w:rPr>
          <w:rFonts w:eastAsiaTheme="minorHAnsi" w:cs="Arial"/>
          <w:color w:val="auto"/>
        </w:rPr>
        <w:t xml:space="preserve"> is the day on which the largest load reduction amount occurred. August 10</w:t>
      </w:r>
      <w:r w:rsidR="00C73160">
        <w:rPr>
          <w:rFonts w:eastAsiaTheme="minorHAnsi" w:cs="Arial"/>
          <w:color w:val="auto"/>
        </w:rPr>
        <w:t xml:space="preserve">, </w:t>
      </w:r>
      <w:proofErr w:type="gramStart"/>
      <w:r w:rsidR="00C73160">
        <w:rPr>
          <w:rFonts w:eastAsiaTheme="minorHAnsi" w:cs="Arial"/>
          <w:color w:val="auto"/>
        </w:rPr>
        <w:t>2023</w:t>
      </w:r>
      <w:proofErr w:type="gramEnd"/>
      <w:r>
        <w:rPr>
          <w:rFonts w:eastAsiaTheme="minorHAnsi" w:cs="Arial"/>
          <w:color w:val="auto"/>
        </w:rPr>
        <w:t xml:space="preserve"> is the day of the ERCOT highest 15-minute peak.</w:t>
      </w:r>
    </w:p>
    <w:p w14:paraId="719502D6" w14:textId="77777777" w:rsidR="000B14CC" w:rsidRDefault="000B14CC" w:rsidP="000B14CC">
      <w:pPr>
        <w:spacing w:line="276" w:lineRule="auto"/>
        <w:jc w:val="both"/>
        <w:rPr>
          <w:rFonts w:eastAsiaTheme="minorHAnsi" w:cs="Arial"/>
          <w:color w:val="auto"/>
        </w:rPr>
      </w:pPr>
    </w:p>
    <w:p w14:paraId="7C9AB144" w14:textId="2C747044" w:rsidR="000B14CC" w:rsidRDefault="000B14CC" w:rsidP="000B14CC">
      <w:pPr>
        <w:spacing w:line="276" w:lineRule="auto"/>
        <w:jc w:val="both"/>
        <w:rPr>
          <w:rFonts w:eastAsiaTheme="minorHAnsi" w:cs="Arial"/>
          <w:color w:val="auto"/>
        </w:rPr>
      </w:pPr>
      <w:r>
        <w:rPr>
          <w:rFonts w:eastAsiaTheme="minorHAnsi" w:cs="Arial"/>
          <w:color w:val="auto"/>
        </w:rPr>
        <w:t>August 17</w:t>
      </w:r>
      <w:r w:rsidR="00C73160">
        <w:rPr>
          <w:rFonts w:eastAsiaTheme="minorHAnsi" w:cs="Arial"/>
          <w:color w:val="auto"/>
        </w:rPr>
        <w:t xml:space="preserve">, </w:t>
      </w:r>
      <w:proofErr w:type="gramStart"/>
      <w:r w:rsidR="00C73160">
        <w:rPr>
          <w:rFonts w:eastAsiaTheme="minorHAnsi" w:cs="Arial"/>
          <w:color w:val="auto"/>
        </w:rPr>
        <w:t>2023</w:t>
      </w:r>
      <w:proofErr w:type="gramEnd"/>
      <w:r>
        <w:rPr>
          <w:rFonts w:eastAsiaTheme="minorHAnsi" w:cs="Arial"/>
          <w:color w:val="auto"/>
        </w:rPr>
        <w:t xml:space="preserve"> had $1,000+/</w:t>
      </w:r>
      <w:r w:rsidR="000E1C2E">
        <w:rPr>
          <w:rFonts w:eastAsiaTheme="minorHAnsi" w:cs="Arial"/>
          <w:color w:val="auto"/>
        </w:rPr>
        <w:t>MW</w:t>
      </w:r>
      <w:r>
        <w:rPr>
          <w:rFonts w:eastAsiaTheme="minorHAnsi" w:cs="Arial"/>
          <w:color w:val="auto"/>
        </w:rPr>
        <w:t xml:space="preserve">h </w:t>
      </w:r>
      <w:r w:rsidR="000E1C2E">
        <w:rPr>
          <w:rFonts w:eastAsiaTheme="minorHAnsi" w:cs="Arial"/>
          <w:color w:val="auto"/>
        </w:rPr>
        <w:t>L</w:t>
      </w:r>
      <w:r>
        <w:rPr>
          <w:rFonts w:eastAsiaTheme="minorHAnsi" w:cs="Arial"/>
          <w:color w:val="auto"/>
        </w:rPr>
        <w:t xml:space="preserve">oad </w:t>
      </w:r>
      <w:r w:rsidR="000E1C2E">
        <w:rPr>
          <w:rFonts w:eastAsiaTheme="minorHAnsi" w:cs="Arial"/>
          <w:color w:val="auto"/>
        </w:rPr>
        <w:t>Z</w:t>
      </w:r>
      <w:r>
        <w:rPr>
          <w:rFonts w:eastAsiaTheme="minorHAnsi" w:cs="Arial"/>
          <w:color w:val="auto"/>
        </w:rPr>
        <w:t xml:space="preserve">one prices for intervals 56 </w:t>
      </w:r>
      <w:r w:rsidR="00C73160">
        <w:rPr>
          <w:rFonts w:eastAsiaTheme="minorHAnsi" w:cs="Arial"/>
          <w:color w:val="auto"/>
        </w:rPr>
        <w:t>-</w:t>
      </w:r>
      <w:r>
        <w:rPr>
          <w:rFonts w:eastAsiaTheme="minorHAnsi" w:cs="Arial"/>
          <w:color w:val="auto"/>
        </w:rPr>
        <w:t xml:space="preserve"> 83 and $5,000+/</w:t>
      </w:r>
      <w:r w:rsidR="000E1C2E">
        <w:rPr>
          <w:rFonts w:eastAsiaTheme="minorHAnsi" w:cs="Arial"/>
          <w:color w:val="auto"/>
        </w:rPr>
        <w:t>MW</w:t>
      </w:r>
      <w:r>
        <w:rPr>
          <w:rFonts w:eastAsiaTheme="minorHAnsi" w:cs="Arial"/>
          <w:color w:val="auto"/>
        </w:rPr>
        <w:t xml:space="preserve">h </w:t>
      </w:r>
      <w:r w:rsidR="000E1C2E">
        <w:rPr>
          <w:rFonts w:eastAsiaTheme="minorHAnsi" w:cs="Arial"/>
          <w:color w:val="auto"/>
        </w:rPr>
        <w:t>L</w:t>
      </w:r>
      <w:r>
        <w:rPr>
          <w:rFonts w:eastAsiaTheme="minorHAnsi" w:cs="Arial"/>
          <w:color w:val="auto"/>
        </w:rPr>
        <w:t xml:space="preserve">oad </w:t>
      </w:r>
      <w:r w:rsidR="000E1C2E">
        <w:rPr>
          <w:rFonts w:eastAsiaTheme="minorHAnsi" w:cs="Arial"/>
          <w:color w:val="auto"/>
        </w:rPr>
        <w:t>Z</w:t>
      </w:r>
      <w:r>
        <w:rPr>
          <w:rFonts w:eastAsiaTheme="minorHAnsi" w:cs="Arial"/>
          <w:color w:val="auto"/>
        </w:rPr>
        <w:t xml:space="preserve">one prices for intervals 77 - 82. ERS was also deployed starting in interval 78. </w:t>
      </w:r>
    </w:p>
    <w:p w14:paraId="558F82B3" w14:textId="77777777" w:rsidR="000B14CC" w:rsidRDefault="000B14CC" w:rsidP="000B14CC">
      <w:pPr>
        <w:spacing w:line="276" w:lineRule="auto"/>
        <w:jc w:val="both"/>
        <w:rPr>
          <w:rFonts w:eastAsiaTheme="minorHAnsi" w:cs="Arial"/>
          <w:color w:val="auto"/>
        </w:rPr>
      </w:pPr>
    </w:p>
    <w:p w14:paraId="7D95F6BF" w14:textId="4AF3055C" w:rsidR="000B14CC" w:rsidRPr="0087608C" w:rsidRDefault="000B14CC" w:rsidP="000B14CC">
      <w:pPr>
        <w:spacing w:line="276" w:lineRule="auto"/>
        <w:jc w:val="both"/>
        <w:rPr>
          <w:rFonts w:eastAsiaTheme="minorHAnsi" w:cs="Arial"/>
          <w:color w:val="auto"/>
        </w:rPr>
      </w:pPr>
      <w:r>
        <w:rPr>
          <w:rFonts w:eastAsiaTheme="minorHAnsi" w:cs="Arial"/>
          <w:color w:val="auto"/>
        </w:rPr>
        <w:lastRenderedPageBreak/>
        <w:t>September 6</w:t>
      </w:r>
      <w:r w:rsidR="00C73160">
        <w:rPr>
          <w:rFonts w:eastAsiaTheme="minorHAnsi" w:cs="Arial"/>
          <w:color w:val="auto"/>
        </w:rPr>
        <w:t xml:space="preserve">, </w:t>
      </w:r>
      <w:proofErr w:type="gramStart"/>
      <w:r w:rsidR="00C73160">
        <w:rPr>
          <w:rFonts w:eastAsiaTheme="minorHAnsi" w:cs="Arial"/>
          <w:color w:val="auto"/>
        </w:rPr>
        <w:t>2023</w:t>
      </w:r>
      <w:proofErr w:type="gramEnd"/>
      <w:r>
        <w:rPr>
          <w:rFonts w:eastAsiaTheme="minorHAnsi" w:cs="Arial"/>
          <w:color w:val="auto"/>
        </w:rPr>
        <w:t xml:space="preserve"> had $1,000+/</w:t>
      </w:r>
      <w:r w:rsidR="000E1C2E">
        <w:rPr>
          <w:rFonts w:eastAsiaTheme="minorHAnsi" w:cs="Arial"/>
          <w:color w:val="auto"/>
        </w:rPr>
        <w:t>MW</w:t>
      </w:r>
      <w:r>
        <w:rPr>
          <w:rFonts w:eastAsiaTheme="minorHAnsi" w:cs="Arial"/>
          <w:color w:val="auto"/>
        </w:rPr>
        <w:t xml:space="preserve">h </w:t>
      </w:r>
      <w:r w:rsidR="000E1C2E">
        <w:rPr>
          <w:rFonts w:eastAsiaTheme="minorHAnsi" w:cs="Arial"/>
          <w:color w:val="auto"/>
        </w:rPr>
        <w:t>L</w:t>
      </w:r>
      <w:r>
        <w:rPr>
          <w:rFonts w:eastAsiaTheme="minorHAnsi" w:cs="Arial"/>
          <w:color w:val="auto"/>
        </w:rPr>
        <w:t xml:space="preserve">oad </w:t>
      </w:r>
      <w:r w:rsidR="000E1C2E">
        <w:rPr>
          <w:rFonts w:eastAsiaTheme="minorHAnsi" w:cs="Arial"/>
          <w:color w:val="auto"/>
        </w:rPr>
        <w:t>Z</w:t>
      </w:r>
      <w:r>
        <w:rPr>
          <w:rFonts w:eastAsiaTheme="minorHAnsi" w:cs="Arial"/>
          <w:color w:val="auto"/>
        </w:rPr>
        <w:t xml:space="preserve">one prices for intervals 60 </w:t>
      </w:r>
      <w:r w:rsidR="00C73160">
        <w:rPr>
          <w:rFonts w:eastAsiaTheme="minorHAnsi" w:cs="Arial"/>
          <w:color w:val="auto"/>
        </w:rPr>
        <w:t>-</w:t>
      </w:r>
      <w:r>
        <w:rPr>
          <w:rFonts w:eastAsiaTheme="minorHAnsi" w:cs="Arial"/>
          <w:color w:val="auto"/>
        </w:rPr>
        <w:t xml:space="preserve"> 69 and 71 - 82 and $5,000+/</w:t>
      </w:r>
      <w:r w:rsidR="000E1C2E">
        <w:rPr>
          <w:rFonts w:eastAsiaTheme="minorHAnsi" w:cs="Arial"/>
          <w:color w:val="auto"/>
        </w:rPr>
        <w:t>MW</w:t>
      </w:r>
      <w:r>
        <w:rPr>
          <w:rFonts w:eastAsiaTheme="minorHAnsi" w:cs="Arial"/>
          <w:color w:val="auto"/>
        </w:rPr>
        <w:t xml:space="preserve">h </w:t>
      </w:r>
      <w:r w:rsidR="000E1C2E">
        <w:rPr>
          <w:rFonts w:eastAsiaTheme="minorHAnsi" w:cs="Arial"/>
          <w:color w:val="auto"/>
        </w:rPr>
        <w:t>L</w:t>
      </w:r>
      <w:r>
        <w:rPr>
          <w:rFonts w:eastAsiaTheme="minorHAnsi" w:cs="Arial"/>
          <w:color w:val="auto"/>
        </w:rPr>
        <w:t xml:space="preserve">oad </w:t>
      </w:r>
      <w:r w:rsidR="000E1C2E">
        <w:rPr>
          <w:rFonts w:eastAsiaTheme="minorHAnsi" w:cs="Arial"/>
          <w:color w:val="auto"/>
        </w:rPr>
        <w:t>Z</w:t>
      </w:r>
      <w:r>
        <w:rPr>
          <w:rFonts w:eastAsiaTheme="minorHAnsi" w:cs="Arial"/>
          <w:color w:val="auto"/>
        </w:rPr>
        <w:t xml:space="preserve">one prices for intervals 64 - 66 and 77 </w:t>
      </w:r>
      <w:r w:rsidR="00C73160">
        <w:rPr>
          <w:rFonts w:eastAsiaTheme="minorHAnsi" w:cs="Arial"/>
          <w:color w:val="auto"/>
        </w:rPr>
        <w:t>-</w:t>
      </w:r>
      <w:r>
        <w:rPr>
          <w:rFonts w:eastAsiaTheme="minorHAnsi" w:cs="Arial"/>
          <w:color w:val="auto"/>
        </w:rPr>
        <w:t xml:space="preserve"> 81.  ERS and Non-controllable Load Resources were also deployed starting in interval 78.</w:t>
      </w:r>
    </w:p>
    <w:p w14:paraId="7D2808E6" w14:textId="5447AC78" w:rsidR="000B14CC" w:rsidRDefault="000B14CC" w:rsidP="000B14CC">
      <w:pPr>
        <w:rPr>
          <w:rFonts w:asciiTheme="majorHAnsi" w:hAnsiTheme="majorHAnsi" w:cstheme="majorHAnsi"/>
          <w:i/>
          <w:iCs/>
          <w:sz w:val="18"/>
          <w:szCs w:val="18"/>
        </w:rPr>
      </w:pPr>
    </w:p>
    <w:p w14:paraId="03EA6827" w14:textId="662583A1" w:rsidR="000B14CC" w:rsidRPr="009D0A92" w:rsidRDefault="000B14CC" w:rsidP="000B14CC">
      <w:pPr>
        <w:pStyle w:val="Caption"/>
        <w:keepNext/>
        <w:spacing w:after="0"/>
        <w:rPr>
          <w:rFonts w:asciiTheme="majorHAnsi" w:hAnsiTheme="majorHAnsi" w:cstheme="majorHAnsi"/>
        </w:rPr>
      </w:pPr>
      <w:r>
        <w:rPr>
          <w:rFonts w:asciiTheme="majorHAnsi" w:hAnsiTheme="majorHAnsi" w:cstheme="majorHAnsi"/>
        </w:rPr>
        <w:t xml:space="preserve">Graph </w:t>
      </w:r>
      <w:r w:rsidR="00002169">
        <w:rPr>
          <w:rFonts w:asciiTheme="majorHAnsi" w:hAnsiTheme="majorHAnsi" w:cstheme="majorHAnsi"/>
        </w:rPr>
        <w:t>6</w:t>
      </w:r>
      <w:r w:rsidR="00C73160">
        <w:rPr>
          <w:rFonts w:asciiTheme="majorHAnsi" w:hAnsiTheme="majorHAnsi" w:cstheme="majorHAnsi"/>
        </w:rPr>
        <w:t>:</w:t>
      </w:r>
      <w:r>
        <w:rPr>
          <w:rFonts w:asciiTheme="majorHAnsi" w:hAnsiTheme="majorHAnsi" w:cstheme="majorHAnsi"/>
        </w:rPr>
        <w:t xml:space="preserve"> System-level Load Reductions for Responding ESIIDs </w:t>
      </w:r>
      <w:r w:rsidRPr="009D0A92">
        <w:rPr>
          <w:rFonts w:asciiTheme="majorHAnsi" w:hAnsiTheme="majorHAnsi" w:cstheme="majorHAnsi"/>
        </w:rPr>
        <w:t xml:space="preserve">based on </w:t>
      </w:r>
      <w:r>
        <w:rPr>
          <w:rFonts w:asciiTheme="majorHAnsi" w:hAnsiTheme="majorHAnsi" w:cstheme="majorHAnsi"/>
        </w:rPr>
        <w:t xml:space="preserve">Summer </w:t>
      </w:r>
      <w:r w:rsidRPr="009D0A92">
        <w:rPr>
          <w:rFonts w:asciiTheme="majorHAnsi" w:hAnsiTheme="majorHAnsi" w:cstheme="majorHAnsi"/>
        </w:rPr>
        <w:t>20</w:t>
      </w:r>
      <w:r>
        <w:rPr>
          <w:rFonts w:asciiTheme="majorHAnsi" w:hAnsiTheme="majorHAnsi" w:cstheme="majorHAnsi"/>
        </w:rPr>
        <w:t>23</w:t>
      </w:r>
      <w:r w:rsidRPr="009D0A92">
        <w:rPr>
          <w:rFonts w:asciiTheme="majorHAnsi" w:hAnsiTheme="majorHAnsi" w:cstheme="majorHAnsi"/>
        </w:rPr>
        <w:t xml:space="preserve"> </w:t>
      </w:r>
      <w:proofErr w:type="gramStart"/>
      <w:r w:rsidRPr="009D0A92">
        <w:rPr>
          <w:rFonts w:asciiTheme="majorHAnsi" w:hAnsiTheme="majorHAnsi" w:cstheme="majorHAnsi"/>
        </w:rPr>
        <w:t>data</w:t>
      </w:r>
      <w:proofErr w:type="gramEnd"/>
    </w:p>
    <w:p w14:paraId="69202AFD" w14:textId="77777777" w:rsidR="000B14CC" w:rsidRDefault="000B14CC" w:rsidP="000B14CC">
      <w:pPr>
        <w:jc w:val="center"/>
        <w:rPr>
          <w:rFonts w:asciiTheme="majorHAnsi" w:hAnsiTheme="majorHAnsi" w:cstheme="majorHAnsi"/>
        </w:rPr>
      </w:pPr>
      <w:r>
        <w:rPr>
          <w:noProof/>
        </w:rPr>
        <w:drawing>
          <wp:inline distT="0" distB="0" distL="0" distR="0" wp14:anchorId="5C973A95" wp14:editId="30AF3B19">
            <wp:extent cx="6001973" cy="4473437"/>
            <wp:effectExtent l="19050" t="19050" r="18415" b="228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807"/>
                    <a:stretch/>
                  </pic:blipFill>
                  <pic:spPr bwMode="auto">
                    <a:xfrm>
                      <a:off x="0" y="0"/>
                      <a:ext cx="6038175" cy="4500419"/>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121E13B0" w14:textId="77777777" w:rsidR="000B14CC" w:rsidRPr="009D0A92" w:rsidRDefault="000B14CC" w:rsidP="000B14CC">
      <w:pPr>
        <w:rPr>
          <w:rFonts w:asciiTheme="majorHAnsi" w:hAnsiTheme="majorHAnsi" w:cstheme="majorHAnsi"/>
        </w:rPr>
      </w:pPr>
    </w:p>
    <w:p w14:paraId="26E6105E" w14:textId="77777777" w:rsidR="000B14CC" w:rsidRDefault="000B14CC" w:rsidP="000B14CC">
      <w:pPr>
        <w:ind w:firstLine="720"/>
        <w:rPr>
          <w:rFonts w:eastAsiaTheme="minorHAnsi" w:cs="Arial"/>
          <w:i/>
          <w:color w:val="auto"/>
        </w:rPr>
      </w:pPr>
    </w:p>
    <w:p w14:paraId="630EC049" w14:textId="77777777" w:rsidR="000B14CC" w:rsidRDefault="000B14CC" w:rsidP="000B14CC">
      <w:pPr>
        <w:spacing w:line="276" w:lineRule="auto"/>
        <w:jc w:val="both"/>
        <w:rPr>
          <w:rFonts w:asciiTheme="majorHAnsi" w:eastAsiaTheme="minorHAnsi" w:hAnsiTheme="majorHAnsi" w:cstheme="majorHAnsi"/>
          <w:color w:val="auto"/>
        </w:rPr>
      </w:pPr>
    </w:p>
    <w:p w14:paraId="47F39E11" w14:textId="77777777" w:rsidR="000B14CC" w:rsidRDefault="000B14CC" w:rsidP="000B14CC">
      <w:pPr>
        <w:spacing w:line="276" w:lineRule="auto"/>
        <w:jc w:val="both"/>
        <w:rPr>
          <w:rFonts w:asciiTheme="majorHAnsi" w:eastAsiaTheme="minorHAnsi" w:hAnsiTheme="majorHAnsi" w:cstheme="majorHAnsi"/>
          <w:color w:val="auto"/>
        </w:rPr>
      </w:pPr>
    </w:p>
    <w:p w14:paraId="6803BB14" w14:textId="77777777" w:rsidR="000B14CC" w:rsidRDefault="000B14CC" w:rsidP="000B14CC">
      <w:pPr>
        <w:spacing w:line="276" w:lineRule="auto"/>
        <w:jc w:val="both"/>
        <w:rPr>
          <w:rFonts w:asciiTheme="majorHAnsi" w:eastAsiaTheme="minorHAnsi" w:hAnsiTheme="majorHAnsi" w:cstheme="majorHAnsi"/>
          <w:color w:val="auto"/>
        </w:rPr>
      </w:pPr>
    </w:p>
    <w:p w14:paraId="722CE45A" w14:textId="77777777" w:rsidR="000B14CC" w:rsidRDefault="000B14CC" w:rsidP="000B14CC">
      <w:pPr>
        <w:pStyle w:val="StyleHeading1Accent1"/>
        <w:numPr>
          <w:ilvl w:val="0"/>
          <w:numId w:val="0"/>
        </w:numPr>
        <w:rPr>
          <w:rFonts w:asciiTheme="majorHAnsi" w:hAnsiTheme="majorHAnsi" w:cstheme="majorHAnsi"/>
        </w:rPr>
      </w:pPr>
    </w:p>
    <w:p w14:paraId="3F4134BA" w14:textId="77777777" w:rsidR="000B14CC" w:rsidRDefault="000B14CC" w:rsidP="000B14CC">
      <w:pPr>
        <w:spacing w:line="276" w:lineRule="auto"/>
        <w:jc w:val="both"/>
        <w:rPr>
          <w:rFonts w:asciiTheme="majorHAnsi" w:eastAsiaTheme="minorHAnsi" w:hAnsiTheme="majorHAnsi" w:cstheme="majorHAnsi"/>
          <w:color w:val="auto"/>
        </w:rPr>
      </w:pPr>
    </w:p>
    <w:p w14:paraId="0E3BA510" w14:textId="77777777" w:rsidR="00C615E4" w:rsidRDefault="00C615E4" w:rsidP="000B14CC">
      <w:pPr>
        <w:spacing w:line="276" w:lineRule="auto"/>
        <w:jc w:val="both"/>
        <w:rPr>
          <w:rFonts w:asciiTheme="majorHAnsi" w:eastAsiaTheme="minorHAnsi" w:hAnsiTheme="majorHAnsi" w:cstheme="majorHAnsi"/>
          <w:color w:val="auto"/>
        </w:rPr>
      </w:pPr>
    </w:p>
    <w:sectPr w:rsidR="00C615E4" w:rsidSect="00514C7B">
      <w:footerReference w:type="default" r:id="rId30"/>
      <w:pgSz w:w="12240" w:h="15840"/>
      <w:pgMar w:top="1080" w:right="1440" w:bottom="1260" w:left="144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32286" w14:textId="77777777" w:rsidR="007E4103" w:rsidRDefault="007E4103">
      <w:r>
        <w:separator/>
      </w:r>
    </w:p>
  </w:endnote>
  <w:endnote w:type="continuationSeparator" w:id="0">
    <w:p w14:paraId="315005FE" w14:textId="77777777" w:rsidR="007E4103" w:rsidRDefault="007E4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FC20C" w14:textId="77777777" w:rsidR="00F96DD8" w:rsidRPr="00F923C7" w:rsidRDefault="00F96DD8" w:rsidP="00302001">
    <w:pPr>
      <w:pStyle w:val="table"/>
      <w:tabs>
        <w:tab w:val="right" w:pos="8460"/>
      </w:tabs>
      <w:rPr>
        <w:color w:val="00ACC8" w:themeColor="accent1"/>
        <w:sz w:val="16"/>
        <w:szCs w:val="16"/>
      </w:rPr>
    </w:pPr>
    <w:r w:rsidRPr="00F923C7">
      <w:rPr>
        <w:rStyle w:val="PageNumber"/>
        <w:color w:val="00ACC8" w:themeColor="accent1"/>
        <w:sz w:val="16"/>
        <w:szCs w:val="16"/>
      </w:rPr>
      <w:t>©</w:t>
    </w:r>
    <w:r>
      <w:rPr>
        <w:rStyle w:val="PageNumber"/>
        <w:color w:val="00ACC8" w:themeColor="accent1"/>
        <w:sz w:val="16"/>
        <w:szCs w:val="16"/>
      </w:rPr>
      <w:t xml:space="preserve"> 2016</w:t>
    </w:r>
    <w:r w:rsidRPr="00F923C7">
      <w:rPr>
        <w:rStyle w:val="PageNumber"/>
        <w:color w:val="00ACC8" w:themeColor="accent1"/>
        <w:sz w:val="16"/>
        <w:szCs w:val="16"/>
      </w:rPr>
      <w:t xml:space="preserve"> ERCOT</w:t>
    </w:r>
    <w:r>
      <w:rPr>
        <w:rStyle w:val="PageNumber"/>
        <w:color w:val="00ACC8" w:themeColor="accent1"/>
        <w:sz w:val="16"/>
        <w:szCs w:val="16"/>
      </w:rPr>
      <w:br/>
    </w:r>
    <w:r w:rsidRPr="00F923C7">
      <w:rPr>
        <w:rStyle w:val="PageNumber"/>
        <w:color w:val="00ACC8" w:themeColor="accent1"/>
        <w:sz w:val="16"/>
        <w:szCs w:val="16"/>
      </w:rPr>
      <w:t>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F96DD8" w14:paraId="7C7A1830" w14:textId="77777777">
      <w:tc>
        <w:tcPr>
          <w:tcW w:w="918" w:type="dxa"/>
        </w:tcPr>
        <w:p w14:paraId="65AE9285" w14:textId="77777777" w:rsidR="00F96DD8" w:rsidRPr="006717B1" w:rsidRDefault="00F96DD8" w:rsidP="00671147">
          <w:pPr>
            <w:pStyle w:val="Footer"/>
          </w:pPr>
          <w:r w:rsidRPr="00AD27B4">
            <w:fldChar w:fldCharType="begin"/>
          </w:r>
          <w:r w:rsidRPr="00AD27B4">
            <w:instrText xml:space="preserve"> PAGE   \* MERGEFORMAT </w:instrText>
          </w:r>
          <w:r w:rsidRPr="00AD27B4">
            <w:fldChar w:fldCharType="separate"/>
          </w:r>
          <w:r>
            <w:rPr>
              <w:noProof/>
            </w:rPr>
            <w:t>2</w:t>
          </w:r>
          <w:r w:rsidRPr="00AD27B4">
            <w:rPr>
              <w:noProof/>
            </w:rPr>
            <w:fldChar w:fldCharType="end"/>
          </w:r>
        </w:p>
      </w:tc>
      <w:tc>
        <w:tcPr>
          <w:tcW w:w="7938" w:type="dxa"/>
        </w:tcPr>
        <w:p w14:paraId="7537E5DC" w14:textId="51867729" w:rsidR="00F96DD8" w:rsidRPr="007111AD" w:rsidRDefault="009A2181" w:rsidP="00671147">
          <w:pPr>
            <w:pStyle w:val="Footer"/>
          </w:pPr>
          <w:r>
            <w:t xml:space="preserve">2023 </w:t>
          </w:r>
          <w:r w:rsidR="00F96DD8" w:rsidRPr="007111AD">
            <w:t>Annual DR Report</w:t>
          </w:r>
          <w:r w:rsidR="00671147">
            <w:t xml:space="preserve"> </w:t>
          </w:r>
          <w:r w:rsidR="00F96DD8" w:rsidRPr="007111AD">
            <w:t>-</w:t>
          </w:r>
          <w:r w:rsidR="00671147">
            <w:t xml:space="preserve"> </w:t>
          </w:r>
          <w:r w:rsidR="00F96DD8">
            <w:t>December</w:t>
          </w:r>
          <w:r w:rsidR="00F96DD8" w:rsidRPr="007111AD">
            <w:t xml:space="preserve"> </w:t>
          </w:r>
          <w:r w:rsidR="00B22A34" w:rsidRPr="007111AD">
            <w:t>20</w:t>
          </w:r>
          <w:r w:rsidR="00B22A34">
            <w:t>2</w:t>
          </w:r>
          <w:r>
            <w:t>3</w:t>
          </w:r>
        </w:p>
      </w:tc>
    </w:tr>
  </w:tbl>
  <w:p w14:paraId="72FEDF99" w14:textId="77777777" w:rsidR="00F96DD8" w:rsidRDefault="00F96DD8" w:rsidP="00671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9F2F8" w14:textId="77777777" w:rsidR="007E4103" w:rsidRDefault="007E4103">
      <w:r>
        <w:separator/>
      </w:r>
    </w:p>
  </w:footnote>
  <w:footnote w:type="continuationSeparator" w:id="0">
    <w:p w14:paraId="3FD436E6" w14:textId="77777777" w:rsidR="007E4103" w:rsidRDefault="007E4103">
      <w:r>
        <w:continuationSeparator/>
      </w:r>
    </w:p>
  </w:footnote>
  <w:footnote w:id="1">
    <w:p w14:paraId="32333A65" w14:textId="3E45CF7F" w:rsidR="00F96DD8" w:rsidRDefault="00F96DD8" w:rsidP="00396BC8">
      <w:pPr>
        <w:pStyle w:val="FootnoteText"/>
        <w:jc w:val="both"/>
      </w:pPr>
      <w:r>
        <w:rPr>
          <w:rStyle w:val="FootnoteReference"/>
        </w:rPr>
        <w:footnoteRef/>
      </w:r>
      <w:r>
        <w:t xml:space="preserve"> ERCOT Protocol </w:t>
      </w:r>
      <w:r w:rsidR="007928D3">
        <w:rPr>
          <w:rFonts w:cs="Arial"/>
        </w:rPr>
        <w:t>§</w:t>
      </w:r>
      <w:r>
        <w:t xml:space="preserve"> 3.10.7.2.2 requires that ERCOT post a Demand response report, on an annual basis, no later than December 31 each calendar year.  </w:t>
      </w:r>
      <w:r w:rsidR="00671147">
        <w:t>B</w:t>
      </w:r>
      <w:r>
        <w:t xml:space="preserve">ecause of the December 31 posting deadline, </w:t>
      </w:r>
      <w:r w:rsidR="005B3632">
        <w:t xml:space="preserve">some sections of </w:t>
      </w:r>
      <w:r>
        <w:t>this report only include data for January through November of 202</w:t>
      </w:r>
      <w:r w:rsidR="00671147">
        <w:t>3</w:t>
      </w:r>
      <w:r>
        <w:t xml:space="preserve">.  </w:t>
      </w:r>
      <w:r w:rsidR="005B3632">
        <w:t>For those sections</w:t>
      </w:r>
      <w:r w:rsidR="000D50DA">
        <w:t>,</w:t>
      </w:r>
      <w:r w:rsidR="005B3632">
        <w:t xml:space="preserve"> d</w:t>
      </w:r>
      <w:r>
        <w:t>ata for December 202</w:t>
      </w:r>
      <w:r w:rsidR="007928D3">
        <w:t>3</w:t>
      </w:r>
      <w:r>
        <w:t xml:space="preserve"> will be included in the annual report posted by ERCOT in December 202</w:t>
      </w:r>
      <w:r w:rsidR="007928D3">
        <w:t>4</w:t>
      </w:r>
      <w:r>
        <w:t>.</w:t>
      </w:r>
    </w:p>
  </w:footnote>
  <w:footnote w:id="2">
    <w:p w14:paraId="5230468C" w14:textId="5E08E544" w:rsidR="00C71BA6" w:rsidRDefault="00C71BA6">
      <w:pPr>
        <w:pStyle w:val="FootnoteText"/>
      </w:pPr>
      <w:r>
        <w:rPr>
          <w:rStyle w:val="FootnoteReference"/>
        </w:rPr>
        <w:footnoteRef/>
      </w:r>
      <w:r>
        <w:t xml:space="preserve"> Available at: </w:t>
      </w:r>
      <w:r w:rsidRPr="00C71BA6">
        <w:t>https://www.ercot.com/services/programs/load/</w:t>
      </w:r>
      <w:r>
        <w:t>.</w:t>
      </w:r>
    </w:p>
  </w:footnote>
  <w:footnote w:id="3">
    <w:p w14:paraId="58B731C2" w14:textId="77777777" w:rsidR="008E299D" w:rsidRDefault="008E299D" w:rsidP="008E299D">
      <w:pPr>
        <w:pStyle w:val="FootnoteText"/>
      </w:pPr>
      <w:r>
        <w:rPr>
          <w:rStyle w:val="FootnoteReference"/>
        </w:rPr>
        <w:footnoteRef/>
      </w:r>
      <w:r>
        <w:t xml:space="preserve"> ERCOT intends to produce an analysis for Settlement-Only Generation price response, but this analysis was not complete at the time of the publishing of this report.  A supplemental report will be published when this analysis is complete. </w:t>
      </w:r>
    </w:p>
  </w:footnote>
  <w:footnote w:id="4">
    <w:p w14:paraId="4D7B072C" w14:textId="77777777" w:rsidR="000B14CC" w:rsidRDefault="000B14CC" w:rsidP="000B14CC">
      <w:pPr>
        <w:pStyle w:val="FootnoteText"/>
        <w:jc w:val="both"/>
      </w:pPr>
      <w:r>
        <w:rPr>
          <w:rStyle w:val="FootnoteReference"/>
        </w:rPr>
        <w:footnoteRef/>
      </w:r>
      <w:r>
        <w:t xml:space="preserve"> From 2014 to 2019, the annual snapshot date for the survey was September 30 of the survey year.</w:t>
      </w:r>
      <w:r w:rsidRPr="008072AC">
        <w:t xml:space="preserve"> </w:t>
      </w:r>
    </w:p>
    <w:p w14:paraId="03CEFBB4" w14:textId="77777777" w:rsidR="000B14CC" w:rsidRDefault="000B14CC" w:rsidP="000B14CC">
      <w:pPr>
        <w:pStyle w:val="FootnoteText"/>
        <w:jc w:val="both"/>
      </w:pPr>
    </w:p>
  </w:footnote>
  <w:footnote w:id="5">
    <w:p w14:paraId="369ADE44" w14:textId="77777777" w:rsidR="000B14CC" w:rsidRDefault="000B14CC" w:rsidP="000B14CC">
      <w:pPr>
        <w:pStyle w:val="FootnoteText"/>
        <w:jc w:val="both"/>
      </w:pPr>
      <w:r>
        <w:rPr>
          <w:rStyle w:val="FootnoteReference"/>
        </w:rPr>
        <w:footnoteRef/>
      </w:r>
      <w:r>
        <w:t xml:space="preserve"> </w:t>
      </w:r>
      <w:r w:rsidRPr="007B0B69">
        <w:t xml:space="preserve">Because time-of-use and variations of free-days/hours products are designed to incent long-term consumption behavior shifts, rather than event-based Demand response, ERCOT </w:t>
      </w:r>
      <w:r>
        <w:t>does not include analysis of those products in this report</w:t>
      </w:r>
      <w:r w:rsidRPr="007B0B69">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AA203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5D6453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C8A0A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48462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5EA25F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0A2A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BEE2A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E2CCE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6FE648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B52240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1F3FDD"/>
    <w:multiLevelType w:val="multilevel"/>
    <w:tmpl w:val="0409001F"/>
    <w:styleLink w:val="111111"/>
    <w:lvl w:ilvl="0">
      <w:start w:val="1"/>
      <w:numFmt w:val="decimal"/>
      <w:lvlText w:val="%1."/>
      <w:lvlJc w:val="left"/>
      <w:pPr>
        <w:ind w:left="360" w:hanging="360"/>
      </w:pPr>
      <w:rPr>
        <w:rFonts w:ascii="Arial" w:hAnsi="Arial"/>
        <w:color w:val="5B6770" w:themeColor="text2"/>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175F65"/>
    <w:multiLevelType w:val="hybridMultilevel"/>
    <w:tmpl w:val="41582A3A"/>
    <w:lvl w:ilvl="0" w:tplc="E5AA6358">
      <w:start w:val="1"/>
      <w:numFmt w:val="bullet"/>
      <w:lvlText w:val=""/>
      <w:lvlJc w:val="left"/>
      <w:pPr>
        <w:tabs>
          <w:tab w:val="num" w:pos="1872"/>
        </w:tabs>
        <w:ind w:left="1872" w:hanging="360"/>
      </w:pPr>
      <w:rPr>
        <w:rFonts w:ascii="Wingdings" w:hAnsi="Wingdings"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77101410">
      <w:start w:val="1"/>
      <w:numFmt w:val="decimal"/>
      <w:pStyle w:val="number"/>
      <w:lvlText w:val="%4."/>
      <w:lvlJc w:val="left"/>
      <w:pPr>
        <w:tabs>
          <w:tab w:val="num" w:pos="4032"/>
        </w:tabs>
        <w:ind w:left="4032" w:hanging="360"/>
      </w:pPr>
      <w:rPr>
        <w:rFonts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2" w15:restartNumberingAfterBreak="0">
    <w:nsid w:val="19F91FD2"/>
    <w:multiLevelType w:val="multilevel"/>
    <w:tmpl w:val="D07A4DB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3960"/>
        </w:tabs>
        <w:ind w:left="3960" w:hanging="720"/>
      </w:pPr>
      <w:rPr>
        <w:rFonts w:hint="default"/>
      </w:rPr>
    </w:lvl>
    <w:lvl w:ilvl="3">
      <w:start w:val="1"/>
      <w:numFmt w:val="decimal"/>
      <w:pStyle w:val="Heading4"/>
      <w:lvlText w:val="%1.%2.%3.%4."/>
      <w:lvlJc w:val="left"/>
      <w:pPr>
        <w:tabs>
          <w:tab w:val="num" w:pos="4867"/>
        </w:tabs>
        <w:ind w:left="5587" w:hanging="1440"/>
      </w:pPr>
      <w:rPr>
        <w:rFonts w:hint="default"/>
      </w:rPr>
    </w:lvl>
    <w:lvl w:ilvl="4">
      <w:start w:val="1"/>
      <w:numFmt w:val="decimal"/>
      <w:lvlText w:val="%1.%2.%3.%4.%5."/>
      <w:lvlJc w:val="left"/>
      <w:pPr>
        <w:tabs>
          <w:tab w:val="num" w:pos="727"/>
        </w:tabs>
        <w:ind w:left="439" w:hanging="792"/>
      </w:pPr>
      <w:rPr>
        <w:rFonts w:hint="default"/>
      </w:rPr>
    </w:lvl>
    <w:lvl w:ilvl="5">
      <w:start w:val="1"/>
      <w:numFmt w:val="decimal"/>
      <w:lvlText w:val="%1.%2.%3.%4.%5.%6."/>
      <w:lvlJc w:val="left"/>
      <w:pPr>
        <w:tabs>
          <w:tab w:val="num" w:pos="1087"/>
        </w:tabs>
        <w:ind w:left="943" w:hanging="936"/>
      </w:pPr>
      <w:rPr>
        <w:rFonts w:hint="default"/>
      </w:rPr>
    </w:lvl>
    <w:lvl w:ilvl="6">
      <w:start w:val="1"/>
      <w:numFmt w:val="decimal"/>
      <w:lvlText w:val="%1.%2.%3.%4.%5.%6.%7."/>
      <w:lvlJc w:val="left"/>
      <w:pPr>
        <w:tabs>
          <w:tab w:val="num" w:pos="1807"/>
        </w:tabs>
        <w:ind w:left="1447" w:hanging="1080"/>
      </w:pPr>
      <w:rPr>
        <w:rFonts w:hint="default"/>
      </w:rPr>
    </w:lvl>
    <w:lvl w:ilvl="7">
      <w:start w:val="1"/>
      <w:numFmt w:val="decimal"/>
      <w:lvlText w:val="%1.%2.%3.%4.%5.%6.%7.%8."/>
      <w:lvlJc w:val="left"/>
      <w:pPr>
        <w:tabs>
          <w:tab w:val="num" w:pos="2167"/>
        </w:tabs>
        <w:ind w:left="1951" w:hanging="1224"/>
      </w:pPr>
      <w:rPr>
        <w:rFonts w:hint="default"/>
      </w:rPr>
    </w:lvl>
    <w:lvl w:ilvl="8">
      <w:start w:val="1"/>
      <w:numFmt w:val="decimal"/>
      <w:lvlText w:val="%1.%2.%3.%4.%5.%6.%7.%8.%9."/>
      <w:lvlJc w:val="left"/>
      <w:pPr>
        <w:tabs>
          <w:tab w:val="num" w:pos="2887"/>
        </w:tabs>
        <w:ind w:left="2527" w:hanging="1440"/>
      </w:pPr>
      <w:rPr>
        <w:rFonts w:hint="default"/>
      </w:rPr>
    </w:lvl>
  </w:abstractNum>
  <w:abstractNum w:abstractNumId="13" w15:restartNumberingAfterBreak="0">
    <w:nsid w:val="1D8B23FF"/>
    <w:multiLevelType w:val="hybridMultilevel"/>
    <w:tmpl w:val="AAC01202"/>
    <w:lvl w:ilvl="0" w:tplc="806AE6D0">
      <w:start w:val="1"/>
      <w:numFmt w:val="bullet"/>
      <w:pStyle w:val="bulletlevel1"/>
      <w:lvlText w:val=""/>
      <w:lvlJc w:val="left"/>
      <w:pPr>
        <w:tabs>
          <w:tab w:val="num" w:pos="1872"/>
        </w:tabs>
        <w:ind w:left="1872" w:hanging="360"/>
      </w:pPr>
      <w:rPr>
        <w:rFonts w:ascii="Wingdings" w:hAnsi="Wingdings" w:hint="default"/>
      </w:rPr>
    </w:lvl>
    <w:lvl w:ilvl="1" w:tplc="ACD86150">
      <w:start w:val="1"/>
      <w:numFmt w:val="bullet"/>
      <w:lvlText w:val="̵"/>
      <w:lvlJc w:val="left"/>
      <w:pPr>
        <w:tabs>
          <w:tab w:val="num" w:pos="2592"/>
        </w:tabs>
        <w:ind w:left="2592" w:hanging="360"/>
      </w:pPr>
      <w:rPr>
        <w:rFonts w:ascii="Arial" w:hAnsi="Arial"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4" w15:restartNumberingAfterBreak="0">
    <w:nsid w:val="266646A3"/>
    <w:multiLevelType w:val="hybridMultilevel"/>
    <w:tmpl w:val="4AEE0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CE04B8C"/>
    <w:multiLevelType w:val="hybridMultilevel"/>
    <w:tmpl w:val="EF005F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E578E6"/>
    <w:multiLevelType w:val="hybridMultilevel"/>
    <w:tmpl w:val="34E80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105FB5"/>
    <w:multiLevelType w:val="hybridMultilevel"/>
    <w:tmpl w:val="61BAB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B5422A7"/>
    <w:multiLevelType w:val="hybridMultilevel"/>
    <w:tmpl w:val="8340A3C8"/>
    <w:lvl w:ilvl="0" w:tplc="CDFAAF0A">
      <w:start w:val="1"/>
      <w:numFmt w:val="bullet"/>
      <w:pStyle w:val="bullet4level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121BA9"/>
    <w:multiLevelType w:val="hybridMultilevel"/>
    <w:tmpl w:val="A3D49C48"/>
    <w:lvl w:ilvl="0" w:tplc="806AE6D0">
      <w:start w:val="1"/>
      <w:numFmt w:val="bullet"/>
      <w:lvlText w:val=""/>
      <w:lvlJc w:val="left"/>
      <w:pPr>
        <w:tabs>
          <w:tab w:val="num" w:pos="1872"/>
        </w:tabs>
        <w:ind w:left="1872" w:hanging="360"/>
      </w:pPr>
      <w:rPr>
        <w:rFonts w:ascii="Wingdings" w:hAnsi="Wingdings" w:hint="default"/>
      </w:rPr>
    </w:lvl>
    <w:lvl w:ilvl="1" w:tplc="BE763C7A">
      <w:start w:val="1"/>
      <w:numFmt w:val="bullet"/>
      <w:lvlText w:val="̵"/>
      <w:lvlJc w:val="left"/>
      <w:pPr>
        <w:tabs>
          <w:tab w:val="num" w:pos="1800"/>
        </w:tabs>
        <w:ind w:left="1800" w:hanging="360"/>
      </w:pPr>
      <w:rPr>
        <w:rFonts w:ascii="Arial" w:hAnsi="Arial"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20" w15:restartNumberingAfterBreak="0">
    <w:nsid w:val="4C7B5223"/>
    <w:multiLevelType w:val="hybridMultilevel"/>
    <w:tmpl w:val="4AEE095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1" w15:restartNumberingAfterBreak="0">
    <w:nsid w:val="513B16D4"/>
    <w:multiLevelType w:val="multilevel"/>
    <w:tmpl w:val="8642300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2196"/>
        </w:tabs>
        <w:ind w:left="21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534B1BCF"/>
    <w:multiLevelType w:val="hybridMultilevel"/>
    <w:tmpl w:val="187E1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4B55A0C"/>
    <w:multiLevelType w:val="hybridMultilevel"/>
    <w:tmpl w:val="87623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946763"/>
    <w:multiLevelType w:val="hybridMultilevel"/>
    <w:tmpl w:val="5AB093BA"/>
    <w:lvl w:ilvl="0" w:tplc="5ABEC632">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D02A9AD4">
      <w:start w:val="1"/>
      <w:numFmt w:val="bullet"/>
      <w:pStyle w:val="bulletlevel3"/>
      <w:lvlText w:val="o"/>
      <w:lvlJc w:val="left"/>
      <w:pPr>
        <w:tabs>
          <w:tab w:val="num" w:pos="1800"/>
        </w:tabs>
        <w:ind w:left="1800" w:hanging="720"/>
      </w:pPr>
      <w:rPr>
        <w:rFonts w:ascii="Courier New" w:hAnsi="Courier New"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5672099B"/>
    <w:multiLevelType w:val="hybridMultilevel"/>
    <w:tmpl w:val="2C38D83C"/>
    <w:lvl w:ilvl="0" w:tplc="1EB2060C">
      <w:start w:val="1"/>
      <w:numFmt w:val="bullet"/>
      <w:pStyle w:val="bulletlevel2"/>
      <w:lvlText w:val="­"/>
      <w:lvlJc w:val="left"/>
      <w:pPr>
        <w:tabs>
          <w:tab w:val="num" w:pos="1800"/>
        </w:tabs>
        <w:ind w:left="1800" w:hanging="360"/>
      </w:pPr>
      <w:rPr>
        <w:rFonts w:ascii="Courier New" w:hAnsi="Courier New" w:hint="default"/>
      </w:rPr>
    </w:lvl>
    <w:lvl w:ilvl="1" w:tplc="035A10EE">
      <w:start w:val="1"/>
      <w:numFmt w:val="bullet"/>
      <w:lvlText w:val="o"/>
      <w:lvlJc w:val="left"/>
      <w:pPr>
        <w:tabs>
          <w:tab w:val="num" w:pos="2016"/>
        </w:tabs>
        <w:ind w:left="2016" w:hanging="360"/>
      </w:pPr>
      <w:rPr>
        <w:rFonts w:ascii="Courier New" w:hAnsi="Courier New" w:cs="Courier New" w:hint="default"/>
      </w:rPr>
    </w:lvl>
    <w:lvl w:ilvl="2" w:tplc="F6500C66">
      <w:start w:val="1"/>
      <w:numFmt w:val="bullet"/>
      <w:lvlText w:val=""/>
      <w:lvlJc w:val="left"/>
      <w:pPr>
        <w:tabs>
          <w:tab w:val="num" w:pos="2736"/>
        </w:tabs>
        <w:ind w:left="2736" w:hanging="360"/>
      </w:pPr>
      <w:rPr>
        <w:rFonts w:ascii="Wingdings" w:hAnsi="Wingdings" w:hint="default"/>
      </w:rPr>
    </w:lvl>
    <w:lvl w:ilvl="3" w:tplc="0AAA7528">
      <w:start w:val="1"/>
      <w:numFmt w:val="bullet"/>
      <w:lvlText w:val=""/>
      <w:lvlJc w:val="left"/>
      <w:pPr>
        <w:tabs>
          <w:tab w:val="num" w:pos="3456"/>
        </w:tabs>
        <w:ind w:left="3456" w:hanging="360"/>
      </w:pPr>
      <w:rPr>
        <w:rFonts w:ascii="Symbol" w:hAnsi="Symbol" w:hint="default"/>
      </w:rPr>
    </w:lvl>
    <w:lvl w:ilvl="4" w:tplc="DF2671B2">
      <w:start w:val="1"/>
      <w:numFmt w:val="bullet"/>
      <w:lvlText w:val="o"/>
      <w:lvlJc w:val="left"/>
      <w:pPr>
        <w:tabs>
          <w:tab w:val="num" w:pos="4176"/>
        </w:tabs>
        <w:ind w:left="4176" w:hanging="360"/>
      </w:pPr>
      <w:rPr>
        <w:rFonts w:ascii="Courier New" w:hAnsi="Courier New" w:cs="Courier New" w:hint="default"/>
      </w:rPr>
    </w:lvl>
    <w:lvl w:ilvl="5" w:tplc="342A805C" w:tentative="1">
      <w:start w:val="1"/>
      <w:numFmt w:val="bullet"/>
      <w:lvlText w:val=""/>
      <w:lvlJc w:val="left"/>
      <w:pPr>
        <w:tabs>
          <w:tab w:val="num" w:pos="4896"/>
        </w:tabs>
        <w:ind w:left="4896" w:hanging="360"/>
      </w:pPr>
      <w:rPr>
        <w:rFonts w:ascii="Wingdings" w:hAnsi="Wingdings" w:hint="default"/>
      </w:rPr>
    </w:lvl>
    <w:lvl w:ilvl="6" w:tplc="C5D2BB68" w:tentative="1">
      <w:start w:val="1"/>
      <w:numFmt w:val="bullet"/>
      <w:lvlText w:val=""/>
      <w:lvlJc w:val="left"/>
      <w:pPr>
        <w:tabs>
          <w:tab w:val="num" w:pos="5616"/>
        </w:tabs>
        <w:ind w:left="5616" w:hanging="360"/>
      </w:pPr>
      <w:rPr>
        <w:rFonts w:ascii="Symbol" w:hAnsi="Symbol" w:hint="default"/>
      </w:rPr>
    </w:lvl>
    <w:lvl w:ilvl="7" w:tplc="0CC08D48" w:tentative="1">
      <w:start w:val="1"/>
      <w:numFmt w:val="bullet"/>
      <w:lvlText w:val="o"/>
      <w:lvlJc w:val="left"/>
      <w:pPr>
        <w:tabs>
          <w:tab w:val="num" w:pos="6336"/>
        </w:tabs>
        <w:ind w:left="6336" w:hanging="360"/>
      </w:pPr>
      <w:rPr>
        <w:rFonts w:ascii="Courier New" w:hAnsi="Courier New" w:cs="Courier New" w:hint="default"/>
      </w:rPr>
    </w:lvl>
    <w:lvl w:ilvl="8" w:tplc="95C42F1E"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5AAA71F3"/>
    <w:multiLevelType w:val="hybridMultilevel"/>
    <w:tmpl w:val="92C87EEE"/>
    <w:lvl w:ilvl="0" w:tplc="2934267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882D91"/>
    <w:multiLevelType w:val="hybridMultilevel"/>
    <w:tmpl w:val="99F25DC0"/>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28" w15:restartNumberingAfterBreak="0">
    <w:nsid w:val="73747E59"/>
    <w:multiLevelType w:val="hybridMultilevel"/>
    <w:tmpl w:val="B7D2A14C"/>
    <w:lvl w:ilvl="0" w:tplc="9F7CFC5A">
      <w:start w:val="1"/>
      <w:numFmt w:val="decimal"/>
      <w:lvlText w:val="%1."/>
      <w:lvlJc w:val="left"/>
      <w:pPr>
        <w:ind w:left="360" w:hanging="360"/>
      </w:pPr>
      <w:rPr>
        <w:rFonts w:hint="default"/>
      </w:r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9" w15:restartNumberingAfterBreak="0">
    <w:nsid w:val="786A452E"/>
    <w:multiLevelType w:val="hybridMultilevel"/>
    <w:tmpl w:val="8CC4C50E"/>
    <w:lvl w:ilvl="0" w:tplc="806AE6D0">
      <w:start w:val="1"/>
      <w:numFmt w:val="bullet"/>
      <w:lvlText w:val=""/>
      <w:lvlJc w:val="left"/>
      <w:pPr>
        <w:tabs>
          <w:tab w:val="num" w:pos="1872"/>
        </w:tabs>
        <w:ind w:left="1872" w:hanging="360"/>
      </w:pPr>
      <w:rPr>
        <w:rFonts w:ascii="Wingdings" w:hAnsi="Wingdings" w:hint="default"/>
      </w:rPr>
    </w:lvl>
    <w:lvl w:ilvl="1" w:tplc="21841D28">
      <w:start w:val="1"/>
      <w:numFmt w:val="bullet"/>
      <w:lvlText w:val="̶"/>
      <w:lvlJc w:val="left"/>
      <w:pPr>
        <w:tabs>
          <w:tab w:val="num" w:pos="2592"/>
        </w:tabs>
        <w:ind w:left="2592" w:hanging="360"/>
      </w:pPr>
      <w:rPr>
        <w:rFonts w:ascii="Arial" w:hAnsi="Arial"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30" w15:restartNumberingAfterBreak="0">
    <w:nsid w:val="7BC87FCB"/>
    <w:multiLevelType w:val="hybridMultilevel"/>
    <w:tmpl w:val="AC8C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2744359">
    <w:abstractNumId w:val="13"/>
  </w:num>
  <w:num w:numId="2" w16cid:durableId="8602583">
    <w:abstractNumId w:val="25"/>
  </w:num>
  <w:num w:numId="3" w16cid:durableId="1220286180">
    <w:abstractNumId w:val="21"/>
  </w:num>
  <w:num w:numId="4" w16cid:durableId="177698677">
    <w:abstractNumId w:val="24"/>
  </w:num>
  <w:num w:numId="5" w16cid:durableId="452797272">
    <w:abstractNumId w:val="11"/>
  </w:num>
  <w:num w:numId="6" w16cid:durableId="432945531">
    <w:abstractNumId w:val="12"/>
  </w:num>
  <w:num w:numId="7" w16cid:durableId="558638477">
    <w:abstractNumId w:val="9"/>
  </w:num>
  <w:num w:numId="8" w16cid:durableId="469590877">
    <w:abstractNumId w:val="7"/>
  </w:num>
  <w:num w:numId="9" w16cid:durableId="1104037795">
    <w:abstractNumId w:val="6"/>
  </w:num>
  <w:num w:numId="10" w16cid:durableId="1093627429">
    <w:abstractNumId w:val="5"/>
  </w:num>
  <w:num w:numId="11" w16cid:durableId="791173757">
    <w:abstractNumId w:val="4"/>
  </w:num>
  <w:num w:numId="12" w16cid:durableId="2004552604">
    <w:abstractNumId w:val="18"/>
  </w:num>
  <w:num w:numId="13" w16cid:durableId="1989360638">
    <w:abstractNumId w:val="10"/>
  </w:num>
  <w:num w:numId="14" w16cid:durableId="107356168">
    <w:abstractNumId w:val="8"/>
  </w:num>
  <w:num w:numId="15" w16cid:durableId="967125210">
    <w:abstractNumId w:val="3"/>
  </w:num>
  <w:num w:numId="16" w16cid:durableId="130828727">
    <w:abstractNumId w:val="2"/>
  </w:num>
  <w:num w:numId="17" w16cid:durableId="1333995553">
    <w:abstractNumId w:val="1"/>
  </w:num>
  <w:num w:numId="18" w16cid:durableId="457839016">
    <w:abstractNumId w:val="0"/>
  </w:num>
  <w:num w:numId="19" w16cid:durableId="881401045">
    <w:abstractNumId w:val="29"/>
  </w:num>
  <w:num w:numId="20" w16cid:durableId="99692590">
    <w:abstractNumId w:val="19"/>
  </w:num>
  <w:num w:numId="21" w16cid:durableId="619066564">
    <w:abstractNumId w:val="15"/>
  </w:num>
  <w:num w:numId="22" w16cid:durableId="1870878218">
    <w:abstractNumId w:val="22"/>
  </w:num>
  <w:num w:numId="23" w16cid:durableId="19930962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61966147">
    <w:abstractNumId w:val="22"/>
  </w:num>
  <w:num w:numId="25" w16cid:durableId="1248732651">
    <w:abstractNumId w:val="17"/>
  </w:num>
  <w:num w:numId="26" w16cid:durableId="12263395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06600508">
    <w:abstractNumId w:val="14"/>
  </w:num>
  <w:num w:numId="28" w16cid:durableId="494027513">
    <w:abstractNumId w:val="27"/>
  </w:num>
  <w:num w:numId="29" w16cid:durableId="841548257">
    <w:abstractNumId w:val="16"/>
  </w:num>
  <w:num w:numId="30" w16cid:durableId="792678318">
    <w:abstractNumId w:val="28"/>
  </w:num>
  <w:num w:numId="31" w16cid:durableId="1664353829">
    <w:abstractNumId w:val="23"/>
  </w:num>
  <w:num w:numId="32" w16cid:durableId="936904326">
    <w:abstractNumId w:val="30"/>
  </w:num>
  <w:num w:numId="33" w16cid:durableId="2147314453">
    <w:abstractNumId w:val="26"/>
  </w:num>
  <w:num w:numId="34" w16cid:durableId="1664698415">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8F1"/>
    <w:rsid w:val="0000070E"/>
    <w:rsid w:val="0000200C"/>
    <w:rsid w:val="00002163"/>
    <w:rsid w:val="00002169"/>
    <w:rsid w:val="00002ABE"/>
    <w:rsid w:val="00003304"/>
    <w:rsid w:val="00003986"/>
    <w:rsid w:val="000056F2"/>
    <w:rsid w:val="00005FE3"/>
    <w:rsid w:val="00011131"/>
    <w:rsid w:val="00016333"/>
    <w:rsid w:val="00016FF6"/>
    <w:rsid w:val="00017ECE"/>
    <w:rsid w:val="00020834"/>
    <w:rsid w:val="00021320"/>
    <w:rsid w:val="00021C9A"/>
    <w:rsid w:val="00023149"/>
    <w:rsid w:val="00023BF3"/>
    <w:rsid w:val="00024430"/>
    <w:rsid w:val="00024EF7"/>
    <w:rsid w:val="00026313"/>
    <w:rsid w:val="00026479"/>
    <w:rsid w:val="00030FF6"/>
    <w:rsid w:val="00031636"/>
    <w:rsid w:val="00033E63"/>
    <w:rsid w:val="000346A3"/>
    <w:rsid w:val="000346F4"/>
    <w:rsid w:val="00035D2F"/>
    <w:rsid w:val="00036E69"/>
    <w:rsid w:val="00036F6E"/>
    <w:rsid w:val="000378D5"/>
    <w:rsid w:val="00037B46"/>
    <w:rsid w:val="00037C30"/>
    <w:rsid w:val="0004057A"/>
    <w:rsid w:val="000407F4"/>
    <w:rsid w:val="0004665D"/>
    <w:rsid w:val="00046794"/>
    <w:rsid w:val="00046FC2"/>
    <w:rsid w:val="00050021"/>
    <w:rsid w:val="00051980"/>
    <w:rsid w:val="00051C80"/>
    <w:rsid w:val="000532C9"/>
    <w:rsid w:val="000536DF"/>
    <w:rsid w:val="00056082"/>
    <w:rsid w:val="00061DAF"/>
    <w:rsid w:val="00062311"/>
    <w:rsid w:val="00063F24"/>
    <w:rsid w:val="00065155"/>
    <w:rsid w:val="00065774"/>
    <w:rsid w:val="000660FD"/>
    <w:rsid w:val="0007013F"/>
    <w:rsid w:val="0007030C"/>
    <w:rsid w:val="00071C4D"/>
    <w:rsid w:val="0007384F"/>
    <w:rsid w:val="000739E0"/>
    <w:rsid w:val="00074EC8"/>
    <w:rsid w:val="00076B90"/>
    <w:rsid w:val="00076BF6"/>
    <w:rsid w:val="00080052"/>
    <w:rsid w:val="00082816"/>
    <w:rsid w:val="0008593E"/>
    <w:rsid w:val="00086FAF"/>
    <w:rsid w:val="00092C31"/>
    <w:rsid w:val="000942B2"/>
    <w:rsid w:val="000971C8"/>
    <w:rsid w:val="0009742D"/>
    <w:rsid w:val="00097ACC"/>
    <w:rsid w:val="000A34D9"/>
    <w:rsid w:val="000A55C1"/>
    <w:rsid w:val="000A6A4E"/>
    <w:rsid w:val="000A6C95"/>
    <w:rsid w:val="000A724A"/>
    <w:rsid w:val="000A7861"/>
    <w:rsid w:val="000B0A53"/>
    <w:rsid w:val="000B14CC"/>
    <w:rsid w:val="000B15BD"/>
    <w:rsid w:val="000B2A1D"/>
    <w:rsid w:val="000B376B"/>
    <w:rsid w:val="000B538D"/>
    <w:rsid w:val="000B69F9"/>
    <w:rsid w:val="000C0410"/>
    <w:rsid w:val="000C1913"/>
    <w:rsid w:val="000C1A27"/>
    <w:rsid w:val="000C3C77"/>
    <w:rsid w:val="000C6FDE"/>
    <w:rsid w:val="000C6FF3"/>
    <w:rsid w:val="000D002F"/>
    <w:rsid w:val="000D16B3"/>
    <w:rsid w:val="000D3FAF"/>
    <w:rsid w:val="000D50DA"/>
    <w:rsid w:val="000D63C1"/>
    <w:rsid w:val="000D6DAD"/>
    <w:rsid w:val="000D71D1"/>
    <w:rsid w:val="000D73B4"/>
    <w:rsid w:val="000D7806"/>
    <w:rsid w:val="000E0F9B"/>
    <w:rsid w:val="000E14F5"/>
    <w:rsid w:val="000E1882"/>
    <w:rsid w:val="000E1C2E"/>
    <w:rsid w:val="000E3A97"/>
    <w:rsid w:val="000E3E8A"/>
    <w:rsid w:val="000E55D9"/>
    <w:rsid w:val="000F338C"/>
    <w:rsid w:val="000F3618"/>
    <w:rsid w:val="000F4108"/>
    <w:rsid w:val="000F5056"/>
    <w:rsid w:val="000F5FB3"/>
    <w:rsid w:val="000F7238"/>
    <w:rsid w:val="001004EA"/>
    <w:rsid w:val="001004F7"/>
    <w:rsid w:val="0010083E"/>
    <w:rsid w:val="00100C1A"/>
    <w:rsid w:val="001022AF"/>
    <w:rsid w:val="001022DB"/>
    <w:rsid w:val="00103BA3"/>
    <w:rsid w:val="00105C48"/>
    <w:rsid w:val="001079F3"/>
    <w:rsid w:val="0011023C"/>
    <w:rsid w:val="001115E2"/>
    <w:rsid w:val="0011359E"/>
    <w:rsid w:val="00113DDA"/>
    <w:rsid w:val="00114A14"/>
    <w:rsid w:val="001172B2"/>
    <w:rsid w:val="0011740E"/>
    <w:rsid w:val="00121334"/>
    <w:rsid w:val="001216AE"/>
    <w:rsid w:val="00123A43"/>
    <w:rsid w:val="001244B1"/>
    <w:rsid w:val="00132EB5"/>
    <w:rsid w:val="00133E78"/>
    <w:rsid w:val="001349CB"/>
    <w:rsid w:val="0013523E"/>
    <w:rsid w:val="00135431"/>
    <w:rsid w:val="00136EB5"/>
    <w:rsid w:val="00140604"/>
    <w:rsid w:val="00140646"/>
    <w:rsid w:val="0014079F"/>
    <w:rsid w:val="00141157"/>
    <w:rsid w:val="00141ED7"/>
    <w:rsid w:val="001420B4"/>
    <w:rsid w:val="001433D2"/>
    <w:rsid w:val="00144561"/>
    <w:rsid w:val="00145827"/>
    <w:rsid w:val="0014705D"/>
    <w:rsid w:val="0015049D"/>
    <w:rsid w:val="00150940"/>
    <w:rsid w:val="00151B27"/>
    <w:rsid w:val="001524AC"/>
    <w:rsid w:val="00153346"/>
    <w:rsid w:val="001544A0"/>
    <w:rsid w:val="001547F4"/>
    <w:rsid w:val="00155E89"/>
    <w:rsid w:val="00156B29"/>
    <w:rsid w:val="0016064E"/>
    <w:rsid w:val="00162DFB"/>
    <w:rsid w:val="00164561"/>
    <w:rsid w:val="00164B89"/>
    <w:rsid w:val="00165001"/>
    <w:rsid w:val="00166661"/>
    <w:rsid w:val="00166A8A"/>
    <w:rsid w:val="00170E99"/>
    <w:rsid w:val="0017100B"/>
    <w:rsid w:val="00172D20"/>
    <w:rsid w:val="00175420"/>
    <w:rsid w:val="0017768A"/>
    <w:rsid w:val="00177778"/>
    <w:rsid w:val="00180839"/>
    <w:rsid w:val="00183540"/>
    <w:rsid w:val="00183D28"/>
    <w:rsid w:val="00183E04"/>
    <w:rsid w:val="00185C59"/>
    <w:rsid w:val="00185F19"/>
    <w:rsid w:val="001861A1"/>
    <w:rsid w:val="0019071B"/>
    <w:rsid w:val="00191587"/>
    <w:rsid w:val="00191A0B"/>
    <w:rsid w:val="00194003"/>
    <w:rsid w:val="00194B9A"/>
    <w:rsid w:val="00194E63"/>
    <w:rsid w:val="00197AC9"/>
    <w:rsid w:val="001A131B"/>
    <w:rsid w:val="001A1B56"/>
    <w:rsid w:val="001A3AC3"/>
    <w:rsid w:val="001A49F4"/>
    <w:rsid w:val="001A7021"/>
    <w:rsid w:val="001B1309"/>
    <w:rsid w:val="001B2A3E"/>
    <w:rsid w:val="001B2B9A"/>
    <w:rsid w:val="001B3654"/>
    <w:rsid w:val="001B44FC"/>
    <w:rsid w:val="001B5E56"/>
    <w:rsid w:val="001B5EA9"/>
    <w:rsid w:val="001B6121"/>
    <w:rsid w:val="001C1B66"/>
    <w:rsid w:val="001C25FF"/>
    <w:rsid w:val="001C29C2"/>
    <w:rsid w:val="001C34F6"/>
    <w:rsid w:val="001C53C6"/>
    <w:rsid w:val="001C6428"/>
    <w:rsid w:val="001D00C7"/>
    <w:rsid w:val="001D16DD"/>
    <w:rsid w:val="001D1896"/>
    <w:rsid w:val="001D200D"/>
    <w:rsid w:val="001D2D22"/>
    <w:rsid w:val="001D3CD4"/>
    <w:rsid w:val="001D4A2D"/>
    <w:rsid w:val="001D6AFE"/>
    <w:rsid w:val="001D6BD0"/>
    <w:rsid w:val="001E376F"/>
    <w:rsid w:val="001E74AE"/>
    <w:rsid w:val="001E75E6"/>
    <w:rsid w:val="001F02CD"/>
    <w:rsid w:val="001F117F"/>
    <w:rsid w:val="001F12C8"/>
    <w:rsid w:val="001F1640"/>
    <w:rsid w:val="001F27CF"/>
    <w:rsid w:val="001F362E"/>
    <w:rsid w:val="001F36CA"/>
    <w:rsid w:val="001F3F1B"/>
    <w:rsid w:val="001F4237"/>
    <w:rsid w:val="001F6DE1"/>
    <w:rsid w:val="001F7C8D"/>
    <w:rsid w:val="00200290"/>
    <w:rsid w:val="00200FEB"/>
    <w:rsid w:val="00202D4D"/>
    <w:rsid w:val="00203190"/>
    <w:rsid w:val="00204369"/>
    <w:rsid w:val="002060D7"/>
    <w:rsid w:val="00211787"/>
    <w:rsid w:val="002118C9"/>
    <w:rsid w:val="002129A3"/>
    <w:rsid w:val="0021708C"/>
    <w:rsid w:val="00217A38"/>
    <w:rsid w:val="00220EE6"/>
    <w:rsid w:val="002227A5"/>
    <w:rsid w:val="00223F83"/>
    <w:rsid w:val="00224872"/>
    <w:rsid w:val="002251B3"/>
    <w:rsid w:val="00230AD9"/>
    <w:rsid w:val="00230C1B"/>
    <w:rsid w:val="002326F0"/>
    <w:rsid w:val="002336FB"/>
    <w:rsid w:val="00234B7B"/>
    <w:rsid w:val="002357C8"/>
    <w:rsid w:val="00235BC7"/>
    <w:rsid w:val="0023748A"/>
    <w:rsid w:val="00237F2B"/>
    <w:rsid w:val="0024094C"/>
    <w:rsid w:val="002412A9"/>
    <w:rsid w:val="002417D2"/>
    <w:rsid w:val="00241BEF"/>
    <w:rsid w:val="00243795"/>
    <w:rsid w:val="00244ABA"/>
    <w:rsid w:val="002450D0"/>
    <w:rsid w:val="0025322A"/>
    <w:rsid w:val="002535DA"/>
    <w:rsid w:val="00254584"/>
    <w:rsid w:val="00254EDE"/>
    <w:rsid w:val="00255329"/>
    <w:rsid w:val="0025762A"/>
    <w:rsid w:val="00257946"/>
    <w:rsid w:val="00257D7F"/>
    <w:rsid w:val="00260AD3"/>
    <w:rsid w:val="002622DC"/>
    <w:rsid w:val="00263E95"/>
    <w:rsid w:val="00264486"/>
    <w:rsid w:val="00272F5D"/>
    <w:rsid w:val="00273C00"/>
    <w:rsid w:val="002740EA"/>
    <w:rsid w:val="002753DA"/>
    <w:rsid w:val="002757BE"/>
    <w:rsid w:val="00275E59"/>
    <w:rsid w:val="00276D89"/>
    <w:rsid w:val="00276F60"/>
    <w:rsid w:val="002801D8"/>
    <w:rsid w:val="0028062B"/>
    <w:rsid w:val="00281B16"/>
    <w:rsid w:val="0028233A"/>
    <w:rsid w:val="002825A6"/>
    <w:rsid w:val="00283424"/>
    <w:rsid w:val="00283805"/>
    <w:rsid w:val="00286CE3"/>
    <w:rsid w:val="00287AC3"/>
    <w:rsid w:val="002928E2"/>
    <w:rsid w:val="002929E6"/>
    <w:rsid w:val="002931CE"/>
    <w:rsid w:val="002939B3"/>
    <w:rsid w:val="00294CC0"/>
    <w:rsid w:val="002963CA"/>
    <w:rsid w:val="002972D1"/>
    <w:rsid w:val="00297D8C"/>
    <w:rsid w:val="002A021F"/>
    <w:rsid w:val="002A1200"/>
    <w:rsid w:val="002A1F57"/>
    <w:rsid w:val="002A2B82"/>
    <w:rsid w:val="002A30F7"/>
    <w:rsid w:val="002A486C"/>
    <w:rsid w:val="002A67D1"/>
    <w:rsid w:val="002A758D"/>
    <w:rsid w:val="002B12C8"/>
    <w:rsid w:val="002B1C1F"/>
    <w:rsid w:val="002B2E41"/>
    <w:rsid w:val="002B2FE4"/>
    <w:rsid w:val="002B5182"/>
    <w:rsid w:val="002B58A6"/>
    <w:rsid w:val="002B6A97"/>
    <w:rsid w:val="002B73AE"/>
    <w:rsid w:val="002B740E"/>
    <w:rsid w:val="002C0C38"/>
    <w:rsid w:val="002C156B"/>
    <w:rsid w:val="002C49F7"/>
    <w:rsid w:val="002C5793"/>
    <w:rsid w:val="002C73FB"/>
    <w:rsid w:val="002C7EB1"/>
    <w:rsid w:val="002D10AF"/>
    <w:rsid w:val="002D1965"/>
    <w:rsid w:val="002D1BD6"/>
    <w:rsid w:val="002D1D24"/>
    <w:rsid w:val="002D498C"/>
    <w:rsid w:val="002D4D91"/>
    <w:rsid w:val="002E1154"/>
    <w:rsid w:val="002E21FD"/>
    <w:rsid w:val="002E2AA1"/>
    <w:rsid w:val="002E55A1"/>
    <w:rsid w:val="002E605E"/>
    <w:rsid w:val="002F199F"/>
    <w:rsid w:val="002F1CCD"/>
    <w:rsid w:val="002F1CD1"/>
    <w:rsid w:val="002F268D"/>
    <w:rsid w:val="002F3EC7"/>
    <w:rsid w:val="002F5213"/>
    <w:rsid w:val="002F56C2"/>
    <w:rsid w:val="002F57E2"/>
    <w:rsid w:val="002F58B7"/>
    <w:rsid w:val="002F68F1"/>
    <w:rsid w:val="002F6EC2"/>
    <w:rsid w:val="002F7D53"/>
    <w:rsid w:val="00300E27"/>
    <w:rsid w:val="00302001"/>
    <w:rsid w:val="0030207C"/>
    <w:rsid w:val="00305AC8"/>
    <w:rsid w:val="003108E0"/>
    <w:rsid w:val="003119F7"/>
    <w:rsid w:val="0031213C"/>
    <w:rsid w:val="003143FB"/>
    <w:rsid w:val="003145E5"/>
    <w:rsid w:val="003160CA"/>
    <w:rsid w:val="00316161"/>
    <w:rsid w:val="00321108"/>
    <w:rsid w:val="00321457"/>
    <w:rsid w:val="00321ECD"/>
    <w:rsid w:val="00322717"/>
    <w:rsid w:val="0032342A"/>
    <w:rsid w:val="00323F72"/>
    <w:rsid w:val="00324B55"/>
    <w:rsid w:val="00324F31"/>
    <w:rsid w:val="00326937"/>
    <w:rsid w:val="00327C98"/>
    <w:rsid w:val="00331151"/>
    <w:rsid w:val="00332C24"/>
    <w:rsid w:val="00332E29"/>
    <w:rsid w:val="00332E5E"/>
    <w:rsid w:val="00334865"/>
    <w:rsid w:val="003348A5"/>
    <w:rsid w:val="00335972"/>
    <w:rsid w:val="00335E4C"/>
    <w:rsid w:val="00335ED9"/>
    <w:rsid w:val="00335F35"/>
    <w:rsid w:val="00337B14"/>
    <w:rsid w:val="00342345"/>
    <w:rsid w:val="003434F9"/>
    <w:rsid w:val="00344BF0"/>
    <w:rsid w:val="00347234"/>
    <w:rsid w:val="003474E5"/>
    <w:rsid w:val="00347903"/>
    <w:rsid w:val="00347BB4"/>
    <w:rsid w:val="0035042E"/>
    <w:rsid w:val="00352626"/>
    <w:rsid w:val="0035498B"/>
    <w:rsid w:val="00354AEF"/>
    <w:rsid w:val="00354F42"/>
    <w:rsid w:val="00355C0B"/>
    <w:rsid w:val="00357BD3"/>
    <w:rsid w:val="00362EE2"/>
    <w:rsid w:val="00362FC8"/>
    <w:rsid w:val="0036371D"/>
    <w:rsid w:val="00363D03"/>
    <w:rsid w:val="00364865"/>
    <w:rsid w:val="00364CEE"/>
    <w:rsid w:val="00366EB9"/>
    <w:rsid w:val="00367E76"/>
    <w:rsid w:val="00367F33"/>
    <w:rsid w:val="003700A3"/>
    <w:rsid w:val="00370519"/>
    <w:rsid w:val="00371AA5"/>
    <w:rsid w:val="00371E82"/>
    <w:rsid w:val="00372A69"/>
    <w:rsid w:val="00372F2A"/>
    <w:rsid w:val="00375CCE"/>
    <w:rsid w:val="0037733A"/>
    <w:rsid w:val="00380A0F"/>
    <w:rsid w:val="0038226F"/>
    <w:rsid w:val="00383089"/>
    <w:rsid w:val="003835CB"/>
    <w:rsid w:val="00383EEE"/>
    <w:rsid w:val="00384B5E"/>
    <w:rsid w:val="00385204"/>
    <w:rsid w:val="00385325"/>
    <w:rsid w:val="003858A2"/>
    <w:rsid w:val="00386149"/>
    <w:rsid w:val="0038636F"/>
    <w:rsid w:val="00387971"/>
    <w:rsid w:val="00387ED6"/>
    <w:rsid w:val="00390091"/>
    <w:rsid w:val="00390A89"/>
    <w:rsid w:val="00394D9D"/>
    <w:rsid w:val="00396BC8"/>
    <w:rsid w:val="00397FD4"/>
    <w:rsid w:val="003A0A45"/>
    <w:rsid w:val="003A13BB"/>
    <w:rsid w:val="003B0C6B"/>
    <w:rsid w:val="003B23AC"/>
    <w:rsid w:val="003B32A9"/>
    <w:rsid w:val="003B3438"/>
    <w:rsid w:val="003B3CD5"/>
    <w:rsid w:val="003B4577"/>
    <w:rsid w:val="003B59E6"/>
    <w:rsid w:val="003B75E0"/>
    <w:rsid w:val="003C0537"/>
    <w:rsid w:val="003C0B0E"/>
    <w:rsid w:val="003C221E"/>
    <w:rsid w:val="003C4E29"/>
    <w:rsid w:val="003C5767"/>
    <w:rsid w:val="003C7758"/>
    <w:rsid w:val="003C7ADB"/>
    <w:rsid w:val="003D41E6"/>
    <w:rsid w:val="003D4462"/>
    <w:rsid w:val="003E38DC"/>
    <w:rsid w:val="003E513D"/>
    <w:rsid w:val="003E62E1"/>
    <w:rsid w:val="003E6374"/>
    <w:rsid w:val="003E676C"/>
    <w:rsid w:val="003E67BA"/>
    <w:rsid w:val="003F2B5A"/>
    <w:rsid w:val="003F2E87"/>
    <w:rsid w:val="003F2FE1"/>
    <w:rsid w:val="003F3D05"/>
    <w:rsid w:val="003F6439"/>
    <w:rsid w:val="003F6BE0"/>
    <w:rsid w:val="003F7B1C"/>
    <w:rsid w:val="00400806"/>
    <w:rsid w:val="004021F0"/>
    <w:rsid w:val="004022D2"/>
    <w:rsid w:val="0040249F"/>
    <w:rsid w:val="004026C3"/>
    <w:rsid w:val="004027BB"/>
    <w:rsid w:val="00402C12"/>
    <w:rsid w:val="00402F35"/>
    <w:rsid w:val="004052C0"/>
    <w:rsid w:val="0040633B"/>
    <w:rsid w:val="004073DE"/>
    <w:rsid w:val="0040789D"/>
    <w:rsid w:val="00411B1B"/>
    <w:rsid w:val="00412CFB"/>
    <w:rsid w:val="0041518E"/>
    <w:rsid w:val="00416AF2"/>
    <w:rsid w:val="004170E9"/>
    <w:rsid w:val="0042023A"/>
    <w:rsid w:val="0042112D"/>
    <w:rsid w:val="00421443"/>
    <w:rsid w:val="00422C7B"/>
    <w:rsid w:val="0042378B"/>
    <w:rsid w:val="00423C7A"/>
    <w:rsid w:val="0042443B"/>
    <w:rsid w:val="0042473F"/>
    <w:rsid w:val="004247A7"/>
    <w:rsid w:val="00426CE8"/>
    <w:rsid w:val="0043025C"/>
    <w:rsid w:val="00431327"/>
    <w:rsid w:val="00431329"/>
    <w:rsid w:val="00431912"/>
    <w:rsid w:val="00431C94"/>
    <w:rsid w:val="00432FE8"/>
    <w:rsid w:val="004330A5"/>
    <w:rsid w:val="00433283"/>
    <w:rsid w:val="00434E97"/>
    <w:rsid w:val="00434FC4"/>
    <w:rsid w:val="00435302"/>
    <w:rsid w:val="00435598"/>
    <w:rsid w:val="0044031F"/>
    <w:rsid w:val="004406A8"/>
    <w:rsid w:val="00441AFB"/>
    <w:rsid w:val="00441D3A"/>
    <w:rsid w:val="00443DF2"/>
    <w:rsid w:val="0044594C"/>
    <w:rsid w:val="00446D80"/>
    <w:rsid w:val="00447133"/>
    <w:rsid w:val="004472D5"/>
    <w:rsid w:val="004504E7"/>
    <w:rsid w:val="004510CB"/>
    <w:rsid w:val="00451280"/>
    <w:rsid w:val="004516E2"/>
    <w:rsid w:val="004533E3"/>
    <w:rsid w:val="00455A55"/>
    <w:rsid w:val="004573DE"/>
    <w:rsid w:val="004577B0"/>
    <w:rsid w:val="00457BDE"/>
    <w:rsid w:val="00457E70"/>
    <w:rsid w:val="00460F6D"/>
    <w:rsid w:val="00461674"/>
    <w:rsid w:val="00461A88"/>
    <w:rsid w:val="00462073"/>
    <w:rsid w:val="004621A1"/>
    <w:rsid w:val="00462B08"/>
    <w:rsid w:val="00462B49"/>
    <w:rsid w:val="004630C0"/>
    <w:rsid w:val="00466071"/>
    <w:rsid w:val="004676AC"/>
    <w:rsid w:val="00467AD6"/>
    <w:rsid w:val="00471667"/>
    <w:rsid w:val="00471863"/>
    <w:rsid w:val="00471D27"/>
    <w:rsid w:val="00472B69"/>
    <w:rsid w:val="004734CD"/>
    <w:rsid w:val="00476720"/>
    <w:rsid w:val="00481830"/>
    <w:rsid w:val="004822CF"/>
    <w:rsid w:val="0048325F"/>
    <w:rsid w:val="00483FA6"/>
    <w:rsid w:val="004860E1"/>
    <w:rsid w:val="00487CE1"/>
    <w:rsid w:val="00490662"/>
    <w:rsid w:val="00491557"/>
    <w:rsid w:val="00493737"/>
    <w:rsid w:val="00493EB8"/>
    <w:rsid w:val="00493F86"/>
    <w:rsid w:val="0049468C"/>
    <w:rsid w:val="00494EE0"/>
    <w:rsid w:val="0049510B"/>
    <w:rsid w:val="004957F1"/>
    <w:rsid w:val="00496D90"/>
    <w:rsid w:val="00496F7B"/>
    <w:rsid w:val="00496FF6"/>
    <w:rsid w:val="00497932"/>
    <w:rsid w:val="00497D58"/>
    <w:rsid w:val="004A0463"/>
    <w:rsid w:val="004A1374"/>
    <w:rsid w:val="004A161D"/>
    <w:rsid w:val="004A2903"/>
    <w:rsid w:val="004A3138"/>
    <w:rsid w:val="004A4564"/>
    <w:rsid w:val="004A4B60"/>
    <w:rsid w:val="004A5365"/>
    <w:rsid w:val="004A7CEE"/>
    <w:rsid w:val="004B0F46"/>
    <w:rsid w:val="004B114F"/>
    <w:rsid w:val="004B1C2F"/>
    <w:rsid w:val="004B2095"/>
    <w:rsid w:val="004B3BB0"/>
    <w:rsid w:val="004B3F56"/>
    <w:rsid w:val="004B4CB9"/>
    <w:rsid w:val="004B5B63"/>
    <w:rsid w:val="004B5C9A"/>
    <w:rsid w:val="004B7256"/>
    <w:rsid w:val="004B7B20"/>
    <w:rsid w:val="004C31F6"/>
    <w:rsid w:val="004C345E"/>
    <w:rsid w:val="004C3A40"/>
    <w:rsid w:val="004C474C"/>
    <w:rsid w:val="004C77D1"/>
    <w:rsid w:val="004D32FD"/>
    <w:rsid w:val="004D34A3"/>
    <w:rsid w:val="004D4AD8"/>
    <w:rsid w:val="004D5FD3"/>
    <w:rsid w:val="004D6100"/>
    <w:rsid w:val="004D67DF"/>
    <w:rsid w:val="004E075D"/>
    <w:rsid w:val="004E09FB"/>
    <w:rsid w:val="004E3C47"/>
    <w:rsid w:val="004E48AF"/>
    <w:rsid w:val="004E5B88"/>
    <w:rsid w:val="004E5C91"/>
    <w:rsid w:val="004E5DF3"/>
    <w:rsid w:val="004E64CA"/>
    <w:rsid w:val="004E6C56"/>
    <w:rsid w:val="004E6DF5"/>
    <w:rsid w:val="004F4027"/>
    <w:rsid w:val="004F607E"/>
    <w:rsid w:val="004F6F3C"/>
    <w:rsid w:val="0050057A"/>
    <w:rsid w:val="00500B39"/>
    <w:rsid w:val="00502A7D"/>
    <w:rsid w:val="005031A5"/>
    <w:rsid w:val="005045E9"/>
    <w:rsid w:val="00505374"/>
    <w:rsid w:val="005073B3"/>
    <w:rsid w:val="005127C6"/>
    <w:rsid w:val="005142B6"/>
    <w:rsid w:val="00514C7B"/>
    <w:rsid w:val="0051501D"/>
    <w:rsid w:val="00515FA3"/>
    <w:rsid w:val="00517A0D"/>
    <w:rsid w:val="0052177F"/>
    <w:rsid w:val="00521ACB"/>
    <w:rsid w:val="00522097"/>
    <w:rsid w:val="0052225C"/>
    <w:rsid w:val="00522381"/>
    <w:rsid w:val="00525CF3"/>
    <w:rsid w:val="00526536"/>
    <w:rsid w:val="00527443"/>
    <w:rsid w:val="0053112B"/>
    <w:rsid w:val="00533425"/>
    <w:rsid w:val="00534899"/>
    <w:rsid w:val="0053610A"/>
    <w:rsid w:val="00536CB6"/>
    <w:rsid w:val="0053752F"/>
    <w:rsid w:val="005405A7"/>
    <w:rsid w:val="005418C2"/>
    <w:rsid w:val="00542C38"/>
    <w:rsid w:val="00543394"/>
    <w:rsid w:val="005444E6"/>
    <w:rsid w:val="005448F8"/>
    <w:rsid w:val="005453D8"/>
    <w:rsid w:val="00551137"/>
    <w:rsid w:val="00551688"/>
    <w:rsid w:val="00556AD2"/>
    <w:rsid w:val="0055727C"/>
    <w:rsid w:val="00561A74"/>
    <w:rsid w:val="0056254E"/>
    <w:rsid w:val="00562D93"/>
    <w:rsid w:val="005640DC"/>
    <w:rsid w:val="005649AD"/>
    <w:rsid w:val="0056504D"/>
    <w:rsid w:val="00565282"/>
    <w:rsid w:val="00565FE0"/>
    <w:rsid w:val="00566A4D"/>
    <w:rsid w:val="00575B31"/>
    <w:rsid w:val="00575D08"/>
    <w:rsid w:val="00576A3E"/>
    <w:rsid w:val="0058082E"/>
    <w:rsid w:val="0058171C"/>
    <w:rsid w:val="00582334"/>
    <w:rsid w:val="005823B0"/>
    <w:rsid w:val="005823BD"/>
    <w:rsid w:val="00582633"/>
    <w:rsid w:val="0058275C"/>
    <w:rsid w:val="005830C2"/>
    <w:rsid w:val="005832F0"/>
    <w:rsid w:val="005839FE"/>
    <w:rsid w:val="00583B91"/>
    <w:rsid w:val="0058411B"/>
    <w:rsid w:val="005843CD"/>
    <w:rsid w:val="005859CE"/>
    <w:rsid w:val="00585CD2"/>
    <w:rsid w:val="00586665"/>
    <w:rsid w:val="00586932"/>
    <w:rsid w:val="00593D3A"/>
    <w:rsid w:val="00594D46"/>
    <w:rsid w:val="005973B4"/>
    <w:rsid w:val="005A0CC6"/>
    <w:rsid w:val="005A0DC3"/>
    <w:rsid w:val="005A251C"/>
    <w:rsid w:val="005A2734"/>
    <w:rsid w:val="005A2A6D"/>
    <w:rsid w:val="005A360C"/>
    <w:rsid w:val="005A37E4"/>
    <w:rsid w:val="005A4422"/>
    <w:rsid w:val="005A49BC"/>
    <w:rsid w:val="005A50F3"/>
    <w:rsid w:val="005A558B"/>
    <w:rsid w:val="005A67C6"/>
    <w:rsid w:val="005B0DC8"/>
    <w:rsid w:val="005B1727"/>
    <w:rsid w:val="005B2A6D"/>
    <w:rsid w:val="005B2D9C"/>
    <w:rsid w:val="005B3632"/>
    <w:rsid w:val="005B73DD"/>
    <w:rsid w:val="005C0BD0"/>
    <w:rsid w:val="005C197C"/>
    <w:rsid w:val="005C2E7F"/>
    <w:rsid w:val="005C7A3A"/>
    <w:rsid w:val="005D1800"/>
    <w:rsid w:val="005D24E6"/>
    <w:rsid w:val="005D3C1F"/>
    <w:rsid w:val="005D3DAE"/>
    <w:rsid w:val="005D79B3"/>
    <w:rsid w:val="005D7B84"/>
    <w:rsid w:val="005E0CB0"/>
    <w:rsid w:val="005E14F7"/>
    <w:rsid w:val="005E24E8"/>
    <w:rsid w:val="005E27BE"/>
    <w:rsid w:val="005E3513"/>
    <w:rsid w:val="005E444F"/>
    <w:rsid w:val="005E4D8B"/>
    <w:rsid w:val="005E7CCB"/>
    <w:rsid w:val="005F1A52"/>
    <w:rsid w:val="005F1F38"/>
    <w:rsid w:val="005F33EB"/>
    <w:rsid w:val="005F35F0"/>
    <w:rsid w:val="005F3BD3"/>
    <w:rsid w:val="005F3E40"/>
    <w:rsid w:val="005F41E8"/>
    <w:rsid w:val="005F574D"/>
    <w:rsid w:val="005F57BE"/>
    <w:rsid w:val="005F65F3"/>
    <w:rsid w:val="00601503"/>
    <w:rsid w:val="00604D00"/>
    <w:rsid w:val="00605D4E"/>
    <w:rsid w:val="00606674"/>
    <w:rsid w:val="00606B25"/>
    <w:rsid w:val="00607543"/>
    <w:rsid w:val="00607581"/>
    <w:rsid w:val="00610954"/>
    <w:rsid w:val="00612D8C"/>
    <w:rsid w:val="00612DC1"/>
    <w:rsid w:val="006136F0"/>
    <w:rsid w:val="00614670"/>
    <w:rsid w:val="00614765"/>
    <w:rsid w:val="0061526B"/>
    <w:rsid w:val="006158FA"/>
    <w:rsid w:val="00616E68"/>
    <w:rsid w:val="006202D6"/>
    <w:rsid w:val="006211A4"/>
    <w:rsid w:val="00625476"/>
    <w:rsid w:val="0062587D"/>
    <w:rsid w:val="00630AFB"/>
    <w:rsid w:val="0063174E"/>
    <w:rsid w:val="006324C1"/>
    <w:rsid w:val="00632BE2"/>
    <w:rsid w:val="00633A9B"/>
    <w:rsid w:val="0063524F"/>
    <w:rsid w:val="006353A9"/>
    <w:rsid w:val="00636763"/>
    <w:rsid w:val="006369D1"/>
    <w:rsid w:val="00636B30"/>
    <w:rsid w:val="006412DF"/>
    <w:rsid w:val="00641BFC"/>
    <w:rsid w:val="00642F07"/>
    <w:rsid w:val="00643F69"/>
    <w:rsid w:val="0064416C"/>
    <w:rsid w:val="00645D58"/>
    <w:rsid w:val="00646598"/>
    <w:rsid w:val="006472E5"/>
    <w:rsid w:val="0064774B"/>
    <w:rsid w:val="00647896"/>
    <w:rsid w:val="006479C4"/>
    <w:rsid w:val="0065024C"/>
    <w:rsid w:val="00655B63"/>
    <w:rsid w:val="006571ED"/>
    <w:rsid w:val="00657BD5"/>
    <w:rsid w:val="006604B6"/>
    <w:rsid w:val="00660E1B"/>
    <w:rsid w:val="0066193C"/>
    <w:rsid w:val="0066232F"/>
    <w:rsid w:val="00663B3C"/>
    <w:rsid w:val="006655B8"/>
    <w:rsid w:val="006668D3"/>
    <w:rsid w:val="00666BE1"/>
    <w:rsid w:val="006675C8"/>
    <w:rsid w:val="006700C7"/>
    <w:rsid w:val="00671147"/>
    <w:rsid w:val="0067248E"/>
    <w:rsid w:val="006749A5"/>
    <w:rsid w:val="006749FE"/>
    <w:rsid w:val="0067545B"/>
    <w:rsid w:val="0067568B"/>
    <w:rsid w:val="00675F88"/>
    <w:rsid w:val="00675FD0"/>
    <w:rsid w:val="00682108"/>
    <w:rsid w:val="006828CB"/>
    <w:rsid w:val="00683686"/>
    <w:rsid w:val="00683E0B"/>
    <w:rsid w:val="00684848"/>
    <w:rsid w:val="00685A13"/>
    <w:rsid w:val="00685E4A"/>
    <w:rsid w:val="00693C3F"/>
    <w:rsid w:val="00695628"/>
    <w:rsid w:val="00695D69"/>
    <w:rsid w:val="006968BF"/>
    <w:rsid w:val="00697213"/>
    <w:rsid w:val="006972F6"/>
    <w:rsid w:val="006A0759"/>
    <w:rsid w:val="006A0BA2"/>
    <w:rsid w:val="006A2306"/>
    <w:rsid w:val="006A3AC7"/>
    <w:rsid w:val="006A6C5A"/>
    <w:rsid w:val="006A764F"/>
    <w:rsid w:val="006A7ED9"/>
    <w:rsid w:val="006B015C"/>
    <w:rsid w:val="006B41C9"/>
    <w:rsid w:val="006C20A4"/>
    <w:rsid w:val="006C3CF5"/>
    <w:rsid w:val="006C45D2"/>
    <w:rsid w:val="006C48F4"/>
    <w:rsid w:val="006C4D7A"/>
    <w:rsid w:val="006C5D3C"/>
    <w:rsid w:val="006D025E"/>
    <w:rsid w:val="006D0DCF"/>
    <w:rsid w:val="006D2CC0"/>
    <w:rsid w:val="006D3D5B"/>
    <w:rsid w:val="006E17E6"/>
    <w:rsid w:val="006E2615"/>
    <w:rsid w:val="006E35D0"/>
    <w:rsid w:val="006E489C"/>
    <w:rsid w:val="006E578C"/>
    <w:rsid w:val="006E5CC2"/>
    <w:rsid w:val="006E7031"/>
    <w:rsid w:val="006F0924"/>
    <w:rsid w:val="006F0A00"/>
    <w:rsid w:val="006F1183"/>
    <w:rsid w:val="006F260D"/>
    <w:rsid w:val="006F2D25"/>
    <w:rsid w:val="006F35FA"/>
    <w:rsid w:val="006F4235"/>
    <w:rsid w:val="006F4A37"/>
    <w:rsid w:val="006F53BD"/>
    <w:rsid w:val="00701839"/>
    <w:rsid w:val="00701D05"/>
    <w:rsid w:val="0070321D"/>
    <w:rsid w:val="00703504"/>
    <w:rsid w:val="00705BD0"/>
    <w:rsid w:val="007071CC"/>
    <w:rsid w:val="0070782E"/>
    <w:rsid w:val="007108B0"/>
    <w:rsid w:val="007111AD"/>
    <w:rsid w:val="00714CC0"/>
    <w:rsid w:val="00717235"/>
    <w:rsid w:val="0071779F"/>
    <w:rsid w:val="00721F4E"/>
    <w:rsid w:val="00722090"/>
    <w:rsid w:val="00722D82"/>
    <w:rsid w:val="007230FB"/>
    <w:rsid w:val="00723AE4"/>
    <w:rsid w:val="007243DE"/>
    <w:rsid w:val="0072587A"/>
    <w:rsid w:val="007262C3"/>
    <w:rsid w:val="00727AE8"/>
    <w:rsid w:val="00727D39"/>
    <w:rsid w:val="0073049C"/>
    <w:rsid w:val="007311B4"/>
    <w:rsid w:val="0073197C"/>
    <w:rsid w:val="00732B7B"/>
    <w:rsid w:val="00733149"/>
    <w:rsid w:val="00733D29"/>
    <w:rsid w:val="00734A0C"/>
    <w:rsid w:val="0073562F"/>
    <w:rsid w:val="00735C6E"/>
    <w:rsid w:val="00735F97"/>
    <w:rsid w:val="00741BE5"/>
    <w:rsid w:val="00742B60"/>
    <w:rsid w:val="00742F01"/>
    <w:rsid w:val="00744DF8"/>
    <w:rsid w:val="00752138"/>
    <w:rsid w:val="00753771"/>
    <w:rsid w:val="00754636"/>
    <w:rsid w:val="00754912"/>
    <w:rsid w:val="00755B1F"/>
    <w:rsid w:val="00755C31"/>
    <w:rsid w:val="00761E21"/>
    <w:rsid w:val="00762A20"/>
    <w:rsid w:val="0076434C"/>
    <w:rsid w:val="00766869"/>
    <w:rsid w:val="00766D2F"/>
    <w:rsid w:val="00767AEF"/>
    <w:rsid w:val="007701EB"/>
    <w:rsid w:val="00770EE4"/>
    <w:rsid w:val="00771401"/>
    <w:rsid w:val="00771AB0"/>
    <w:rsid w:val="007731ED"/>
    <w:rsid w:val="00774CD0"/>
    <w:rsid w:val="00775E85"/>
    <w:rsid w:val="00777705"/>
    <w:rsid w:val="00780BFB"/>
    <w:rsid w:val="007810FD"/>
    <w:rsid w:val="007829CC"/>
    <w:rsid w:val="0078329E"/>
    <w:rsid w:val="00785187"/>
    <w:rsid w:val="007854A0"/>
    <w:rsid w:val="0078592D"/>
    <w:rsid w:val="00785AF4"/>
    <w:rsid w:val="007860F2"/>
    <w:rsid w:val="00786931"/>
    <w:rsid w:val="00787B2D"/>
    <w:rsid w:val="00790C95"/>
    <w:rsid w:val="007928D3"/>
    <w:rsid w:val="00793432"/>
    <w:rsid w:val="007934CA"/>
    <w:rsid w:val="00793875"/>
    <w:rsid w:val="00793D81"/>
    <w:rsid w:val="00797708"/>
    <w:rsid w:val="007A1062"/>
    <w:rsid w:val="007A1F57"/>
    <w:rsid w:val="007A21C3"/>
    <w:rsid w:val="007A2608"/>
    <w:rsid w:val="007A2E95"/>
    <w:rsid w:val="007A2F2B"/>
    <w:rsid w:val="007A3AB3"/>
    <w:rsid w:val="007A443A"/>
    <w:rsid w:val="007A4E36"/>
    <w:rsid w:val="007A5D61"/>
    <w:rsid w:val="007A653F"/>
    <w:rsid w:val="007A6EDB"/>
    <w:rsid w:val="007A70EA"/>
    <w:rsid w:val="007A7496"/>
    <w:rsid w:val="007B0B69"/>
    <w:rsid w:val="007B1C2A"/>
    <w:rsid w:val="007B2912"/>
    <w:rsid w:val="007B3974"/>
    <w:rsid w:val="007B47FB"/>
    <w:rsid w:val="007B63DE"/>
    <w:rsid w:val="007B6F3A"/>
    <w:rsid w:val="007B6F85"/>
    <w:rsid w:val="007B7645"/>
    <w:rsid w:val="007B7BDE"/>
    <w:rsid w:val="007C1281"/>
    <w:rsid w:val="007C14A1"/>
    <w:rsid w:val="007C15B3"/>
    <w:rsid w:val="007C221F"/>
    <w:rsid w:val="007C6CBB"/>
    <w:rsid w:val="007C75F1"/>
    <w:rsid w:val="007D3981"/>
    <w:rsid w:val="007D537E"/>
    <w:rsid w:val="007D58D5"/>
    <w:rsid w:val="007D73A1"/>
    <w:rsid w:val="007D7825"/>
    <w:rsid w:val="007D7C50"/>
    <w:rsid w:val="007D7CBD"/>
    <w:rsid w:val="007E26B4"/>
    <w:rsid w:val="007E334A"/>
    <w:rsid w:val="007E3A49"/>
    <w:rsid w:val="007E4103"/>
    <w:rsid w:val="007E4EFE"/>
    <w:rsid w:val="007E5B5B"/>
    <w:rsid w:val="007E604B"/>
    <w:rsid w:val="007F0FA1"/>
    <w:rsid w:val="007F4B10"/>
    <w:rsid w:val="007F4D4A"/>
    <w:rsid w:val="007F5FB3"/>
    <w:rsid w:val="007F65C0"/>
    <w:rsid w:val="0080223A"/>
    <w:rsid w:val="0080273A"/>
    <w:rsid w:val="00802847"/>
    <w:rsid w:val="00802FEA"/>
    <w:rsid w:val="00804F0C"/>
    <w:rsid w:val="0080518D"/>
    <w:rsid w:val="008058D7"/>
    <w:rsid w:val="008059C0"/>
    <w:rsid w:val="008072AC"/>
    <w:rsid w:val="008112D5"/>
    <w:rsid w:val="00811871"/>
    <w:rsid w:val="008123FD"/>
    <w:rsid w:val="008134AE"/>
    <w:rsid w:val="00813FF0"/>
    <w:rsid w:val="00814979"/>
    <w:rsid w:val="00817171"/>
    <w:rsid w:val="0082062E"/>
    <w:rsid w:val="00820DBF"/>
    <w:rsid w:val="00822895"/>
    <w:rsid w:val="00822AF7"/>
    <w:rsid w:val="00823868"/>
    <w:rsid w:val="00823DA8"/>
    <w:rsid w:val="00823E90"/>
    <w:rsid w:val="00831917"/>
    <w:rsid w:val="00834C0F"/>
    <w:rsid w:val="008360B4"/>
    <w:rsid w:val="00837541"/>
    <w:rsid w:val="00837E04"/>
    <w:rsid w:val="008400B5"/>
    <w:rsid w:val="00840411"/>
    <w:rsid w:val="0084198B"/>
    <w:rsid w:val="00841EED"/>
    <w:rsid w:val="0084619D"/>
    <w:rsid w:val="008471E6"/>
    <w:rsid w:val="0084767F"/>
    <w:rsid w:val="00847C44"/>
    <w:rsid w:val="008503EE"/>
    <w:rsid w:val="0085196B"/>
    <w:rsid w:val="00851EA9"/>
    <w:rsid w:val="00852ED8"/>
    <w:rsid w:val="008539F0"/>
    <w:rsid w:val="00854DB5"/>
    <w:rsid w:val="00856AF6"/>
    <w:rsid w:val="00857741"/>
    <w:rsid w:val="008579E2"/>
    <w:rsid w:val="00857DA7"/>
    <w:rsid w:val="00857F0A"/>
    <w:rsid w:val="008624B7"/>
    <w:rsid w:val="00862FA4"/>
    <w:rsid w:val="00864129"/>
    <w:rsid w:val="0086438D"/>
    <w:rsid w:val="00864DAB"/>
    <w:rsid w:val="00865154"/>
    <w:rsid w:val="0086679D"/>
    <w:rsid w:val="0086756B"/>
    <w:rsid w:val="00870546"/>
    <w:rsid w:val="00873FEA"/>
    <w:rsid w:val="00874CE8"/>
    <w:rsid w:val="00875006"/>
    <w:rsid w:val="008758B4"/>
    <w:rsid w:val="0087608C"/>
    <w:rsid w:val="008767EB"/>
    <w:rsid w:val="00880CF6"/>
    <w:rsid w:val="00880DD0"/>
    <w:rsid w:val="00882132"/>
    <w:rsid w:val="00882E64"/>
    <w:rsid w:val="008832E5"/>
    <w:rsid w:val="00886BEF"/>
    <w:rsid w:val="00892FAD"/>
    <w:rsid w:val="00894517"/>
    <w:rsid w:val="00894B51"/>
    <w:rsid w:val="008964AE"/>
    <w:rsid w:val="00896F5E"/>
    <w:rsid w:val="008A0DC1"/>
    <w:rsid w:val="008A110F"/>
    <w:rsid w:val="008A14BA"/>
    <w:rsid w:val="008A354A"/>
    <w:rsid w:val="008A3816"/>
    <w:rsid w:val="008A3F9C"/>
    <w:rsid w:val="008A4CAB"/>
    <w:rsid w:val="008A6D0B"/>
    <w:rsid w:val="008B0487"/>
    <w:rsid w:val="008B30E7"/>
    <w:rsid w:val="008B52B5"/>
    <w:rsid w:val="008B5752"/>
    <w:rsid w:val="008B665E"/>
    <w:rsid w:val="008B6E50"/>
    <w:rsid w:val="008C071E"/>
    <w:rsid w:val="008C17B5"/>
    <w:rsid w:val="008C36BB"/>
    <w:rsid w:val="008C4E40"/>
    <w:rsid w:val="008C6198"/>
    <w:rsid w:val="008C7620"/>
    <w:rsid w:val="008D3283"/>
    <w:rsid w:val="008D34F7"/>
    <w:rsid w:val="008D3A6B"/>
    <w:rsid w:val="008D6F3D"/>
    <w:rsid w:val="008E10F4"/>
    <w:rsid w:val="008E14EC"/>
    <w:rsid w:val="008E299D"/>
    <w:rsid w:val="008E3AF2"/>
    <w:rsid w:val="008E5A8B"/>
    <w:rsid w:val="008E6B74"/>
    <w:rsid w:val="008E7AE7"/>
    <w:rsid w:val="008F05E0"/>
    <w:rsid w:val="008F0FDA"/>
    <w:rsid w:val="008F3E6B"/>
    <w:rsid w:val="008F4421"/>
    <w:rsid w:val="008F50BB"/>
    <w:rsid w:val="008F5E9F"/>
    <w:rsid w:val="008F633E"/>
    <w:rsid w:val="008F6FF2"/>
    <w:rsid w:val="009006ED"/>
    <w:rsid w:val="00901A03"/>
    <w:rsid w:val="00902E11"/>
    <w:rsid w:val="00903D3A"/>
    <w:rsid w:val="0091198D"/>
    <w:rsid w:val="009136F3"/>
    <w:rsid w:val="009151DA"/>
    <w:rsid w:val="00917787"/>
    <w:rsid w:val="00920733"/>
    <w:rsid w:val="00922E37"/>
    <w:rsid w:val="00923E1C"/>
    <w:rsid w:val="009249C6"/>
    <w:rsid w:val="009271DE"/>
    <w:rsid w:val="00931E3A"/>
    <w:rsid w:val="009348FB"/>
    <w:rsid w:val="00936F83"/>
    <w:rsid w:val="0093709D"/>
    <w:rsid w:val="009370FC"/>
    <w:rsid w:val="00940ECC"/>
    <w:rsid w:val="009417BD"/>
    <w:rsid w:val="00942962"/>
    <w:rsid w:val="00944A93"/>
    <w:rsid w:val="00945F3D"/>
    <w:rsid w:val="00945F70"/>
    <w:rsid w:val="009477A7"/>
    <w:rsid w:val="009504D1"/>
    <w:rsid w:val="00950BEE"/>
    <w:rsid w:val="00950E0D"/>
    <w:rsid w:val="00951015"/>
    <w:rsid w:val="00951BED"/>
    <w:rsid w:val="00952023"/>
    <w:rsid w:val="009520F8"/>
    <w:rsid w:val="009532F9"/>
    <w:rsid w:val="00954155"/>
    <w:rsid w:val="00955EF9"/>
    <w:rsid w:val="00956E35"/>
    <w:rsid w:val="009571D4"/>
    <w:rsid w:val="009617E7"/>
    <w:rsid w:val="00961DBA"/>
    <w:rsid w:val="00962794"/>
    <w:rsid w:val="009653CB"/>
    <w:rsid w:val="009656AD"/>
    <w:rsid w:val="00965E67"/>
    <w:rsid w:val="00966123"/>
    <w:rsid w:val="009668C0"/>
    <w:rsid w:val="00970DDF"/>
    <w:rsid w:val="00971171"/>
    <w:rsid w:val="0097670B"/>
    <w:rsid w:val="00977590"/>
    <w:rsid w:val="00980F59"/>
    <w:rsid w:val="00983669"/>
    <w:rsid w:val="0098552A"/>
    <w:rsid w:val="00986964"/>
    <w:rsid w:val="00990600"/>
    <w:rsid w:val="009917C9"/>
    <w:rsid w:val="00992261"/>
    <w:rsid w:val="0099334B"/>
    <w:rsid w:val="009955E2"/>
    <w:rsid w:val="00995D1D"/>
    <w:rsid w:val="00996272"/>
    <w:rsid w:val="00996B31"/>
    <w:rsid w:val="00996B9C"/>
    <w:rsid w:val="00997179"/>
    <w:rsid w:val="009A2181"/>
    <w:rsid w:val="009A23AB"/>
    <w:rsid w:val="009A420D"/>
    <w:rsid w:val="009A4750"/>
    <w:rsid w:val="009A4955"/>
    <w:rsid w:val="009A4C07"/>
    <w:rsid w:val="009A6F5A"/>
    <w:rsid w:val="009B1280"/>
    <w:rsid w:val="009B1C2C"/>
    <w:rsid w:val="009B5018"/>
    <w:rsid w:val="009B58B1"/>
    <w:rsid w:val="009B77D5"/>
    <w:rsid w:val="009C1A9E"/>
    <w:rsid w:val="009C1C29"/>
    <w:rsid w:val="009C2DC0"/>
    <w:rsid w:val="009C497F"/>
    <w:rsid w:val="009C4A64"/>
    <w:rsid w:val="009C53A5"/>
    <w:rsid w:val="009D0A09"/>
    <w:rsid w:val="009D1944"/>
    <w:rsid w:val="009D2CFE"/>
    <w:rsid w:val="009D4372"/>
    <w:rsid w:val="009D4F76"/>
    <w:rsid w:val="009D5B6E"/>
    <w:rsid w:val="009D6A58"/>
    <w:rsid w:val="009D7A83"/>
    <w:rsid w:val="009E1698"/>
    <w:rsid w:val="009E196C"/>
    <w:rsid w:val="009E20B6"/>
    <w:rsid w:val="009E496E"/>
    <w:rsid w:val="009E4E0A"/>
    <w:rsid w:val="009E5077"/>
    <w:rsid w:val="009E579A"/>
    <w:rsid w:val="009F0179"/>
    <w:rsid w:val="009F07F6"/>
    <w:rsid w:val="009F0BF8"/>
    <w:rsid w:val="009F0FDC"/>
    <w:rsid w:val="009F2167"/>
    <w:rsid w:val="009F292E"/>
    <w:rsid w:val="009F2B5B"/>
    <w:rsid w:val="009F5A45"/>
    <w:rsid w:val="009F5A73"/>
    <w:rsid w:val="009F5D54"/>
    <w:rsid w:val="009F7610"/>
    <w:rsid w:val="009F768F"/>
    <w:rsid w:val="00A00166"/>
    <w:rsid w:val="00A008CF"/>
    <w:rsid w:val="00A013C4"/>
    <w:rsid w:val="00A02018"/>
    <w:rsid w:val="00A02636"/>
    <w:rsid w:val="00A03A33"/>
    <w:rsid w:val="00A049D0"/>
    <w:rsid w:val="00A05718"/>
    <w:rsid w:val="00A0664A"/>
    <w:rsid w:val="00A07E57"/>
    <w:rsid w:val="00A113BD"/>
    <w:rsid w:val="00A11BA2"/>
    <w:rsid w:val="00A136E3"/>
    <w:rsid w:val="00A15370"/>
    <w:rsid w:val="00A155CB"/>
    <w:rsid w:val="00A210F1"/>
    <w:rsid w:val="00A22F17"/>
    <w:rsid w:val="00A23F7F"/>
    <w:rsid w:val="00A2519F"/>
    <w:rsid w:val="00A2526C"/>
    <w:rsid w:val="00A2676E"/>
    <w:rsid w:val="00A2717C"/>
    <w:rsid w:val="00A30187"/>
    <w:rsid w:val="00A30CB5"/>
    <w:rsid w:val="00A31B7E"/>
    <w:rsid w:val="00A33E36"/>
    <w:rsid w:val="00A34701"/>
    <w:rsid w:val="00A3688C"/>
    <w:rsid w:val="00A37A36"/>
    <w:rsid w:val="00A44FED"/>
    <w:rsid w:val="00A45C9F"/>
    <w:rsid w:val="00A45DFA"/>
    <w:rsid w:val="00A47C58"/>
    <w:rsid w:val="00A512B9"/>
    <w:rsid w:val="00A51971"/>
    <w:rsid w:val="00A51B17"/>
    <w:rsid w:val="00A53056"/>
    <w:rsid w:val="00A53288"/>
    <w:rsid w:val="00A5447A"/>
    <w:rsid w:val="00A54A4B"/>
    <w:rsid w:val="00A555D1"/>
    <w:rsid w:val="00A55CBE"/>
    <w:rsid w:val="00A5686C"/>
    <w:rsid w:val="00A610E4"/>
    <w:rsid w:val="00A61904"/>
    <w:rsid w:val="00A61D11"/>
    <w:rsid w:val="00A627CA"/>
    <w:rsid w:val="00A6401B"/>
    <w:rsid w:val="00A64DB0"/>
    <w:rsid w:val="00A6504A"/>
    <w:rsid w:val="00A66F1C"/>
    <w:rsid w:val="00A67C75"/>
    <w:rsid w:val="00A71167"/>
    <w:rsid w:val="00A741CE"/>
    <w:rsid w:val="00A74652"/>
    <w:rsid w:val="00A74924"/>
    <w:rsid w:val="00A7530C"/>
    <w:rsid w:val="00A804B8"/>
    <w:rsid w:val="00A809E7"/>
    <w:rsid w:val="00A8465B"/>
    <w:rsid w:val="00A867E2"/>
    <w:rsid w:val="00A9054F"/>
    <w:rsid w:val="00A9154B"/>
    <w:rsid w:val="00A919C6"/>
    <w:rsid w:val="00A936EB"/>
    <w:rsid w:val="00A95C70"/>
    <w:rsid w:val="00AA0033"/>
    <w:rsid w:val="00AA33FA"/>
    <w:rsid w:val="00AA75EA"/>
    <w:rsid w:val="00AA772D"/>
    <w:rsid w:val="00AB20C2"/>
    <w:rsid w:val="00AB284C"/>
    <w:rsid w:val="00AB3175"/>
    <w:rsid w:val="00AB36AA"/>
    <w:rsid w:val="00AB4483"/>
    <w:rsid w:val="00AB4559"/>
    <w:rsid w:val="00AB511E"/>
    <w:rsid w:val="00AB5469"/>
    <w:rsid w:val="00AB6A01"/>
    <w:rsid w:val="00AB7231"/>
    <w:rsid w:val="00AB73FA"/>
    <w:rsid w:val="00AB7773"/>
    <w:rsid w:val="00AC0004"/>
    <w:rsid w:val="00AC0417"/>
    <w:rsid w:val="00AC2178"/>
    <w:rsid w:val="00AC2C75"/>
    <w:rsid w:val="00AC4F79"/>
    <w:rsid w:val="00AC544F"/>
    <w:rsid w:val="00AC790E"/>
    <w:rsid w:val="00AD152D"/>
    <w:rsid w:val="00AD257E"/>
    <w:rsid w:val="00AD3B70"/>
    <w:rsid w:val="00AD613C"/>
    <w:rsid w:val="00AD78F2"/>
    <w:rsid w:val="00AD7AF0"/>
    <w:rsid w:val="00AE08A0"/>
    <w:rsid w:val="00AE178E"/>
    <w:rsid w:val="00AE1B4D"/>
    <w:rsid w:val="00AE1E32"/>
    <w:rsid w:val="00AE2D90"/>
    <w:rsid w:val="00AE3187"/>
    <w:rsid w:val="00AE39C3"/>
    <w:rsid w:val="00AE5059"/>
    <w:rsid w:val="00AE5E78"/>
    <w:rsid w:val="00AE616C"/>
    <w:rsid w:val="00AE6606"/>
    <w:rsid w:val="00AE70F7"/>
    <w:rsid w:val="00AE74A3"/>
    <w:rsid w:val="00AE7BDC"/>
    <w:rsid w:val="00AF1FEF"/>
    <w:rsid w:val="00AF392D"/>
    <w:rsid w:val="00AF3B6A"/>
    <w:rsid w:val="00AF4907"/>
    <w:rsid w:val="00AF67E5"/>
    <w:rsid w:val="00AF79D9"/>
    <w:rsid w:val="00B01F0F"/>
    <w:rsid w:val="00B01F9B"/>
    <w:rsid w:val="00B062A8"/>
    <w:rsid w:val="00B0784A"/>
    <w:rsid w:val="00B12C09"/>
    <w:rsid w:val="00B133D4"/>
    <w:rsid w:val="00B13919"/>
    <w:rsid w:val="00B13A99"/>
    <w:rsid w:val="00B13B02"/>
    <w:rsid w:val="00B13D3C"/>
    <w:rsid w:val="00B13F26"/>
    <w:rsid w:val="00B16636"/>
    <w:rsid w:val="00B209B6"/>
    <w:rsid w:val="00B20F6B"/>
    <w:rsid w:val="00B21749"/>
    <w:rsid w:val="00B22A34"/>
    <w:rsid w:val="00B22D28"/>
    <w:rsid w:val="00B22EA7"/>
    <w:rsid w:val="00B24717"/>
    <w:rsid w:val="00B249E5"/>
    <w:rsid w:val="00B25DC1"/>
    <w:rsid w:val="00B26B5D"/>
    <w:rsid w:val="00B276F0"/>
    <w:rsid w:val="00B33B13"/>
    <w:rsid w:val="00B3669E"/>
    <w:rsid w:val="00B423D5"/>
    <w:rsid w:val="00B43003"/>
    <w:rsid w:val="00B438D8"/>
    <w:rsid w:val="00B43C18"/>
    <w:rsid w:val="00B44532"/>
    <w:rsid w:val="00B4595F"/>
    <w:rsid w:val="00B468B2"/>
    <w:rsid w:val="00B50BDC"/>
    <w:rsid w:val="00B512E1"/>
    <w:rsid w:val="00B521B1"/>
    <w:rsid w:val="00B52C01"/>
    <w:rsid w:val="00B53792"/>
    <w:rsid w:val="00B53BE2"/>
    <w:rsid w:val="00B545F2"/>
    <w:rsid w:val="00B54C8C"/>
    <w:rsid w:val="00B56617"/>
    <w:rsid w:val="00B5730A"/>
    <w:rsid w:val="00B60911"/>
    <w:rsid w:val="00B60C59"/>
    <w:rsid w:val="00B6133D"/>
    <w:rsid w:val="00B6412E"/>
    <w:rsid w:val="00B64D54"/>
    <w:rsid w:val="00B66523"/>
    <w:rsid w:val="00B6745B"/>
    <w:rsid w:val="00B67830"/>
    <w:rsid w:val="00B67A4A"/>
    <w:rsid w:val="00B7195A"/>
    <w:rsid w:val="00B75C8F"/>
    <w:rsid w:val="00B76F47"/>
    <w:rsid w:val="00B7718B"/>
    <w:rsid w:val="00B812C4"/>
    <w:rsid w:val="00B817A0"/>
    <w:rsid w:val="00B828E1"/>
    <w:rsid w:val="00B839D9"/>
    <w:rsid w:val="00B86072"/>
    <w:rsid w:val="00B8748E"/>
    <w:rsid w:val="00B876D7"/>
    <w:rsid w:val="00B90201"/>
    <w:rsid w:val="00B90976"/>
    <w:rsid w:val="00B90DC0"/>
    <w:rsid w:val="00B92E84"/>
    <w:rsid w:val="00B9443B"/>
    <w:rsid w:val="00B94E30"/>
    <w:rsid w:val="00B956F1"/>
    <w:rsid w:val="00B96050"/>
    <w:rsid w:val="00B97DAF"/>
    <w:rsid w:val="00B97E8C"/>
    <w:rsid w:val="00BA00A9"/>
    <w:rsid w:val="00BA0EF3"/>
    <w:rsid w:val="00BA226D"/>
    <w:rsid w:val="00BA2634"/>
    <w:rsid w:val="00BA2A0B"/>
    <w:rsid w:val="00BA42C4"/>
    <w:rsid w:val="00BA58D4"/>
    <w:rsid w:val="00BA6DA7"/>
    <w:rsid w:val="00BB051C"/>
    <w:rsid w:val="00BB08B6"/>
    <w:rsid w:val="00BB2219"/>
    <w:rsid w:val="00BB2CB2"/>
    <w:rsid w:val="00BB3F50"/>
    <w:rsid w:val="00BB555A"/>
    <w:rsid w:val="00BC09BE"/>
    <w:rsid w:val="00BC3DD6"/>
    <w:rsid w:val="00BC7B79"/>
    <w:rsid w:val="00BD121D"/>
    <w:rsid w:val="00BD2232"/>
    <w:rsid w:val="00BD3486"/>
    <w:rsid w:val="00BD3582"/>
    <w:rsid w:val="00BD3E89"/>
    <w:rsid w:val="00BD4B1F"/>
    <w:rsid w:val="00BD5032"/>
    <w:rsid w:val="00BE251F"/>
    <w:rsid w:val="00BE2BEC"/>
    <w:rsid w:val="00BE3CF7"/>
    <w:rsid w:val="00BE4AC3"/>
    <w:rsid w:val="00BE4E45"/>
    <w:rsid w:val="00BE53BC"/>
    <w:rsid w:val="00BE6A48"/>
    <w:rsid w:val="00BE6BC7"/>
    <w:rsid w:val="00BF0BAC"/>
    <w:rsid w:val="00BF3340"/>
    <w:rsid w:val="00BF3708"/>
    <w:rsid w:val="00BF4973"/>
    <w:rsid w:val="00BF75F4"/>
    <w:rsid w:val="00C00E60"/>
    <w:rsid w:val="00C01FFB"/>
    <w:rsid w:val="00C03D02"/>
    <w:rsid w:val="00C07769"/>
    <w:rsid w:val="00C1023D"/>
    <w:rsid w:val="00C10665"/>
    <w:rsid w:val="00C12F9F"/>
    <w:rsid w:val="00C14165"/>
    <w:rsid w:val="00C14CEB"/>
    <w:rsid w:val="00C15027"/>
    <w:rsid w:val="00C2108D"/>
    <w:rsid w:val="00C2650A"/>
    <w:rsid w:val="00C270DC"/>
    <w:rsid w:val="00C3213C"/>
    <w:rsid w:val="00C347F9"/>
    <w:rsid w:val="00C36F23"/>
    <w:rsid w:val="00C37D77"/>
    <w:rsid w:val="00C40A0E"/>
    <w:rsid w:val="00C426A4"/>
    <w:rsid w:val="00C42B8A"/>
    <w:rsid w:val="00C4494D"/>
    <w:rsid w:val="00C456A9"/>
    <w:rsid w:val="00C469BB"/>
    <w:rsid w:val="00C46FB2"/>
    <w:rsid w:val="00C50BB7"/>
    <w:rsid w:val="00C519B1"/>
    <w:rsid w:val="00C51DA6"/>
    <w:rsid w:val="00C52051"/>
    <w:rsid w:val="00C524D4"/>
    <w:rsid w:val="00C52DDE"/>
    <w:rsid w:val="00C545DE"/>
    <w:rsid w:val="00C57481"/>
    <w:rsid w:val="00C615E4"/>
    <w:rsid w:val="00C635EA"/>
    <w:rsid w:val="00C63C00"/>
    <w:rsid w:val="00C658B9"/>
    <w:rsid w:val="00C668E1"/>
    <w:rsid w:val="00C67F49"/>
    <w:rsid w:val="00C71A66"/>
    <w:rsid w:val="00C71BA6"/>
    <w:rsid w:val="00C73160"/>
    <w:rsid w:val="00C7328F"/>
    <w:rsid w:val="00C73BE0"/>
    <w:rsid w:val="00C74068"/>
    <w:rsid w:val="00C74B88"/>
    <w:rsid w:val="00C7592F"/>
    <w:rsid w:val="00C77865"/>
    <w:rsid w:val="00C80F64"/>
    <w:rsid w:val="00C81B13"/>
    <w:rsid w:val="00C8203A"/>
    <w:rsid w:val="00C8521E"/>
    <w:rsid w:val="00C90B31"/>
    <w:rsid w:val="00C91A4E"/>
    <w:rsid w:val="00C94946"/>
    <w:rsid w:val="00C95591"/>
    <w:rsid w:val="00C962D3"/>
    <w:rsid w:val="00C9681A"/>
    <w:rsid w:val="00C96F4F"/>
    <w:rsid w:val="00C9705E"/>
    <w:rsid w:val="00C97191"/>
    <w:rsid w:val="00CA00ED"/>
    <w:rsid w:val="00CA06AB"/>
    <w:rsid w:val="00CA23D5"/>
    <w:rsid w:val="00CA27D3"/>
    <w:rsid w:val="00CA45B6"/>
    <w:rsid w:val="00CA5E96"/>
    <w:rsid w:val="00CB11F6"/>
    <w:rsid w:val="00CB3FCE"/>
    <w:rsid w:val="00CB65FF"/>
    <w:rsid w:val="00CB74D3"/>
    <w:rsid w:val="00CB78B3"/>
    <w:rsid w:val="00CB7AB8"/>
    <w:rsid w:val="00CC205A"/>
    <w:rsid w:val="00CC4857"/>
    <w:rsid w:val="00CC70F8"/>
    <w:rsid w:val="00CC7F18"/>
    <w:rsid w:val="00CD1EC3"/>
    <w:rsid w:val="00CD334E"/>
    <w:rsid w:val="00CD4938"/>
    <w:rsid w:val="00CD7B82"/>
    <w:rsid w:val="00CD7E4F"/>
    <w:rsid w:val="00CE1844"/>
    <w:rsid w:val="00CE2A78"/>
    <w:rsid w:val="00CE3F8E"/>
    <w:rsid w:val="00CE43D2"/>
    <w:rsid w:val="00CE56BA"/>
    <w:rsid w:val="00CF0517"/>
    <w:rsid w:val="00CF116E"/>
    <w:rsid w:val="00CF40CC"/>
    <w:rsid w:val="00CF4799"/>
    <w:rsid w:val="00CF4F7A"/>
    <w:rsid w:val="00CF5CF3"/>
    <w:rsid w:val="00CF651B"/>
    <w:rsid w:val="00CF68C8"/>
    <w:rsid w:val="00CF7BD6"/>
    <w:rsid w:val="00D03A3A"/>
    <w:rsid w:val="00D03C97"/>
    <w:rsid w:val="00D05434"/>
    <w:rsid w:val="00D055CC"/>
    <w:rsid w:val="00D11CC9"/>
    <w:rsid w:val="00D1228E"/>
    <w:rsid w:val="00D122EC"/>
    <w:rsid w:val="00D12D73"/>
    <w:rsid w:val="00D13316"/>
    <w:rsid w:val="00D1408A"/>
    <w:rsid w:val="00D140BD"/>
    <w:rsid w:val="00D147CF"/>
    <w:rsid w:val="00D15A85"/>
    <w:rsid w:val="00D16165"/>
    <w:rsid w:val="00D16828"/>
    <w:rsid w:val="00D20DDF"/>
    <w:rsid w:val="00D2196C"/>
    <w:rsid w:val="00D21C63"/>
    <w:rsid w:val="00D24805"/>
    <w:rsid w:val="00D30B05"/>
    <w:rsid w:val="00D3212A"/>
    <w:rsid w:val="00D32150"/>
    <w:rsid w:val="00D32173"/>
    <w:rsid w:val="00D33718"/>
    <w:rsid w:val="00D35B45"/>
    <w:rsid w:val="00D3741E"/>
    <w:rsid w:val="00D40722"/>
    <w:rsid w:val="00D41A06"/>
    <w:rsid w:val="00D42808"/>
    <w:rsid w:val="00D4400C"/>
    <w:rsid w:val="00D44081"/>
    <w:rsid w:val="00D443F8"/>
    <w:rsid w:val="00D46EAE"/>
    <w:rsid w:val="00D474CD"/>
    <w:rsid w:val="00D5426C"/>
    <w:rsid w:val="00D54C89"/>
    <w:rsid w:val="00D55950"/>
    <w:rsid w:val="00D61C54"/>
    <w:rsid w:val="00D61F81"/>
    <w:rsid w:val="00D627F7"/>
    <w:rsid w:val="00D63E65"/>
    <w:rsid w:val="00D64094"/>
    <w:rsid w:val="00D64F0F"/>
    <w:rsid w:val="00D6610B"/>
    <w:rsid w:val="00D671D1"/>
    <w:rsid w:val="00D675A5"/>
    <w:rsid w:val="00D676CD"/>
    <w:rsid w:val="00D700FA"/>
    <w:rsid w:val="00D71A23"/>
    <w:rsid w:val="00D738F8"/>
    <w:rsid w:val="00D74274"/>
    <w:rsid w:val="00D75A16"/>
    <w:rsid w:val="00D75A81"/>
    <w:rsid w:val="00D75D9C"/>
    <w:rsid w:val="00D76CB5"/>
    <w:rsid w:val="00D774F1"/>
    <w:rsid w:val="00D81485"/>
    <w:rsid w:val="00D824EA"/>
    <w:rsid w:val="00D82A8E"/>
    <w:rsid w:val="00D831B1"/>
    <w:rsid w:val="00D85443"/>
    <w:rsid w:val="00D85FC5"/>
    <w:rsid w:val="00D91ADC"/>
    <w:rsid w:val="00D936B0"/>
    <w:rsid w:val="00D9404B"/>
    <w:rsid w:val="00D96D0B"/>
    <w:rsid w:val="00DA0633"/>
    <w:rsid w:val="00DA12BD"/>
    <w:rsid w:val="00DA1B4E"/>
    <w:rsid w:val="00DA3798"/>
    <w:rsid w:val="00DA445F"/>
    <w:rsid w:val="00DA6626"/>
    <w:rsid w:val="00DA6B17"/>
    <w:rsid w:val="00DA6D2C"/>
    <w:rsid w:val="00DB12FA"/>
    <w:rsid w:val="00DB3D3D"/>
    <w:rsid w:val="00DB4A2A"/>
    <w:rsid w:val="00DB51A4"/>
    <w:rsid w:val="00DB5D7A"/>
    <w:rsid w:val="00DB6347"/>
    <w:rsid w:val="00DC0E6B"/>
    <w:rsid w:val="00DC20D9"/>
    <w:rsid w:val="00DC2493"/>
    <w:rsid w:val="00DC3E52"/>
    <w:rsid w:val="00DC5CC7"/>
    <w:rsid w:val="00DC5FC8"/>
    <w:rsid w:val="00DD1B42"/>
    <w:rsid w:val="00DD2EA5"/>
    <w:rsid w:val="00DD2EBA"/>
    <w:rsid w:val="00DD3832"/>
    <w:rsid w:val="00DD3EFB"/>
    <w:rsid w:val="00DD4432"/>
    <w:rsid w:val="00DD5B0E"/>
    <w:rsid w:val="00DD68C9"/>
    <w:rsid w:val="00DD6ED3"/>
    <w:rsid w:val="00DD7911"/>
    <w:rsid w:val="00DD7948"/>
    <w:rsid w:val="00DD7DC7"/>
    <w:rsid w:val="00DD7EAF"/>
    <w:rsid w:val="00DE0572"/>
    <w:rsid w:val="00DE12F9"/>
    <w:rsid w:val="00DE2FFE"/>
    <w:rsid w:val="00DE31F1"/>
    <w:rsid w:val="00DE3654"/>
    <w:rsid w:val="00DE7BAC"/>
    <w:rsid w:val="00DE7D95"/>
    <w:rsid w:val="00DF0FA9"/>
    <w:rsid w:val="00DF3055"/>
    <w:rsid w:val="00DF3423"/>
    <w:rsid w:val="00DF500E"/>
    <w:rsid w:val="00DF5BF1"/>
    <w:rsid w:val="00DF7137"/>
    <w:rsid w:val="00DF71A5"/>
    <w:rsid w:val="00E00A21"/>
    <w:rsid w:val="00E02EAF"/>
    <w:rsid w:val="00E05461"/>
    <w:rsid w:val="00E1022D"/>
    <w:rsid w:val="00E10F05"/>
    <w:rsid w:val="00E14E44"/>
    <w:rsid w:val="00E1696C"/>
    <w:rsid w:val="00E17DCB"/>
    <w:rsid w:val="00E2359E"/>
    <w:rsid w:val="00E235DC"/>
    <w:rsid w:val="00E24401"/>
    <w:rsid w:val="00E249AD"/>
    <w:rsid w:val="00E25355"/>
    <w:rsid w:val="00E25490"/>
    <w:rsid w:val="00E267AF"/>
    <w:rsid w:val="00E30485"/>
    <w:rsid w:val="00E30CA3"/>
    <w:rsid w:val="00E30E79"/>
    <w:rsid w:val="00E32EAA"/>
    <w:rsid w:val="00E33B32"/>
    <w:rsid w:val="00E37F02"/>
    <w:rsid w:val="00E40650"/>
    <w:rsid w:val="00E41B17"/>
    <w:rsid w:val="00E45070"/>
    <w:rsid w:val="00E453F3"/>
    <w:rsid w:val="00E45412"/>
    <w:rsid w:val="00E462A2"/>
    <w:rsid w:val="00E47D07"/>
    <w:rsid w:val="00E51DF5"/>
    <w:rsid w:val="00E52510"/>
    <w:rsid w:val="00E5253A"/>
    <w:rsid w:val="00E529AD"/>
    <w:rsid w:val="00E52BA3"/>
    <w:rsid w:val="00E53098"/>
    <w:rsid w:val="00E53CFB"/>
    <w:rsid w:val="00E56E23"/>
    <w:rsid w:val="00E608CD"/>
    <w:rsid w:val="00E632C0"/>
    <w:rsid w:val="00E63C43"/>
    <w:rsid w:val="00E6715B"/>
    <w:rsid w:val="00E671C2"/>
    <w:rsid w:val="00E7022E"/>
    <w:rsid w:val="00E70674"/>
    <w:rsid w:val="00E70D6C"/>
    <w:rsid w:val="00E70D8D"/>
    <w:rsid w:val="00E72273"/>
    <w:rsid w:val="00E72628"/>
    <w:rsid w:val="00E72C2D"/>
    <w:rsid w:val="00E73276"/>
    <w:rsid w:val="00E7395A"/>
    <w:rsid w:val="00E777CE"/>
    <w:rsid w:val="00E779CA"/>
    <w:rsid w:val="00E80981"/>
    <w:rsid w:val="00E80E15"/>
    <w:rsid w:val="00E82308"/>
    <w:rsid w:val="00E8240A"/>
    <w:rsid w:val="00E827EC"/>
    <w:rsid w:val="00E8343E"/>
    <w:rsid w:val="00E8360E"/>
    <w:rsid w:val="00E843C1"/>
    <w:rsid w:val="00E84A0C"/>
    <w:rsid w:val="00E85FA6"/>
    <w:rsid w:val="00E862E2"/>
    <w:rsid w:val="00E90395"/>
    <w:rsid w:val="00E910C9"/>
    <w:rsid w:val="00E92FAD"/>
    <w:rsid w:val="00E93521"/>
    <w:rsid w:val="00E9352A"/>
    <w:rsid w:val="00E95A58"/>
    <w:rsid w:val="00E95B27"/>
    <w:rsid w:val="00E95CF3"/>
    <w:rsid w:val="00E975BF"/>
    <w:rsid w:val="00EA007F"/>
    <w:rsid w:val="00EA01A7"/>
    <w:rsid w:val="00EA1611"/>
    <w:rsid w:val="00EA2B1F"/>
    <w:rsid w:val="00EA5577"/>
    <w:rsid w:val="00EA72E3"/>
    <w:rsid w:val="00EA7E20"/>
    <w:rsid w:val="00EB151D"/>
    <w:rsid w:val="00EB48D2"/>
    <w:rsid w:val="00EB4C64"/>
    <w:rsid w:val="00EB52F1"/>
    <w:rsid w:val="00EB7483"/>
    <w:rsid w:val="00EB7C95"/>
    <w:rsid w:val="00EC0D6F"/>
    <w:rsid w:val="00EC2DCF"/>
    <w:rsid w:val="00EC380E"/>
    <w:rsid w:val="00EC4DBB"/>
    <w:rsid w:val="00EC5327"/>
    <w:rsid w:val="00EC5BE3"/>
    <w:rsid w:val="00EC7B4E"/>
    <w:rsid w:val="00ED08E4"/>
    <w:rsid w:val="00ED126F"/>
    <w:rsid w:val="00ED4AE9"/>
    <w:rsid w:val="00ED53C1"/>
    <w:rsid w:val="00ED5FD7"/>
    <w:rsid w:val="00ED6921"/>
    <w:rsid w:val="00ED7F1C"/>
    <w:rsid w:val="00EE059E"/>
    <w:rsid w:val="00EE12C6"/>
    <w:rsid w:val="00EE3847"/>
    <w:rsid w:val="00EE569D"/>
    <w:rsid w:val="00EE620D"/>
    <w:rsid w:val="00EE6471"/>
    <w:rsid w:val="00EE7BEC"/>
    <w:rsid w:val="00EF0B0D"/>
    <w:rsid w:val="00EF2D28"/>
    <w:rsid w:val="00EF2D6E"/>
    <w:rsid w:val="00EF5090"/>
    <w:rsid w:val="00EF786E"/>
    <w:rsid w:val="00EF7C10"/>
    <w:rsid w:val="00F001B6"/>
    <w:rsid w:val="00F015B8"/>
    <w:rsid w:val="00F0215B"/>
    <w:rsid w:val="00F03C2E"/>
    <w:rsid w:val="00F07EF0"/>
    <w:rsid w:val="00F11072"/>
    <w:rsid w:val="00F125B9"/>
    <w:rsid w:val="00F1405B"/>
    <w:rsid w:val="00F14348"/>
    <w:rsid w:val="00F1484C"/>
    <w:rsid w:val="00F14BE7"/>
    <w:rsid w:val="00F20592"/>
    <w:rsid w:val="00F20A02"/>
    <w:rsid w:val="00F215AA"/>
    <w:rsid w:val="00F230E2"/>
    <w:rsid w:val="00F233F5"/>
    <w:rsid w:val="00F2361B"/>
    <w:rsid w:val="00F23BED"/>
    <w:rsid w:val="00F25421"/>
    <w:rsid w:val="00F27C71"/>
    <w:rsid w:val="00F3018C"/>
    <w:rsid w:val="00F30849"/>
    <w:rsid w:val="00F31483"/>
    <w:rsid w:val="00F3168C"/>
    <w:rsid w:val="00F322F9"/>
    <w:rsid w:val="00F3232D"/>
    <w:rsid w:val="00F3350F"/>
    <w:rsid w:val="00F337F2"/>
    <w:rsid w:val="00F344A1"/>
    <w:rsid w:val="00F3460F"/>
    <w:rsid w:val="00F37BBD"/>
    <w:rsid w:val="00F436F1"/>
    <w:rsid w:val="00F44340"/>
    <w:rsid w:val="00F4555B"/>
    <w:rsid w:val="00F50EAF"/>
    <w:rsid w:val="00F51EF5"/>
    <w:rsid w:val="00F5219B"/>
    <w:rsid w:val="00F535F8"/>
    <w:rsid w:val="00F53A21"/>
    <w:rsid w:val="00F53C38"/>
    <w:rsid w:val="00F60B30"/>
    <w:rsid w:val="00F61666"/>
    <w:rsid w:val="00F62AD0"/>
    <w:rsid w:val="00F63031"/>
    <w:rsid w:val="00F6438F"/>
    <w:rsid w:val="00F644D7"/>
    <w:rsid w:val="00F65957"/>
    <w:rsid w:val="00F65966"/>
    <w:rsid w:val="00F660A8"/>
    <w:rsid w:val="00F6636F"/>
    <w:rsid w:val="00F6687D"/>
    <w:rsid w:val="00F66E58"/>
    <w:rsid w:val="00F67B0A"/>
    <w:rsid w:val="00F731EB"/>
    <w:rsid w:val="00F74843"/>
    <w:rsid w:val="00F76770"/>
    <w:rsid w:val="00F80DA1"/>
    <w:rsid w:val="00F80F88"/>
    <w:rsid w:val="00F8125E"/>
    <w:rsid w:val="00F812E0"/>
    <w:rsid w:val="00F822D8"/>
    <w:rsid w:val="00F82355"/>
    <w:rsid w:val="00F82D06"/>
    <w:rsid w:val="00F85505"/>
    <w:rsid w:val="00F8792D"/>
    <w:rsid w:val="00F90255"/>
    <w:rsid w:val="00F9164E"/>
    <w:rsid w:val="00F923C7"/>
    <w:rsid w:val="00F926AE"/>
    <w:rsid w:val="00F94DBB"/>
    <w:rsid w:val="00F96DD8"/>
    <w:rsid w:val="00F971E4"/>
    <w:rsid w:val="00F97D12"/>
    <w:rsid w:val="00FA1221"/>
    <w:rsid w:val="00FA27F7"/>
    <w:rsid w:val="00FA286C"/>
    <w:rsid w:val="00FA3ECE"/>
    <w:rsid w:val="00FA41F8"/>
    <w:rsid w:val="00FA49DC"/>
    <w:rsid w:val="00FA5F02"/>
    <w:rsid w:val="00FA6A0D"/>
    <w:rsid w:val="00FA7033"/>
    <w:rsid w:val="00FA7179"/>
    <w:rsid w:val="00FA7F13"/>
    <w:rsid w:val="00FB0EE9"/>
    <w:rsid w:val="00FB3A18"/>
    <w:rsid w:val="00FB7A32"/>
    <w:rsid w:val="00FC00A4"/>
    <w:rsid w:val="00FC3E61"/>
    <w:rsid w:val="00FC4C76"/>
    <w:rsid w:val="00FC4DAE"/>
    <w:rsid w:val="00FC6E4B"/>
    <w:rsid w:val="00FC772A"/>
    <w:rsid w:val="00FD238E"/>
    <w:rsid w:val="00FD2407"/>
    <w:rsid w:val="00FD3583"/>
    <w:rsid w:val="00FD4A2D"/>
    <w:rsid w:val="00FD60EC"/>
    <w:rsid w:val="00FD6B1C"/>
    <w:rsid w:val="00FE064B"/>
    <w:rsid w:val="00FE1614"/>
    <w:rsid w:val="00FE233C"/>
    <w:rsid w:val="00FE2FCE"/>
    <w:rsid w:val="00FE3341"/>
    <w:rsid w:val="00FE54EE"/>
    <w:rsid w:val="00FE5C8E"/>
    <w:rsid w:val="00FE5DB3"/>
    <w:rsid w:val="00FE7184"/>
    <w:rsid w:val="00FF00A0"/>
    <w:rsid w:val="00FF0718"/>
    <w:rsid w:val="00FF08E9"/>
    <w:rsid w:val="00FF1D11"/>
    <w:rsid w:val="00FF3C6F"/>
    <w:rsid w:val="00FF48BC"/>
    <w:rsid w:val="00FF7EA4"/>
    <w:rsid w:val="00FF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5C66AF"/>
  <w15:chartTrackingRefBased/>
  <w15:docId w15:val="{8A4A1AD3-4910-460F-8BBF-F295BBA30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3C7A"/>
    <w:rPr>
      <w:rFonts w:ascii="Arial" w:hAnsi="Arial"/>
      <w:color w:val="5B6770" w:themeColor="text2"/>
      <w:sz w:val="24"/>
      <w:szCs w:val="24"/>
    </w:rPr>
  </w:style>
  <w:style w:type="paragraph" w:styleId="Heading1">
    <w:name w:val="heading 1"/>
    <w:basedOn w:val="Normal"/>
    <w:next w:val="Normal"/>
    <w:link w:val="Heading1Char"/>
    <w:qFormat/>
    <w:rsid w:val="00423C7A"/>
    <w:pPr>
      <w:keepNext/>
      <w:numPr>
        <w:numId w:val="6"/>
      </w:numPr>
      <w:tabs>
        <w:tab w:val="clear" w:pos="360"/>
        <w:tab w:val="num" w:pos="540"/>
      </w:tabs>
      <w:spacing w:before="320" w:after="240"/>
      <w:ind w:left="540" w:hanging="540"/>
      <w:outlineLvl w:val="0"/>
    </w:pPr>
    <w:rPr>
      <w:rFonts w:cs="Arial"/>
      <w:b/>
      <w:bCs/>
      <w:color w:val="00ACC8" w:themeColor="accent1"/>
      <w:kern w:val="32"/>
      <w:sz w:val="28"/>
      <w:szCs w:val="32"/>
    </w:rPr>
  </w:style>
  <w:style w:type="paragraph" w:styleId="Heading2">
    <w:name w:val="heading 2"/>
    <w:basedOn w:val="Normal"/>
    <w:next w:val="Normal"/>
    <w:link w:val="Heading2Char"/>
    <w:qFormat/>
    <w:rsid w:val="00423C7A"/>
    <w:pPr>
      <w:keepNext/>
      <w:numPr>
        <w:ilvl w:val="1"/>
        <w:numId w:val="6"/>
      </w:numPr>
      <w:tabs>
        <w:tab w:val="clear" w:pos="792"/>
        <w:tab w:val="num" w:pos="1260"/>
      </w:tabs>
      <w:spacing w:before="160" w:after="160"/>
      <w:ind w:left="1260" w:hanging="720"/>
      <w:outlineLvl w:val="1"/>
    </w:pPr>
    <w:rPr>
      <w:rFonts w:cs="Arial"/>
      <w:b/>
      <w:bCs/>
      <w:iCs/>
      <w:color w:val="00ACC8" w:themeColor="accent1"/>
      <w:sz w:val="22"/>
      <w:szCs w:val="28"/>
    </w:rPr>
  </w:style>
  <w:style w:type="paragraph" w:styleId="Heading3">
    <w:name w:val="heading 3"/>
    <w:basedOn w:val="Normal"/>
    <w:next w:val="Normal"/>
    <w:qFormat/>
    <w:rsid w:val="00423C7A"/>
    <w:pPr>
      <w:keepNext/>
      <w:numPr>
        <w:ilvl w:val="2"/>
        <w:numId w:val="6"/>
      </w:numPr>
      <w:tabs>
        <w:tab w:val="clear" w:pos="3960"/>
        <w:tab w:val="num" w:pos="1980"/>
      </w:tabs>
      <w:spacing w:before="160" w:after="160"/>
      <w:ind w:left="1980"/>
      <w:outlineLvl w:val="2"/>
    </w:pPr>
    <w:rPr>
      <w:b/>
      <w:bCs/>
      <w:color w:val="00ACC8" w:themeColor="accent1"/>
      <w:sz w:val="20"/>
      <w:szCs w:val="22"/>
    </w:rPr>
  </w:style>
  <w:style w:type="paragraph" w:styleId="Heading4">
    <w:name w:val="heading 4"/>
    <w:basedOn w:val="Heading3"/>
    <w:next w:val="Normal"/>
    <w:qFormat/>
    <w:rsid w:val="001349CB"/>
    <w:pPr>
      <w:numPr>
        <w:ilvl w:val="3"/>
      </w:numPr>
      <w:tabs>
        <w:tab w:val="clear" w:pos="4867"/>
      </w:tabs>
      <w:spacing w:after="60" w:line="260" w:lineRule="exact"/>
      <w:ind w:left="2700" w:hanging="720"/>
      <w:outlineLvl w:val="3"/>
    </w:pPr>
    <w:rPr>
      <w:bCs w:val="0"/>
      <w:sz w:val="18"/>
      <w:szCs w:val="21"/>
    </w:rPr>
  </w:style>
  <w:style w:type="paragraph" w:styleId="Heading5">
    <w:name w:val="heading 5"/>
    <w:basedOn w:val="Normal"/>
    <w:next w:val="Normal"/>
    <w:qFormat/>
    <w:rsid w:val="00423C7A"/>
    <w:pPr>
      <w:numPr>
        <w:ilvl w:val="4"/>
        <w:numId w:val="3"/>
      </w:numPr>
      <w:spacing w:before="240" w:after="60"/>
      <w:outlineLvl w:val="4"/>
    </w:pPr>
    <w:rPr>
      <w:b/>
      <w:bCs/>
      <w:iCs/>
      <w:color w:val="00ACC8" w:themeColor="accent1"/>
      <w:sz w:val="26"/>
      <w:szCs w:val="26"/>
    </w:rPr>
  </w:style>
  <w:style w:type="paragraph" w:styleId="Heading6">
    <w:name w:val="heading 6"/>
    <w:basedOn w:val="Normal"/>
    <w:next w:val="Normal"/>
    <w:qFormat/>
    <w:rsid w:val="00423C7A"/>
    <w:pPr>
      <w:numPr>
        <w:ilvl w:val="5"/>
        <w:numId w:val="3"/>
      </w:numPr>
      <w:spacing w:before="240" w:after="60"/>
      <w:outlineLvl w:val="5"/>
    </w:pPr>
    <w:rPr>
      <w:b/>
      <w:bCs/>
      <w:color w:val="00ACC8" w:themeColor="accent1"/>
      <w:sz w:val="22"/>
      <w:szCs w:val="22"/>
    </w:rPr>
  </w:style>
  <w:style w:type="paragraph" w:styleId="Heading7">
    <w:name w:val="heading 7"/>
    <w:basedOn w:val="Normal"/>
    <w:next w:val="Normal"/>
    <w:qFormat/>
    <w:rsid w:val="00423C7A"/>
    <w:pPr>
      <w:numPr>
        <w:ilvl w:val="6"/>
        <w:numId w:val="3"/>
      </w:numPr>
      <w:spacing w:before="240" w:after="60"/>
      <w:outlineLvl w:val="6"/>
    </w:pPr>
    <w:rPr>
      <w:b/>
      <w:color w:val="00ACC8" w:themeColor="accent1"/>
    </w:rPr>
  </w:style>
  <w:style w:type="paragraph" w:styleId="Heading8">
    <w:name w:val="heading 8"/>
    <w:basedOn w:val="Normal"/>
    <w:next w:val="Normal"/>
    <w:qFormat/>
    <w:rsid w:val="00423C7A"/>
    <w:pPr>
      <w:numPr>
        <w:ilvl w:val="7"/>
        <w:numId w:val="3"/>
      </w:numPr>
      <w:spacing w:before="240" w:after="60"/>
      <w:outlineLvl w:val="7"/>
    </w:pPr>
    <w:rPr>
      <w:b/>
      <w:iCs/>
      <w:color w:val="00ACC8" w:themeColor="accent1"/>
    </w:rPr>
  </w:style>
  <w:style w:type="paragraph" w:styleId="Heading9">
    <w:name w:val="heading 9"/>
    <w:basedOn w:val="Normal"/>
    <w:next w:val="Normal"/>
    <w:qFormat/>
    <w:rsid w:val="00423C7A"/>
    <w:pPr>
      <w:numPr>
        <w:ilvl w:val="8"/>
        <w:numId w:val="3"/>
      </w:numPr>
      <w:spacing w:before="240" w:after="60"/>
      <w:outlineLvl w:val="8"/>
    </w:pPr>
    <w:rPr>
      <w:rFonts w:cs="Arial"/>
      <w:b/>
      <w:color w:val="00ACC8"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23C7A"/>
    <w:rPr>
      <w:rFonts w:ascii="Arial" w:hAnsi="Arial" w:cs="Arial"/>
      <w:b/>
      <w:bCs/>
      <w:color w:val="00ACC8" w:themeColor="accent1"/>
      <w:kern w:val="32"/>
      <w:sz w:val="28"/>
      <w:szCs w:val="32"/>
    </w:rPr>
  </w:style>
  <w:style w:type="character" w:customStyle="1" w:styleId="Heading2Char">
    <w:name w:val="Heading 2 Char"/>
    <w:link w:val="Heading2"/>
    <w:rsid w:val="00423C7A"/>
    <w:rPr>
      <w:rFonts w:ascii="Arial" w:hAnsi="Arial" w:cs="Arial"/>
      <w:b/>
      <w:bCs/>
      <w:iCs/>
      <w:color w:val="00ACC8" w:themeColor="accent1"/>
      <w:sz w:val="22"/>
      <w:szCs w:val="28"/>
    </w:rPr>
  </w:style>
  <w:style w:type="character" w:styleId="Hyperlink">
    <w:name w:val="Hyperlink"/>
    <w:rsid w:val="00CF5CF3"/>
    <w:rPr>
      <w:rFonts w:ascii="Arial" w:hAnsi="Arial"/>
      <w:color w:val="003764" w:themeColor="accent4"/>
      <w:u w:val="single"/>
    </w:rPr>
  </w:style>
  <w:style w:type="paragraph" w:styleId="FootnoteText">
    <w:name w:val="footnote text"/>
    <w:basedOn w:val="Normal"/>
    <w:semiHidden/>
    <w:rsid w:val="00E82308"/>
    <w:rPr>
      <w:sz w:val="16"/>
      <w:szCs w:val="20"/>
    </w:rPr>
  </w:style>
  <w:style w:type="character" w:styleId="FootnoteReference">
    <w:name w:val="footnote reference"/>
    <w:semiHidden/>
    <w:rsid w:val="00E82308"/>
    <w:rPr>
      <w:rFonts w:ascii="Times New Roman" w:hAnsi="Times New Roman"/>
      <w:sz w:val="18"/>
      <w:vertAlign w:val="superscript"/>
    </w:rPr>
  </w:style>
  <w:style w:type="paragraph" w:customStyle="1" w:styleId="cutline">
    <w:name w:val="cutline"/>
    <w:basedOn w:val="Normal"/>
    <w:rsid w:val="00EA2B1F"/>
    <w:pPr>
      <w:spacing w:before="40" w:after="160"/>
      <w:jc w:val="center"/>
    </w:pPr>
    <w:rPr>
      <w:sz w:val="18"/>
    </w:rPr>
  </w:style>
  <w:style w:type="paragraph" w:styleId="BalloonText">
    <w:name w:val="Balloon Text"/>
    <w:basedOn w:val="Normal"/>
    <w:semiHidden/>
    <w:rPr>
      <w:rFonts w:ascii="Tahoma" w:hAnsi="Tahoma" w:cs="Tahoma"/>
      <w:sz w:val="16"/>
      <w:szCs w:val="16"/>
    </w:rPr>
  </w:style>
  <w:style w:type="paragraph" w:customStyle="1" w:styleId="bulletlevel1">
    <w:name w:val="bullet level 1"/>
    <w:basedOn w:val="BodyText"/>
    <w:link w:val="bulletlevel1Char1"/>
    <w:rsid w:val="00EA2B1F"/>
    <w:pPr>
      <w:numPr>
        <w:numId w:val="1"/>
      </w:numPr>
      <w:tabs>
        <w:tab w:val="left" w:pos="576"/>
      </w:tabs>
      <w:ind w:left="576" w:hanging="288"/>
    </w:pPr>
    <w:rPr>
      <w:color w:val="5B6770" w:themeColor="text2"/>
    </w:rPr>
  </w:style>
  <w:style w:type="paragraph" w:styleId="BodyText">
    <w:name w:val="Body Text"/>
    <w:basedOn w:val="Normal"/>
    <w:link w:val="BodyTextChar"/>
    <w:rsid w:val="00EA2B1F"/>
    <w:pPr>
      <w:spacing w:after="120" w:line="260" w:lineRule="exact"/>
    </w:pPr>
    <w:rPr>
      <w:color w:val="5B6770" w:themeColor="accent2"/>
      <w:sz w:val="21"/>
    </w:rPr>
  </w:style>
  <w:style w:type="character" w:customStyle="1" w:styleId="BodyTextChar">
    <w:name w:val="Body Text Char"/>
    <w:link w:val="BodyText"/>
    <w:rsid w:val="00EA2B1F"/>
    <w:rPr>
      <w:rFonts w:ascii="Arial" w:hAnsi="Arial"/>
      <w:color w:val="5B6770" w:themeColor="accent2"/>
      <w:sz w:val="21"/>
      <w:szCs w:val="24"/>
    </w:rPr>
  </w:style>
  <w:style w:type="character" w:customStyle="1" w:styleId="bulletlevel1Char1">
    <w:name w:val="bullet level 1 Char1"/>
    <w:basedOn w:val="BodyTextChar"/>
    <w:link w:val="bulletlevel1"/>
    <w:rsid w:val="00EA2B1F"/>
    <w:rPr>
      <w:rFonts w:ascii="Arial" w:hAnsi="Arial"/>
      <w:color w:val="5B6770" w:themeColor="text2"/>
      <w:sz w:val="21"/>
      <w:szCs w:val="24"/>
    </w:rPr>
  </w:style>
  <w:style w:type="paragraph" w:customStyle="1" w:styleId="bulletlevel2">
    <w:name w:val="bullet level 2"/>
    <w:basedOn w:val="bulletlevel1"/>
    <w:link w:val="bulletlevel2Char"/>
    <w:qFormat/>
    <w:rsid w:val="00B33B13"/>
    <w:pPr>
      <w:numPr>
        <w:numId w:val="2"/>
      </w:numPr>
      <w:tabs>
        <w:tab w:val="clear" w:pos="576"/>
        <w:tab w:val="clear" w:pos="1800"/>
        <w:tab w:val="left" w:pos="864"/>
      </w:tabs>
      <w:ind w:left="864" w:hanging="288"/>
    </w:pPr>
  </w:style>
  <w:style w:type="character" w:customStyle="1" w:styleId="bulletlevel2Char">
    <w:name w:val="bullet level 2 Char"/>
    <w:basedOn w:val="bulletlevel1Char1"/>
    <w:link w:val="bulletlevel2"/>
    <w:rsid w:val="00B33B13"/>
    <w:rPr>
      <w:rFonts w:ascii="Arial" w:hAnsi="Arial"/>
      <w:color w:val="5B6770" w:themeColor="text2"/>
      <w:sz w:val="21"/>
      <w:szCs w:val="24"/>
    </w:rPr>
  </w:style>
  <w:style w:type="paragraph" w:styleId="Header">
    <w:name w:val="header"/>
    <w:basedOn w:val="Normal"/>
    <w:rsid w:val="00CF5CF3"/>
    <w:pPr>
      <w:tabs>
        <w:tab w:val="center" w:pos="4320"/>
        <w:tab w:val="right" w:pos="8640"/>
      </w:tabs>
    </w:pPr>
  </w:style>
  <w:style w:type="paragraph" w:styleId="Footer">
    <w:name w:val="footer"/>
    <w:basedOn w:val="Normal"/>
    <w:link w:val="FooterChar"/>
    <w:autoRedefine/>
    <w:uiPriority w:val="99"/>
    <w:qFormat/>
    <w:rsid w:val="00671147"/>
    <w:pPr>
      <w:tabs>
        <w:tab w:val="center" w:pos="4320"/>
        <w:tab w:val="right" w:pos="8640"/>
      </w:tabs>
    </w:pPr>
    <w:rPr>
      <w:color w:val="00ACC8" w:themeColor="accent1"/>
      <w:sz w:val="18"/>
      <w:szCs w:val="18"/>
    </w:rPr>
  </w:style>
  <w:style w:type="character" w:styleId="PageNumber">
    <w:name w:val="page number"/>
    <w:rsid w:val="00400806"/>
    <w:rPr>
      <w:rFonts w:ascii="Arial" w:hAnsi="Arial"/>
    </w:rPr>
  </w:style>
  <w:style w:type="paragraph" w:customStyle="1" w:styleId="label">
    <w:name w:val="label"/>
    <w:basedOn w:val="Normal"/>
    <w:pPr>
      <w:jc w:val="center"/>
    </w:pPr>
    <w:rPr>
      <w:rFonts w:cs="Arial"/>
      <w:sz w:val="20"/>
      <w:szCs w:val="20"/>
    </w:rPr>
  </w:style>
  <w:style w:type="table" w:styleId="TableGrid">
    <w:name w:val="Table Grid"/>
    <w:basedOn w:val="TableNormal"/>
    <w:rsid w:val="00CF5CF3"/>
    <w:rPr>
      <w:rFonts w:ascii="Arial" w:hAnsi="Arial"/>
      <w:color w:val="5B6770" w:themeColor="text2"/>
    </w:rPr>
    <w:tblPr>
      <w:tblBorders>
        <w:insideH w:val="single" w:sz="4" w:space="0" w:color="00ACC8" w:themeColor="accent1"/>
        <w:insideV w:val="single" w:sz="4" w:space="0" w:color="00ACC8" w:themeColor="accent1"/>
      </w:tblBorders>
    </w:tblPr>
    <w:tcPr>
      <w:shd w:val="clear" w:color="auto" w:fill="auto"/>
    </w:tcPr>
  </w:style>
  <w:style w:type="paragraph" w:styleId="TOC1">
    <w:name w:val="toc 1"/>
    <w:basedOn w:val="BodyText"/>
    <w:next w:val="Normal"/>
    <w:autoRedefine/>
    <w:rsid w:val="00203190"/>
    <w:pPr>
      <w:tabs>
        <w:tab w:val="left" w:pos="360"/>
        <w:tab w:val="right" w:leader="dot" w:pos="8630"/>
      </w:tabs>
    </w:pPr>
  </w:style>
  <w:style w:type="paragraph" w:styleId="TOC2">
    <w:name w:val="toc 2"/>
    <w:basedOn w:val="BodyText"/>
    <w:next w:val="Normal"/>
    <w:autoRedefine/>
    <w:rsid w:val="00026479"/>
    <w:pPr>
      <w:tabs>
        <w:tab w:val="left" w:pos="720"/>
        <w:tab w:val="right" w:leader="dot" w:pos="8630"/>
      </w:tabs>
      <w:ind w:left="180"/>
    </w:pPr>
  </w:style>
  <w:style w:type="paragraph" w:styleId="TOC4">
    <w:name w:val="toc 4"/>
    <w:basedOn w:val="Normal"/>
    <w:next w:val="Normal"/>
    <w:autoRedefine/>
    <w:rsid w:val="00EA2B1F"/>
    <w:pPr>
      <w:tabs>
        <w:tab w:val="right" w:leader="dot" w:pos="8630"/>
      </w:tabs>
      <w:spacing w:after="120" w:line="260" w:lineRule="exact"/>
      <w:ind w:left="720"/>
    </w:pPr>
    <w:rPr>
      <w:noProof/>
      <w:sz w:val="21"/>
    </w:rPr>
  </w:style>
  <w:style w:type="paragraph" w:styleId="NormalWeb">
    <w:name w:val="Normal (Web)"/>
    <w:basedOn w:val="Normal"/>
    <w:uiPriority w:val="99"/>
    <w:rsid w:val="003B59E6"/>
    <w:pPr>
      <w:spacing w:before="100" w:beforeAutospacing="1" w:after="100" w:afterAutospacing="1"/>
    </w:pPr>
  </w:style>
  <w:style w:type="paragraph" w:styleId="TOC3">
    <w:name w:val="toc 3"/>
    <w:basedOn w:val="BodyText"/>
    <w:next w:val="Normal"/>
    <w:autoRedefine/>
    <w:rsid w:val="00B33B13"/>
    <w:pPr>
      <w:tabs>
        <w:tab w:val="right" w:leader="dot" w:pos="8630"/>
      </w:tabs>
      <w:ind w:left="360"/>
    </w:pPr>
  </w:style>
  <w:style w:type="paragraph" w:customStyle="1" w:styleId="tablehead">
    <w:name w:val="table head"/>
    <w:basedOn w:val="BodyText"/>
    <w:rsid w:val="001A131B"/>
    <w:pPr>
      <w:spacing w:before="20" w:after="20" w:line="240" w:lineRule="exact"/>
    </w:pPr>
    <w:rPr>
      <w:b/>
      <w:sz w:val="18"/>
    </w:rPr>
  </w:style>
  <w:style w:type="paragraph" w:customStyle="1" w:styleId="table">
    <w:name w:val="table"/>
    <w:basedOn w:val="BodyText"/>
    <w:rsid w:val="00D055CC"/>
    <w:pPr>
      <w:spacing w:before="20" w:after="20" w:line="240" w:lineRule="exact"/>
    </w:pPr>
    <w:rPr>
      <w:sz w:val="18"/>
    </w:rPr>
  </w:style>
  <w:style w:type="paragraph" w:customStyle="1" w:styleId="Normal1">
    <w:name w:val="Normal1"/>
    <w:basedOn w:val="Normal"/>
    <w:rsid w:val="0015049D"/>
    <w:pPr>
      <w:spacing w:after="120"/>
      <w:ind w:left="576"/>
    </w:pPr>
    <w:rPr>
      <w:sz w:val="22"/>
    </w:rPr>
  </w:style>
  <w:style w:type="paragraph" w:customStyle="1" w:styleId="spacer">
    <w:name w:val="spacer"/>
    <w:rsid w:val="00CF5CF3"/>
    <w:pPr>
      <w:spacing w:before="7200"/>
    </w:pPr>
    <w:rPr>
      <w:rFonts w:ascii="Arial" w:hAnsi="Arial" w:cs="Arial"/>
      <w:bCs/>
      <w:color w:val="5B6770" w:themeColor="text2"/>
      <w:kern w:val="32"/>
      <w:sz w:val="32"/>
      <w:szCs w:val="32"/>
    </w:rPr>
  </w:style>
  <w:style w:type="paragraph" w:customStyle="1" w:styleId="TOCHead">
    <w:name w:val="TOC Head"/>
    <w:rsid w:val="00CF5CF3"/>
    <w:pPr>
      <w:spacing w:before="320" w:after="240"/>
    </w:pPr>
    <w:rPr>
      <w:rFonts w:ascii="Arial" w:hAnsi="Arial" w:cs="Arial"/>
      <w:b/>
      <w:bCs/>
      <w:color w:val="00ACC8" w:themeColor="accent1"/>
      <w:kern w:val="32"/>
      <w:sz w:val="28"/>
      <w:szCs w:val="32"/>
    </w:rPr>
  </w:style>
  <w:style w:type="paragraph" w:customStyle="1" w:styleId="Normal2">
    <w:name w:val="Normal2"/>
    <w:basedOn w:val="Normal"/>
    <w:rsid w:val="00B54C8C"/>
    <w:pPr>
      <w:spacing w:before="60" w:after="120"/>
      <w:ind w:left="1440"/>
    </w:pPr>
    <w:rPr>
      <w:sz w:val="22"/>
    </w:rPr>
  </w:style>
  <w:style w:type="paragraph" w:customStyle="1" w:styleId="Normal3">
    <w:name w:val="Normal3"/>
    <w:basedOn w:val="Normal"/>
    <w:rsid w:val="00C46FB2"/>
    <w:pPr>
      <w:spacing w:after="120"/>
      <w:ind w:left="1728"/>
    </w:pPr>
    <w:rPr>
      <w:sz w:val="22"/>
    </w:rPr>
  </w:style>
  <w:style w:type="paragraph" w:customStyle="1" w:styleId="bulletlevel3">
    <w:name w:val="bullet level 3"/>
    <w:basedOn w:val="Normal"/>
    <w:qFormat/>
    <w:rsid w:val="00EA2B1F"/>
    <w:pPr>
      <w:numPr>
        <w:ilvl w:val="2"/>
        <w:numId w:val="4"/>
      </w:numPr>
      <w:tabs>
        <w:tab w:val="clear" w:pos="1800"/>
        <w:tab w:val="left" w:pos="1080"/>
      </w:tabs>
      <w:spacing w:after="120" w:line="260" w:lineRule="exact"/>
      <w:ind w:left="1440" w:hanging="360"/>
    </w:pPr>
    <w:rPr>
      <w:sz w:val="21"/>
      <w:szCs w:val="21"/>
    </w:rPr>
  </w:style>
  <w:style w:type="paragraph" w:customStyle="1" w:styleId="number">
    <w:name w:val="number"/>
    <w:basedOn w:val="BodyText"/>
    <w:link w:val="numberChar"/>
    <w:rsid w:val="00026313"/>
    <w:pPr>
      <w:numPr>
        <w:ilvl w:val="3"/>
        <w:numId w:val="5"/>
      </w:numPr>
      <w:tabs>
        <w:tab w:val="clear" w:pos="4032"/>
        <w:tab w:val="left" w:pos="648"/>
      </w:tabs>
      <w:ind w:left="648" w:hanging="288"/>
    </w:pPr>
  </w:style>
  <w:style w:type="character" w:customStyle="1" w:styleId="numberChar">
    <w:name w:val="number Char"/>
    <w:basedOn w:val="BodyTextChar"/>
    <w:link w:val="number"/>
    <w:rsid w:val="00026313"/>
    <w:rPr>
      <w:rFonts w:ascii="Arial" w:hAnsi="Arial"/>
      <w:color w:val="5B6770" w:themeColor="accent2"/>
      <w:sz w:val="21"/>
      <w:szCs w:val="24"/>
    </w:rPr>
  </w:style>
  <w:style w:type="character" w:styleId="FollowedHyperlink">
    <w:name w:val="FollowedHyperlink"/>
    <w:rsid w:val="00CF5CF3"/>
    <w:rPr>
      <w:rFonts w:ascii="Arial" w:hAnsi="Arial" w:cs="Arial"/>
      <w:color w:val="5B6770" w:themeColor="text2"/>
    </w:rPr>
  </w:style>
  <w:style w:type="paragraph" w:customStyle="1" w:styleId="body2">
    <w:name w:val="body2"/>
    <w:basedOn w:val="BodyText"/>
    <w:link w:val="body2Char"/>
    <w:rsid w:val="001349CB"/>
    <w:pPr>
      <w:ind w:left="1260"/>
    </w:pPr>
  </w:style>
  <w:style w:type="character" w:customStyle="1" w:styleId="body2Char">
    <w:name w:val="body2 Char"/>
    <w:basedOn w:val="BodyTextChar"/>
    <w:link w:val="body2"/>
    <w:rsid w:val="001349CB"/>
    <w:rPr>
      <w:rFonts w:ascii="Arial" w:hAnsi="Arial"/>
      <w:color w:val="5B6770" w:themeColor="accent2"/>
      <w:sz w:val="21"/>
      <w:szCs w:val="24"/>
      <w:lang w:val="en-US" w:eastAsia="en-US" w:bidi="ar-SA"/>
    </w:rPr>
  </w:style>
  <w:style w:type="paragraph" w:customStyle="1" w:styleId="bullet2level1">
    <w:name w:val="bullet2 level1"/>
    <w:basedOn w:val="bulletlevel1"/>
    <w:rsid w:val="001349CB"/>
    <w:pPr>
      <w:tabs>
        <w:tab w:val="clear" w:pos="576"/>
        <w:tab w:val="clear" w:pos="1872"/>
        <w:tab w:val="left" w:pos="1620"/>
      </w:tabs>
      <w:ind w:left="1620"/>
    </w:pPr>
  </w:style>
  <w:style w:type="paragraph" w:customStyle="1" w:styleId="body3">
    <w:name w:val="body3"/>
    <w:basedOn w:val="body2"/>
    <w:rsid w:val="001349CB"/>
    <w:pPr>
      <w:ind w:left="1980"/>
    </w:pPr>
  </w:style>
  <w:style w:type="character" w:customStyle="1" w:styleId="number3Char">
    <w:name w:val="number 3 Char"/>
    <w:basedOn w:val="BodyTextChar"/>
    <w:link w:val="number3"/>
    <w:rsid w:val="004822CF"/>
    <w:rPr>
      <w:rFonts w:ascii="Arial" w:hAnsi="Arial"/>
      <w:color w:val="5B6770" w:themeColor="accent2"/>
      <w:sz w:val="21"/>
      <w:szCs w:val="24"/>
      <w:lang w:val="en-US" w:eastAsia="en-US" w:bidi="ar-SA"/>
    </w:rPr>
  </w:style>
  <w:style w:type="paragraph" w:customStyle="1" w:styleId="number3">
    <w:name w:val="number 3"/>
    <w:basedOn w:val="BodyText"/>
    <w:link w:val="number3Char"/>
    <w:rsid w:val="004822CF"/>
    <w:pPr>
      <w:ind w:left="1980" w:hanging="360"/>
    </w:pPr>
  </w:style>
  <w:style w:type="paragraph" w:customStyle="1" w:styleId="number1">
    <w:name w:val="number 1"/>
    <w:basedOn w:val="BodyText"/>
    <w:rsid w:val="00D85443"/>
    <w:pPr>
      <w:ind w:left="1440" w:hanging="360"/>
    </w:pPr>
  </w:style>
  <w:style w:type="paragraph" w:customStyle="1" w:styleId="number2">
    <w:name w:val="number 2"/>
    <w:basedOn w:val="BodyText"/>
    <w:link w:val="number2Char"/>
    <w:rsid w:val="009D2CFE"/>
    <w:pPr>
      <w:ind w:left="1800" w:hanging="360"/>
    </w:pPr>
  </w:style>
  <w:style w:type="character" w:customStyle="1" w:styleId="number2Char">
    <w:name w:val="number 2 Char"/>
    <w:basedOn w:val="BodyTextChar"/>
    <w:link w:val="number2"/>
    <w:rsid w:val="009D2CFE"/>
    <w:rPr>
      <w:rFonts w:ascii="Arial" w:hAnsi="Arial"/>
      <w:color w:val="5B6770" w:themeColor="accent2"/>
      <w:sz w:val="21"/>
      <w:szCs w:val="24"/>
      <w:lang w:val="en-US" w:eastAsia="en-US" w:bidi="ar-SA"/>
    </w:rPr>
  </w:style>
  <w:style w:type="paragraph" w:customStyle="1" w:styleId="bullet3level1">
    <w:name w:val="bullet3 level1"/>
    <w:basedOn w:val="bullet2level1"/>
    <w:rsid w:val="00B97DAF"/>
    <w:pPr>
      <w:tabs>
        <w:tab w:val="left" w:pos="2160"/>
      </w:tabs>
      <w:ind w:left="2160" w:hanging="180"/>
    </w:pPr>
  </w:style>
  <w:style w:type="paragraph" w:customStyle="1" w:styleId="StylespacerRightBefore400pt">
    <w:name w:val="Style spacer + Right Before:  400 pt"/>
    <w:basedOn w:val="spacer"/>
    <w:rsid w:val="00EA2B1F"/>
    <w:pPr>
      <w:spacing w:before="8000"/>
      <w:jc w:val="right"/>
    </w:pPr>
    <w:rPr>
      <w:rFonts w:cs="Times New Roman"/>
      <w:bCs w:val="0"/>
      <w:szCs w:val="20"/>
    </w:rPr>
  </w:style>
  <w:style w:type="paragraph" w:customStyle="1" w:styleId="box">
    <w:name w:val="box"/>
    <w:basedOn w:val="Normal"/>
    <w:rsid w:val="00EA2B1F"/>
    <w:pPr>
      <w:spacing w:beforeLines="40" w:before="40" w:afterLines="40" w:after="40"/>
      <w:jc w:val="center"/>
    </w:pPr>
  </w:style>
  <w:style w:type="paragraph" w:customStyle="1" w:styleId="Level4">
    <w:name w:val="Level 4"/>
    <w:basedOn w:val="Heading3"/>
    <w:rsid w:val="00B423D5"/>
    <w:pPr>
      <w:numPr>
        <w:ilvl w:val="0"/>
        <w:numId w:val="0"/>
      </w:numPr>
    </w:pPr>
    <w:rPr>
      <w:smallCaps/>
      <w:sz w:val="19"/>
      <w:szCs w:val="19"/>
    </w:rPr>
  </w:style>
  <w:style w:type="paragraph" w:customStyle="1" w:styleId="Level2">
    <w:name w:val="Level 2"/>
    <w:basedOn w:val="Heading2"/>
    <w:link w:val="Level2Char"/>
    <w:rsid w:val="00B423D5"/>
    <w:pPr>
      <w:numPr>
        <w:ilvl w:val="0"/>
        <w:numId w:val="0"/>
      </w:numPr>
    </w:pPr>
  </w:style>
  <w:style w:type="character" w:customStyle="1" w:styleId="Level2Char">
    <w:name w:val="Level 2 Char"/>
    <w:basedOn w:val="Heading2Char"/>
    <w:link w:val="Level2"/>
    <w:rsid w:val="00B423D5"/>
    <w:rPr>
      <w:rFonts w:ascii="Arial" w:hAnsi="Arial" w:cs="Arial"/>
      <w:b/>
      <w:bCs/>
      <w:iCs/>
      <w:color w:val="00ACC8" w:themeColor="accent1"/>
      <w:sz w:val="22"/>
      <w:szCs w:val="28"/>
      <w:lang w:val="en-US" w:eastAsia="en-US" w:bidi="ar-SA"/>
    </w:rPr>
  </w:style>
  <w:style w:type="paragraph" w:customStyle="1" w:styleId="Table0">
    <w:name w:val="Table"/>
    <w:basedOn w:val="BodyText"/>
    <w:rsid w:val="00031636"/>
    <w:pPr>
      <w:spacing w:before="60" w:after="0" w:line="240" w:lineRule="auto"/>
    </w:pPr>
    <w:rPr>
      <w:sz w:val="24"/>
      <w:szCs w:val="20"/>
    </w:rPr>
  </w:style>
  <w:style w:type="paragraph" w:customStyle="1" w:styleId="TableHeading">
    <w:name w:val="Table Heading"/>
    <w:basedOn w:val="BodyText"/>
    <w:next w:val="Table0"/>
    <w:rsid w:val="00031636"/>
    <w:pPr>
      <w:spacing w:before="60" w:after="0" w:line="240" w:lineRule="auto"/>
      <w:jc w:val="center"/>
    </w:pPr>
    <w:rPr>
      <w:b/>
      <w:sz w:val="24"/>
      <w:szCs w:val="20"/>
    </w:rPr>
  </w:style>
  <w:style w:type="character" w:styleId="CommentReference">
    <w:name w:val="annotation reference"/>
    <w:semiHidden/>
    <w:rsid w:val="00847C44"/>
    <w:rPr>
      <w:sz w:val="16"/>
    </w:rPr>
  </w:style>
  <w:style w:type="paragraph" w:styleId="CommentText">
    <w:name w:val="annotation text"/>
    <w:basedOn w:val="Normal"/>
    <w:rsid w:val="00EA2B1F"/>
    <w:pPr>
      <w:widowControl w:val="0"/>
      <w:spacing w:line="240" w:lineRule="atLeast"/>
    </w:pPr>
    <w:rPr>
      <w:sz w:val="16"/>
      <w:szCs w:val="20"/>
    </w:rPr>
  </w:style>
  <w:style w:type="paragraph" w:styleId="CommentSubject">
    <w:name w:val="annotation subject"/>
    <w:basedOn w:val="CommentText"/>
    <w:next w:val="CommentText"/>
    <w:semiHidden/>
    <w:rsid w:val="00B8748E"/>
    <w:pPr>
      <w:widowControl/>
      <w:spacing w:line="240" w:lineRule="auto"/>
    </w:pPr>
    <w:rPr>
      <w:b/>
      <w:bCs/>
    </w:rPr>
  </w:style>
  <w:style w:type="character" w:customStyle="1" w:styleId="Style">
    <w:name w:val="Style"/>
    <w:rsid w:val="00EA2B1F"/>
    <w:rPr>
      <w:rFonts w:ascii="Arial" w:hAnsi="Arial"/>
      <w:color w:val="5B6770" w:themeColor="text2"/>
      <w:sz w:val="18"/>
    </w:rPr>
  </w:style>
  <w:style w:type="paragraph" w:customStyle="1" w:styleId="instruction">
    <w:name w:val="instruction"/>
    <w:basedOn w:val="BodyText"/>
    <w:rsid w:val="00471667"/>
    <w:pPr>
      <w:pBdr>
        <w:top w:val="dashSmallGap" w:sz="4" w:space="1" w:color="auto"/>
        <w:left w:val="dashSmallGap" w:sz="4" w:space="4" w:color="auto"/>
        <w:bottom w:val="dashSmallGap" w:sz="4" w:space="1" w:color="auto"/>
        <w:right w:val="dashSmallGap" w:sz="4" w:space="4" w:color="auto"/>
      </w:pBdr>
      <w:shd w:val="clear" w:color="auto" w:fill="FFFF99"/>
    </w:pPr>
    <w:rPr>
      <w:sz w:val="16"/>
      <w:szCs w:val="20"/>
    </w:rPr>
  </w:style>
  <w:style w:type="paragraph" w:customStyle="1" w:styleId="body4">
    <w:name w:val="body4"/>
    <w:basedOn w:val="body3"/>
    <w:rsid w:val="001349CB"/>
    <w:pPr>
      <w:ind w:left="2700"/>
    </w:pPr>
  </w:style>
  <w:style w:type="paragraph" w:customStyle="1" w:styleId="bullet4level1">
    <w:name w:val="bullet4 level1"/>
    <w:basedOn w:val="bullet3level1"/>
    <w:rsid w:val="001349CB"/>
    <w:pPr>
      <w:tabs>
        <w:tab w:val="clear" w:pos="1620"/>
        <w:tab w:val="clear" w:pos="2160"/>
        <w:tab w:val="left" w:pos="3060"/>
      </w:tabs>
      <w:ind w:left="3060"/>
    </w:pPr>
  </w:style>
  <w:style w:type="paragraph" w:styleId="EndnoteText">
    <w:name w:val="endnote text"/>
    <w:basedOn w:val="Normal"/>
    <w:semiHidden/>
    <w:rsid w:val="00FF3C6F"/>
    <w:rPr>
      <w:sz w:val="20"/>
      <w:szCs w:val="20"/>
    </w:rPr>
  </w:style>
  <w:style w:type="character" w:styleId="EndnoteReference">
    <w:name w:val="endnote reference"/>
    <w:semiHidden/>
    <w:rsid w:val="00FF3C6F"/>
    <w:rPr>
      <w:vertAlign w:val="superscript"/>
    </w:rPr>
  </w:style>
  <w:style w:type="paragraph" w:customStyle="1" w:styleId="bullet4level2">
    <w:name w:val="bullet4 level2"/>
    <w:basedOn w:val="bullet4level1"/>
    <w:rsid w:val="00B75C8F"/>
    <w:pPr>
      <w:numPr>
        <w:numId w:val="12"/>
      </w:numPr>
      <w:tabs>
        <w:tab w:val="clear" w:pos="720"/>
        <w:tab w:val="left" w:pos="2880"/>
      </w:tabs>
      <w:ind w:left="2880"/>
    </w:pPr>
  </w:style>
  <w:style w:type="paragraph" w:customStyle="1" w:styleId="Title1">
    <w:name w:val="Title1"/>
    <w:rsid w:val="00EA2B1F"/>
    <w:pPr>
      <w:spacing w:before="120" w:after="240"/>
    </w:pPr>
    <w:rPr>
      <w:rFonts w:ascii="Arial" w:hAnsi="Arial" w:cs="Arial"/>
      <w:b/>
      <w:bCs/>
      <w:iCs/>
      <w:color w:val="5B6770" w:themeColor="text2"/>
      <w:szCs w:val="28"/>
    </w:rPr>
  </w:style>
  <w:style w:type="table" w:styleId="TableGrid1">
    <w:name w:val="Table Grid 1"/>
    <w:basedOn w:val="TableNormal"/>
    <w:rsid w:val="00CF5CF3"/>
    <w:pPr>
      <w:spacing w:before="40" w:after="40"/>
    </w:pPr>
    <w:rPr>
      <w:rFonts w:ascii="Arial" w:hAnsi="Arial"/>
      <w:color w:val="FFFFFF"/>
      <w:sz w:val="18"/>
    </w:rPr>
    <w:tblPr>
      <w:tblBorders>
        <w:insideH w:val="single" w:sz="4" w:space="0" w:color="00ACC8" w:themeColor="accent1"/>
        <w:insideV w:val="single" w:sz="4" w:space="0" w:color="00ACC8" w:themeColor="accent1"/>
      </w:tblBorders>
    </w:tblPr>
    <w:tcPr>
      <w:shd w:val="clear" w:color="auto" w:fill="auto"/>
      <w:vAlign w:val="center"/>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FooterChar">
    <w:name w:val="Footer Char"/>
    <w:basedOn w:val="DefaultParagraphFont"/>
    <w:link w:val="Footer"/>
    <w:uiPriority w:val="99"/>
    <w:rsid w:val="00671147"/>
    <w:rPr>
      <w:rFonts w:ascii="Arial" w:hAnsi="Arial"/>
      <w:color w:val="00ACC8" w:themeColor="accent1"/>
      <w:sz w:val="18"/>
      <w:szCs w:val="18"/>
    </w:rPr>
  </w:style>
  <w:style w:type="paragraph" w:customStyle="1" w:styleId="StyleTOCHeadAccent1">
    <w:name w:val="Style TOC Head + Accent 1"/>
    <w:basedOn w:val="TOCHead"/>
    <w:rsid w:val="00EA2B1F"/>
  </w:style>
  <w:style w:type="paragraph" w:customStyle="1" w:styleId="StyleStylespacerRightBefore400pt9pt">
    <w:name w:val="Style Style spacer + Right Before:  400 pt + 9 pt"/>
    <w:basedOn w:val="StylespacerRightBefore400pt"/>
    <w:rsid w:val="00EA2B1F"/>
    <w:rPr>
      <w:sz w:val="18"/>
    </w:rPr>
  </w:style>
  <w:style w:type="character" w:customStyle="1" w:styleId="Style105pt">
    <w:name w:val="Style 10.5 pt"/>
    <w:basedOn w:val="DefaultParagraphFont"/>
    <w:rsid w:val="00EA2B1F"/>
    <w:rPr>
      <w:rFonts w:ascii="Arial" w:hAnsi="Arial"/>
      <w:color w:val="5B6770" w:themeColor="text2"/>
      <w:sz w:val="21"/>
    </w:rPr>
  </w:style>
  <w:style w:type="paragraph" w:customStyle="1" w:styleId="StyleArial18ptBoldText2Right">
    <w:name w:val="Style Arial 18 pt Bold Text 2 Right"/>
    <w:basedOn w:val="Normal"/>
    <w:rsid w:val="00EA2B1F"/>
    <w:pPr>
      <w:jc w:val="right"/>
    </w:pPr>
    <w:rPr>
      <w:b/>
      <w:bCs/>
      <w:sz w:val="36"/>
      <w:szCs w:val="20"/>
    </w:rPr>
  </w:style>
  <w:style w:type="paragraph" w:customStyle="1" w:styleId="Stylecutline8pt">
    <w:name w:val="Style cutline + 8 pt"/>
    <w:basedOn w:val="cutline"/>
    <w:rsid w:val="00CF5CF3"/>
    <w:rPr>
      <w:sz w:val="16"/>
    </w:rPr>
  </w:style>
  <w:style w:type="paragraph" w:customStyle="1" w:styleId="StyleHeading1Accent1">
    <w:name w:val="Style Heading 1 + Accent 1"/>
    <w:basedOn w:val="Heading1"/>
    <w:rsid w:val="00CF5CF3"/>
  </w:style>
  <w:style w:type="paragraph" w:customStyle="1" w:styleId="StyleHeading2Text2">
    <w:name w:val="Style Heading 2 + Text 2"/>
    <w:basedOn w:val="Heading2"/>
    <w:rsid w:val="00CF5CF3"/>
    <w:rPr>
      <w:iCs w:val="0"/>
    </w:rPr>
  </w:style>
  <w:style w:type="numbering" w:styleId="111111">
    <w:name w:val="Outline List 2"/>
    <w:basedOn w:val="NoList"/>
    <w:rsid w:val="00CF5CF3"/>
    <w:pPr>
      <w:numPr>
        <w:numId w:val="13"/>
      </w:numPr>
    </w:pPr>
  </w:style>
  <w:style w:type="paragraph" w:styleId="BodyText2">
    <w:name w:val="Body Text 2"/>
    <w:basedOn w:val="Normal"/>
    <w:link w:val="BodyText2Char"/>
    <w:rsid w:val="00CF5CF3"/>
    <w:pPr>
      <w:spacing w:after="120" w:line="480" w:lineRule="auto"/>
    </w:pPr>
    <w:rPr>
      <w:color w:val="5B6770" w:themeColor="accent2"/>
    </w:rPr>
  </w:style>
  <w:style w:type="character" w:customStyle="1" w:styleId="BodyText2Char">
    <w:name w:val="Body Text 2 Char"/>
    <w:basedOn w:val="DefaultParagraphFont"/>
    <w:link w:val="BodyText2"/>
    <w:rsid w:val="00CF5CF3"/>
    <w:rPr>
      <w:rFonts w:ascii="Arial" w:hAnsi="Arial"/>
      <w:color w:val="5B6770" w:themeColor="accent2"/>
      <w:sz w:val="24"/>
      <w:szCs w:val="24"/>
    </w:rPr>
  </w:style>
  <w:style w:type="paragraph" w:styleId="BodyText3">
    <w:name w:val="Body Text 3"/>
    <w:basedOn w:val="Normal"/>
    <w:link w:val="BodyText3Char"/>
    <w:rsid w:val="00CF5CF3"/>
    <w:pPr>
      <w:spacing w:after="120"/>
    </w:pPr>
    <w:rPr>
      <w:sz w:val="16"/>
      <w:szCs w:val="16"/>
    </w:rPr>
  </w:style>
  <w:style w:type="character" w:customStyle="1" w:styleId="BodyText3Char">
    <w:name w:val="Body Text 3 Char"/>
    <w:basedOn w:val="DefaultParagraphFont"/>
    <w:link w:val="BodyText3"/>
    <w:rsid w:val="00CF5CF3"/>
    <w:rPr>
      <w:rFonts w:ascii="Arial" w:hAnsi="Arial"/>
      <w:color w:val="5B6770" w:themeColor="text2"/>
      <w:sz w:val="16"/>
      <w:szCs w:val="16"/>
    </w:rPr>
  </w:style>
  <w:style w:type="paragraph" w:styleId="BodyTextFirstIndent">
    <w:name w:val="Body Text First Indent"/>
    <w:basedOn w:val="BodyText"/>
    <w:link w:val="BodyTextFirstIndentChar"/>
    <w:rsid w:val="00CF5CF3"/>
    <w:pPr>
      <w:spacing w:after="0" w:line="240" w:lineRule="auto"/>
      <w:ind w:firstLine="360"/>
    </w:pPr>
    <w:rPr>
      <w:sz w:val="24"/>
    </w:rPr>
  </w:style>
  <w:style w:type="character" w:customStyle="1" w:styleId="BodyTextFirstIndentChar">
    <w:name w:val="Body Text First Indent Char"/>
    <w:basedOn w:val="BodyTextChar"/>
    <w:link w:val="BodyTextFirstIndent"/>
    <w:rsid w:val="00CF5CF3"/>
    <w:rPr>
      <w:rFonts w:ascii="Arial" w:hAnsi="Arial"/>
      <w:color w:val="5B6770" w:themeColor="accent2"/>
      <w:sz w:val="24"/>
      <w:szCs w:val="24"/>
    </w:rPr>
  </w:style>
  <w:style w:type="paragraph" w:styleId="Caption">
    <w:name w:val="caption"/>
    <w:basedOn w:val="Normal"/>
    <w:next w:val="Normal"/>
    <w:unhideWhenUsed/>
    <w:qFormat/>
    <w:rsid w:val="00CF5CF3"/>
    <w:pPr>
      <w:spacing w:after="200"/>
    </w:pPr>
    <w:rPr>
      <w:i/>
      <w:iCs/>
      <w:sz w:val="18"/>
      <w:szCs w:val="18"/>
    </w:rPr>
  </w:style>
  <w:style w:type="paragraph" w:styleId="Closing">
    <w:name w:val="Closing"/>
    <w:basedOn w:val="Normal"/>
    <w:link w:val="ClosingChar"/>
    <w:rsid w:val="00CF5CF3"/>
    <w:pPr>
      <w:ind w:left="4320"/>
    </w:pPr>
  </w:style>
  <w:style w:type="character" w:customStyle="1" w:styleId="ClosingChar">
    <w:name w:val="Closing Char"/>
    <w:basedOn w:val="DefaultParagraphFont"/>
    <w:link w:val="Closing"/>
    <w:rsid w:val="00CF5CF3"/>
    <w:rPr>
      <w:rFonts w:ascii="Arial" w:hAnsi="Arial"/>
      <w:color w:val="5B6770" w:themeColor="text2"/>
      <w:sz w:val="24"/>
      <w:szCs w:val="24"/>
    </w:rPr>
  </w:style>
  <w:style w:type="paragraph" w:styleId="Date">
    <w:name w:val="Date"/>
    <w:basedOn w:val="Normal"/>
    <w:next w:val="Normal"/>
    <w:link w:val="DateChar"/>
    <w:rsid w:val="00CF5CF3"/>
  </w:style>
  <w:style w:type="character" w:customStyle="1" w:styleId="DateChar">
    <w:name w:val="Date Char"/>
    <w:basedOn w:val="DefaultParagraphFont"/>
    <w:link w:val="Date"/>
    <w:rsid w:val="00CF5CF3"/>
    <w:rPr>
      <w:rFonts w:ascii="Arial" w:hAnsi="Arial"/>
      <w:color w:val="5B6770" w:themeColor="text2"/>
      <w:sz w:val="24"/>
      <w:szCs w:val="24"/>
    </w:rPr>
  </w:style>
  <w:style w:type="paragraph" w:styleId="DocumentMap">
    <w:name w:val="Document Map"/>
    <w:basedOn w:val="Normal"/>
    <w:link w:val="DocumentMapChar"/>
    <w:rsid w:val="00CF5CF3"/>
    <w:rPr>
      <w:rFonts w:cs="Segoe UI"/>
      <w:sz w:val="16"/>
      <w:szCs w:val="16"/>
    </w:rPr>
  </w:style>
  <w:style w:type="character" w:customStyle="1" w:styleId="DocumentMapChar">
    <w:name w:val="Document Map Char"/>
    <w:basedOn w:val="DefaultParagraphFont"/>
    <w:link w:val="DocumentMap"/>
    <w:rsid w:val="00CF5CF3"/>
    <w:rPr>
      <w:rFonts w:ascii="Arial" w:hAnsi="Arial" w:cs="Segoe UI"/>
      <w:color w:val="5B6770" w:themeColor="text2"/>
      <w:sz w:val="16"/>
      <w:szCs w:val="16"/>
    </w:rPr>
  </w:style>
  <w:style w:type="paragraph" w:styleId="E-mailSignature">
    <w:name w:val="E-mail Signature"/>
    <w:basedOn w:val="Normal"/>
    <w:link w:val="E-mailSignatureChar"/>
    <w:rsid w:val="00CF5CF3"/>
  </w:style>
  <w:style w:type="character" w:customStyle="1" w:styleId="E-mailSignatureChar">
    <w:name w:val="E-mail Signature Char"/>
    <w:basedOn w:val="DefaultParagraphFont"/>
    <w:link w:val="E-mailSignature"/>
    <w:rsid w:val="00CF5CF3"/>
    <w:rPr>
      <w:rFonts w:ascii="Arial" w:hAnsi="Arial"/>
      <w:color w:val="5B6770" w:themeColor="text2"/>
      <w:sz w:val="24"/>
      <w:szCs w:val="24"/>
    </w:rPr>
  </w:style>
  <w:style w:type="character" w:styleId="Emphasis">
    <w:name w:val="Emphasis"/>
    <w:basedOn w:val="DefaultParagraphFont"/>
    <w:qFormat/>
    <w:rsid w:val="00CF5CF3"/>
    <w:rPr>
      <w:rFonts w:ascii="Arial" w:hAnsi="Arial"/>
      <w:i/>
      <w:iCs/>
      <w:color w:val="5B6770" w:themeColor="text2"/>
    </w:rPr>
  </w:style>
  <w:style w:type="character" w:styleId="HTMLAcronym">
    <w:name w:val="HTML Acronym"/>
    <w:basedOn w:val="DefaultParagraphFont"/>
    <w:rsid w:val="00CF5CF3"/>
    <w:rPr>
      <w:rFonts w:ascii="Arial" w:hAnsi="Arial"/>
      <w:color w:val="5B6770" w:themeColor="text2"/>
    </w:rPr>
  </w:style>
  <w:style w:type="paragraph" w:styleId="HTMLAddress">
    <w:name w:val="HTML Address"/>
    <w:basedOn w:val="Normal"/>
    <w:link w:val="HTMLAddressChar"/>
    <w:rsid w:val="00CF5CF3"/>
    <w:rPr>
      <w:i/>
      <w:iCs/>
    </w:rPr>
  </w:style>
  <w:style w:type="character" w:customStyle="1" w:styleId="HTMLAddressChar">
    <w:name w:val="HTML Address Char"/>
    <w:basedOn w:val="DefaultParagraphFont"/>
    <w:link w:val="HTMLAddress"/>
    <w:rsid w:val="00CF5CF3"/>
    <w:rPr>
      <w:rFonts w:ascii="Arial" w:hAnsi="Arial"/>
      <w:i/>
      <w:iCs/>
      <w:color w:val="5B6770" w:themeColor="text2"/>
      <w:sz w:val="24"/>
      <w:szCs w:val="24"/>
    </w:rPr>
  </w:style>
  <w:style w:type="character" w:styleId="HTMLCite">
    <w:name w:val="HTML Cite"/>
    <w:basedOn w:val="DefaultParagraphFont"/>
    <w:rsid w:val="00CF5CF3"/>
    <w:rPr>
      <w:rFonts w:ascii="Arial" w:hAnsi="Arial"/>
      <w:i/>
      <w:iCs/>
      <w:color w:val="5B6770" w:themeColor="text2"/>
    </w:rPr>
  </w:style>
  <w:style w:type="character" w:styleId="HTMLDefinition">
    <w:name w:val="HTML Definition"/>
    <w:basedOn w:val="DefaultParagraphFont"/>
    <w:rsid w:val="00CF5CF3"/>
    <w:rPr>
      <w:rFonts w:ascii="Arial" w:hAnsi="Arial"/>
      <w:i/>
      <w:iCs/>
      <w:color w:val="5B6770" w:themeColor="text2"/>
    </w:rPr>
  </w:style>
  <w:style w:type="paragraph" w:styleId="Index1">
    <w:name w:val="index 1"/>
    <w:basedOn w:val="Normal"/>
    <w:next w:val="Normal"/>
    <w:autoRedefine/>
    <w:rsid w:val="00CF5CF3"/>
    <w:pPr>
      <w:ind w:left="240" w:hanging="240"/>
    </w:pPr>
  </w:style>
  <w:style w:type="paragraph" w:styleId="Index2">
    <w:name w:val="index 2"/>
    <w:basedOn w:val="Normal"/>
    <w:next w:val="Normal"/>
    <w:autoRedefine/>
    <w:rsid w:val="00CF5CF3"/>
    <w:pPr>
      <w:ind w:left="480" w:hanging="240"/>
    </w:pPr>
  </w:style>
  <w:style w:type="paragraph" w:styleId="Index3">
    <w:name w:val="index 3"/>
    <w:basedOn w:val="Normal"/>
    <w:next w:val="Normal"/>
    <w:autoRedefine/>
    <w:rsid w:val="00CF5CF3"/>
    <w:pPr>
      <w:ind w:left="720" w:hanging="240"/>
    </w:pPr>
  </w:style>
  <w:style w:type="paragraph" w:styleId="Index4">
    <w:name w:val="index 4"/>
    <w:basedOn w:val="Normal"/>
    <w:next w:val="Normal"/>
    <w:autoRedefine/>
    <w:rsid w:val="00CF5CF3"/>
    <w:pPr>
      <w:ind w:left="960" w:hanging="240"/>
    </w:pPr>
  </w:style>
  <w:style w:type="paragraph" w:styleId="Index5">
    <w:name w:val="index 5"/>
    <w:basedOn w:val="Normal"/>
    <w:next w:val="Normal"/>
    <w:autoRedefine/>
    <w:rsid w:val="00CF5CF3"/>
    <w:pPr>
      <w:ind w:left="1200" w:hanging="240"/>
    </w:pPr>
  </w:style>
  <w:style w:type="paragraph" w:styleId="Index6">
    <w:name w:val="index 6"/>
    <w:basedOn w:val="Normal"/>
    <w:next w:val="Normal"/>
    <w:autoRedefine/>
    <w:rsid w:val="00CF5CF3"/>
    <w:pPr>
      <w:ind w:left="1440" w:hanging="240"/>
    </w:pPr>
  </w:style>
  <w:style w:type="paragraph" w:styleId="Index7">
    <w:name w:val="index 7"/>
    <w:basedOn w:val="Normal"/>
    <w:next w:val="Normal"/>
    <w:autoRedefine/>
    <w:rsid w:val="00CF5CF3"/>
    <w:pPr>
      <w:ind w:left="1680" w:hanging="240"/>
    </w:pPr>
  </w:style>
  <w:style w:type="paragraph" w:styleId="Index8">
    <w:name w:val="index 8"/>
    <w:basedOn w:val="Normal"/>
    <w:next w:val="Normal"/>
    <w:autoRedefine/>
    <w:rsid w:val="00CF5CF3"/>
    <w:pPr>
      <w:ind w:left="1920" w:hanging="240"/>
    </w:pPr>
  </w:style>
  <w:style w:type="paragraph" w:styleId="Index9">
    <w:name w:val="index 9"/>
    <w:basedOn w:val="Normal"/>
    <w:next w:val="Normal"/>
    <w:autoRedefine/>
    <w:rsid w:val="00CF5CF3"/>
    <w:pPr>
      <w:ind w:left="2160" w:hanging="240"/>
    </w:pPr>
  </w:style>
  <w:style w:type="paragraph" w:styleId="IndexHeading">
    <w:name w:val="index heading"/>
    <w:basedOn w:val="Normal"/>
    <w:next w:val="Index1"/>
    <w:rsid w:val="00CF5CF3"/>
    <w:rPr>
      <w:rFonts w:asciiTheme="majorHAnsi" w:eastAsiaTheme="majorEastAsia" w:hAnsiTheme="majorHAnsi" w:cstheme="majorBidi"/>
      <w:b/>
      <w:bCs/>
    </w:rPr>
  </w:style>
  <w:style w:type="character" w:styleId="LineNumber">
    <w:name w:val="line number"/>
    <w:basedOn w:val="DefaultParagraphFont"/>
    <w:rsid w:val="00CF5CF3"/>
    <w:rPr>
      <w:rFonts w:ascii="Arial" w:hAnsi="Arial"/>
      <w:color w:val="5B6770" w:themeColor="text2"/>
    </w:rPr>
  </w:style>
  <w:style w:type="paragraph" w:styleId="List">
    <w:name w:val="List"/>
    <w:basedOn w:val="Normal"/>
    <w:rsid w:val="00CF5CF3"/>
    <w:pPr>
      <w:ind w:left="360" w:hanging="360"/>
      <w:contextualSpacing/>
    </w:pPr>
  </w:style>
  <w:style w:type="paragraph" w:styleId="List2">
    <w:name w:val="List 2"/>
    <w:basedOn w:val="Normal"/>
    <w:rsid w:val="00CF5CF3"/>
    <w:pPr>
      <w:ind w:left="720" w:hanging="360"/>
      <w:contextualSpacing/>
    </w:pPr>
  </w:style>
  <w:style w:type="paragraph" w:styleId="List3">
    <w:name w:val="List 3"/>
    <w:basedOn w:val="Normal"/>
    <w:rsid w:val="00CF5CF3"/>
    <w:pPr>
      <w:ind w:left="1080" w:hanging="360"/>
      <w:contextualSpacing/>
    </w:pPr>
  </w:style>
  <w:style w:type="paragraph" w:styleId="List4">
    <w:name w:val="List 4"/>
    <w:basedOn w:val="Normal"/>
    <w:rsid w:val="00CF5CF3"/>
    <w:pPr>
      <w:ind w:left="1440" w:hanging="360"/>
      <w:contextualSpacing/>
    </w:pPr>
  </w:style>
  <w:style w:type="paragraph" w:styleId="List5">
    <w:name w:val="List 5"/>
    <w:basedOn w:val="Normal"/>
    <w:rsid w:val="00CF5CF3"/>
    <w:pPr>
      <w:ind w:left="1800" w:hanging="360"/>
      <w:contextualSpacing/>
    </w:pPr>
  </w:style>
  <w:style w:type="paragraph" w:styleId="ListBullet">
    <w:name w:val="List Bullet"/>
    <w:basedOn w:val="Normal"/>
    <w:rsid w:val="00CF5CF3"/>
    <w:pPr>
      <w:numPr>
        <w:numId w:val="7"/>
      </w:numPr>
      <w:contextualSpacing/>
    </w:pPr>
  </w:style>
  <w:style w:type="paragraph" w:styleId="ListBullet2">
    <w:name w:val="List Bullet 2"/>
    <w:basedOn w:val="Normal"/>
    <w:rsid w:val="00CF5CF3"/>
    <w:pPr>
      <w:numPr>
        <w:numId w:val="8"/>
      </w:numPr>
      <w:contextualSpacing/>
    </w:pPr>
  </w:style>
  <w:style w:type="paragraph" w:styleId="ListBullet3">
    <w:name w:val="List Bullet 3"/>
    <w:basedOn w:val="Normal"/>
    <w:rsid w:val="00CF5CF3"/>
    <w:pPr>
      <w:numPr>
        <w:numId w:val="9"/>
      </w:numPr>
      <w:contextualSpacing/>
    </w:pPr>
  </w:style>
  <w:style w:type="paragraph" w:styleId="ListBullet4">
    <w:name w:val="List Bullet 4"/>
    <w:basedOn w:val="Normal"/>
    <w:rsid w:val="00CF5CF3"/>
    <w:pPr>
      <w:numPr>
        <w:numId w:val="10"/>
      </w:numPr>
      <w:contextualSpacing/>
    </w:pPr>
  </w:style>
  <w:style w:type="paragraph" w:styleId="ListBullet5">
    <w:name w:val="List Bullet 5"/>
    <w:basedOn w:val="Normal"/>
    <w:rsid w:val="00CF5CF3"/>
    <w:pPr>
      <w:numPr>
        <w:numId w:val="11"/>
      </w:numPr>
      <w:contextualSpacing/>
    </w:pPr>
  </w:style>
  <w:style w:type="paragraph" w:styleId="ListContinue">
    <w:name w:val="List Continue"/>
    <w:basedOn w:val="Normal"/>
    <w:rsid w:val="00CF5CF3"/>
    <w:pPr>
      <w:spacing w:after="120"/>
      <w:ind w:left="360"/>
      <w:contextualSpacing/>
    </w:pPr>
  </w:style>
  <w:style w:type="paragraph" w:styleId="ListContinue2">
    <w:name w:val="List Continue 2"/>
    <w:basedOn w:val="Normal"/>
    <w:rsid w:val="00CF5CF3"/>
    <w:pPr>
      <w:spacing w:after="120"/>
      <w:ind w:left="720"/>
      <w:contextualSpacing/>
    </w:pPr>
  </w:style>
  <w:style w:type="paragraph" w:styleId="ListContinue3">
    <w:name w:val="List Continue 3"/>
    <w:basedOn w:val="Normal"/>
    <w:rsid w:val="00CF5CF3"/>
    <w:pPr>
      <w:spacing w:after="120"/>
      <w:ind w:left="1080"/>
      <w:contextualSpacing/>
    </w:pPr>
  </w:style>
  <w:style w:type="paragraph" w:styleId="ListContinue4">
    <w:name w:val="List Continue 4"/>
    <w:basedOn w:val="Normal"/>
    <w:rsid w:val="00CF5CF3"/>
    <w:pPr>
      <w:spacing w:after="120"/>
      <w:ind w:left="1440"/>
      <w:contextualSpacing/>
    </w:pPr>
  </w:style>
  <w:style w:type="paragraph" w:styleId="ListContinue5">
    <w:name w:val="List Continue 5"/>
    <w:basedOn w:val="Normal"/>
    <w:rsid w:val="00CF5CF3"/>
    <w:pPr>
      <w:spacing w:after="120"/>
      <w:ind w:left="1800"/>
      <w:contextualSpacing/>
    </w:pPr>
  </w:style>
  <w:style w:type="paragraph" w:styleId="ListNumber">
    <w:name w:val="List Number"/>
    <w:basedOn w:val="Normal"/>
    <w:rsid w:val="00CF5CF3"/>
    <w:pPr>
      <w:numPr>
        <w:numId w:val="14"/>
      </w:numPr>
      <w:contextualSpacing/>
    </w:pPr>
  </w:style>
  <w:style w:type="paragraph" w:styleId="ListNumber2">
    <w:name w:val="List Number 2"/>
    <w:basedOn w:val="Normal"/>
    <w:rsid w:val="00CF5CF3"/>
    <w:pPr>
      <w:numPr>
        <w:numId w:val="15"/>
      </w:numPr>
      <w:contextualSpacing/>
    </w:pPr>
  </w:style>
  <w:style w:type="paragraph" w:styleId="ListNumber3">
    <w:name w:val="List Number 3"/>
    <w:basedOn w:val="Normal"/>
    <w:rsid w:val="00CF5CF3"/>
    <w:pPr>
      <w:numPr>
        <w:numId w:val="16"/>
      </w:numPr>
      <w:contextualSpacing/>
    </w:pPr>
  </w:style>
  <w:style w:type="paragraph" w:styleId="ListNumber4">
    <w:name w:val="List Number 4"/>
    <w:basedOn w:val="Normal"/>
    <w:rsid w:val="00CF5CF3"/>
    <w:pPr>
      <w:numPr>
        <w:numId w:val="17"/>
      </w:numPr>
      <w:contextualSpacing/>
    </w:pPr>
  </w:style>
  <w:style w:type="paragraph" w:styleId="ListNumber5">
    <w:name w:val="List Number 5"/>
    <w:basedOn w:val="Normal"/>
    <w:rsid w:val="00CF5CF3"/>
    <w:pPr>
      <w:numPr>
        <w:numId w:val="18"/>
      </w:numPr>
      <w:contextualSpacing/>
    </w:pPr>
  </w:style>
  <w:style w:type="character" w:styleId="Strong">
    <w:name w:val="Strong"/>
    <w:basedOn w:val="DefaultParagraphFont"/>
    <w:qFormat/>
    <w:rsid w:val="00CF5CF3"/>
    <w:rPr>
      <w:rFonts w:ascii="Arial" w:hAnsi="Arial"/>
      <w:b/>
      <w:bCs/>
      <w:color w:val="5B6770" w:themeColor="text2"/>
    </w:rPr>
  </w:style>
  <w:style w:type="paragraph" w:styleId="Subtitle">
    <w:name w:val="Subtitle"/>
    <w:basedOn w:val="Normal"/>
    <w:next w:val="Normal"/>
    <w:link w:val="SubtitleChar"/>
    <w:qFormat/>
    <w:rsid w:val="00CF5CF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F5CF3"/>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qFormat/>
    <w:rsid w:val="00CF5CF3"/>
    <w:pPr>
      <w:contextualSpacing/>
    </w:pPr>
    <w:rPr>
      <w:rFonts w:asciiTheme="majorHAnsi" w:eastAsiaTheme="majorEastAsia" w:hAnsiTheme="majorHAnsi" w:cstheme="majorBidi"/>
      <w:color w:val="00ACC8" w:themeColor="accent1"/>
      <w:spacing w:val="-10"/>
      <w:kern w:val="28"/>
      <w:sz w:val="56"/>
      <w:szCs w:val="56"/>
    </w:rPr>
  </w:style>
  <w:style w:type="character" w:customStyle="1" w:styleId="TitleChar">
    <w:name w:val="Title Char"/>
    <w:basedOn w:val="DefaultParagraphFont"/>
    <w:link w:val="Title"/>
    <w:rsid w:val="00CF5CF3"/>
    <w:rPr>
      <w:rFonts w:asciiTheme="majorHAnsi" w:eastAsiaTheme="majorEastAsia" w:hAnsiTheme="majorHAnsi" w:cstheme="majorBidi"/>
      <w:color w:val="00ACC8" w:themeColor="accent1"/>
      <w:spacing w:val="-10"/>
      <w:kern w:val="28"/>
      <w:sz w:val="56"/>
      <w:szCs w:val="56"/>
    </w:rPr>
  </w:style>
  <w:style w:type="paragraph" w:styleId="TOAHeading">
    <w:name w:val="toa heading"/>
    <w:basedOn w:val="Normal"/>
    <w:next w:val="Normal"/>
    <w:rsid w:val="00CF5CF3"/>
    <w:pPr>
      <w:spacing w:before="120"/>
    </w:pPr>
    <w:rPr>
      <w:rFonts w:asciiTheme="majorHAnsi" w:eastAsiaTheme="majorEastAsia" w:hAnsiTheme="majorHAnsi" w:cstheme="majorBidi"/>
      <w:b/>
      <w:bCs/>
      <w:color w:val="00ACC8" w:themeColor="accent1"/>
    </w:rPr>
  </w:style>
  <w:style w:type="character" w:styleId="SubtleEmphasis">
    <w:name w:val="Subtle Emphasis"/>
    <w:basedOn w:val="DefaultParagraphFont"/>
    <w:uiPriority w:val="19"/>
    <w:qFormat/>
    <w:rsid w:val="00CF5CF3"/>
    <w:rPr>
      <w:rFonts w:ascii="Arial" w:hAnsi="Arial"/>
      <w:i/>
      <w:iCs/>
      <w:color w:val="5B6770" w:themeColor="text2"/>
    </w:rPr>
  </w:style>
  <w:style w:type="character" w:styleId="IntenseEmphasis">
    <w:name w:val="Intense Emphasis"/>
    <w:basedOn w:val="DefaultParagraphFont"/>
    <w:uiPriority w:val="21"/>
    <w:qFormat/>
    <w:rsid w:val="00CF5CF3"/>
    <w:rPr>
      <w:rFonts w:ascii="Arial" w:hAnsi="Arial"/>
      <w:i/>
      <w:iCs/>
      <w:color w:val="00ACC8" w:themeColor="accent1"/>
    </w:rPr>
  </w:style>
  <w:style w:type="character" w:styleId="SubtleReference">
    <w:name w:val="Subtle Reference"/>
    <w:basedOn w:val="DefaultParagraphFont"/>
    <w:uiPriority w:val="31"/>
    <w:qFormat/>
    <w:rsid w:val="00CF5CF3"/>
    <w:rPr>
      <w:rFonts w:ascii="Arial" w:hAnsi="Arial"/>
      <w:smallCaps/>
      <w:color w:val="5A5A5A" w:themeColor="text1" w:themeTint="A5"/>
    </w:rPr>
  </w:style>
  <w:style w:type="character" w:styleId="IntenseReference">
    <w:name w:val="Intense Reference"/>
    <w:basedOn w:val="DefaultParagraphFont"/>
    <w:uiPriority w:val="32"/>
    <w:qFormat/>
    <w:rsid w:val="00CF5CF3"/>
    <w:rPr>
      <w:rFonts w:ascii="Arial" w:hAnsi="Arial"/>
      <w:b/>
      <w:bCs/>
      <w:smallCaps/>
      <w:color w:val="00ACC8" w:themeColor="accent1"/>
      <w:spacing w:val="5"/>
    </w:rPr>
  </w:style>
  <w:style w:type="character" w:styleId="BookTitle">
    <w:name w:val="Book Title"/>
    <w:basedOn w:val="DefaultParagraphFont"/>
    <w:uiPriority w:val="33"/>
    <w:qFormat/>
    <w:rsid w:val="00CF5CF3"/>
    <w:rPr>
      <w:rFonts w:ascii="Arial" w:hAnsi="Arial"/>
      <w:b/>
      <w:bCs/>
      <w:i/>
      <w:iCs/>
      <w:spacing w:val="5"/>
    </w:rPr>
  </w:style>
  <w:style w:type="table" w:styleId="TableGridLight">
    <w:name w:val="Grid Table Light"/>
    <w:basedOn w:val="TableNormal"/>
    <w:uiPriority w:val="40"/>
    <w:rsid w:val="00CF5CF3"/>
    <w:rPr>
      <w:rFonts w:ascii="Arial" w:hAnsi="Ari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F5CF3"/>
    <w:rPr>
      <w:rFonts w:ascii="Arial" w:hAnsi="Ari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F5CF3"/>
    <w:rPr>
      <w:rFonts w:ascii="Arial" w:hAnsi="Ari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F5CF3"/>
    <w:rPr>
      <w:rFonts w:ascii="Arial" w:hAnsi="Ari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F5CF3"/>
    <w:rPr>
      <w:rFonts w:ascii="Arial" w:hAnsi="Ari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F5CF3"/>
    <w:rPr>
      <w:rFonts w:ascii="Arial" w:hAnsi="Aria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F5CF3"/>
    <w:rPr>
      <w:rFonts w:ascii="Arial" w:hAnsi="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F5CF3"/>
    <w:rPr>
      <w:rFonts w:ascii="Arial" w:hAnsi="Arial"/>
    </w:rPr>
    <w:tblPr>
      <w:tblStyleRowBandSize w:val="1"/>
      <w:tblStyleColBandSize w:val="1"/>
      <w:tblBorders>
        <w:top w:val="single" w:sz="4" w:space="0" w:color="83EDFF" w:themeColor="accent1" w:themeTint="66"/>
        <w:left w:val="single" w:sz="4" w:space="0" w:color="83EDFF" w:themeColor="accent1" w:themeTint="66"/>
        <w:bottom w:val="single" w:sz="4" w:space="0" w:color="83EDFF" w:themeColor="accent1" w:themeTint="66"/>
        <w:right w:val="single" w:sz="4" w:space="0" w:color="83EDFF" w:themeColor="accent1" w:themeTint="66"/>
        <w:insideH w:val="single" w:sz="4" w:space="0" w:color="83EDFF" w:themeColor="accent1" w:themeTint="66"/>
        <w:insideV w:val="single" w:sz="4" w:space="0" w:color="83EDFF" w:themeColor="accent1" w:themeTint="66"/>
      </w:tblBorders>
    </w:tblPr>
    <w:tblStylePr w:type="firstRow">
      <w:rPr>
        <w:b/>
        <w:bCs/>
      </w:rPr>
      <w:tblPr/>
      <w:tcPr>
        <w:tcBorders>
          <w:bottom w:val="single" w:sz="12" w:space="0" w:color="45E4FF" w:themeColor="accent1" w:themeTint="99"/>
        </w:tcBorders>
      </w:tcPr>
    </w:tblStylePr>
    <w:tblStylePr w:type="lastRow">
      <w:rPr>
        <w:b/>
        <w:bCs/>
      </w:rPr>
      <w:tblPr/>
      <w:tcPr>
        <w:tcBorders>
          <w:top w:val="double" w:sz="2" w:space="0" w:color="45E4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F5CF3"/>
    <w:rPr>
      <w:rFonts w:ascii="Arial" w:hAnsi="Arial"/>
    </w:rPr>
    <w:tblPr>
      <w:tblStyleRowBandSize w:val="1"/>
      <w:tblStyleColBandSize w:val="1"/>
      <w:tblBorders>
        <w:top w:val="single" w:sz="4" w:space="0" w:color="BBC2C8" w:themeColor="accent2" w:themeTint="66"/>
        <w:left w:val="single" w:sz="4" w:space="0" w:color="BBC2C8" w:themeColor="accent2" w:themeTint="66"/>
        <w:bottom w:val="single" w:sz="4" w:space="0" w:color="BBC2C8" w:themeColor="accent2" w:themeTint="66"/>
        <w:right w:val="single" w:sz="4" w:space="0" w:color="BBC2C8" w:themeColor="accent2" w:themeTint="66"/>
        <w:insideH w:val="single" w:sz="4" w:space="0" w:color="BBC2C8" w:themeColor="accent2" w:themeTint="66"/>
        <w:insideV w:val="single" w:sz="4" w:space="0" w:color="BBC2C8" w:themeColor="accent2" w:themeTint="66"/>
      </w:tblBorders>
    </w:tblPr>
    <w:tblStylePr w:type="firstRow">
      <w:rPr>
        <w:b/>
        <w:bCs/>
      </w:rPr>
      <w:tblPr/>
      <w:tcPr>
        <w:tcBorders>
          <w:bottom w:val="single" w:sz="12" w:space="0" w:color="99A4AC" w:themeColor="accent2" w:themeTint="99"/>
        </w:tcBorders>
      </w:tcPr>
    </w:tblStylePr>
    <w:tblStylePr w:type="lastRow">
      <w:rPr>
        <w:b/>
        <w:bCs/>
      </w:rPr>
      <w:tblPr/>
      <w:tcPr>
        <w:tcBorders>
          <w:top w:val="double" w:sz="2" w:space="0" w:color="99A4A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F5CF3"/>
    <w:rPr>
      <w:rFonts w:ascii="Arial" w:hAnsi="Arial"/>
    </w:rPr>
    <w:tblPr>
      <w:tblStyleRowBandSize w:val="1"/>
      <w:tblStyleColBandSize w:val="1"/>
      <w:tblBorders>
        <w:top w:val="single" w:sz="4" w:space="0" w:color="85FFCE" w:themeColor="accent3" w:themeTint="66"/>
        <w:left w:val="single" w:sz="4" w:space="0" w:color="85FFCE" w:themeColor="accent3" w:themeTint="66"/>
        <w:bottom w:val="single" w:sz="4" w:space="0" w:color="85FFCE" w:themeColor="accent3" w:themeTint="66"/>
        <w:right w:val="single" w:sz="4" w:space="0" w:color="85FFCE" w:themeColor="accent3" w:themeTint="66"/>
        <w:insideH w:val="single" w:sz="4" w:space="0" w:color="85FFCE" w:themeColor="accent3" w:themeTint="66"/>
        <w:insideV w:val="single" w:sz="4" w:space="0" w:color="85FFCE" w:themeColor="accent3" w:themeTint="66"/>
      </w:tblBorders>
    </w:tblPr>
    <w:tblStylePr w:type="firstRow">
      <w:rPr>
        <w:b/>
        <w:bCs/>
      </w:rPr>
      <w:tblPr/>
      <w:tcPr>
        <w:tcBorders>
          <w:bottom w:val="single" w:sz="12" w:space="0" w:color="48FFB6" w:themeColor="accent3" w:themeTint="99"/>
        </w:tcBorders>
      </w:tcPr>
    </w:tblStylePr>
    <w:tblStylePr w:type="lastRow">
      <w:rPr>
        <w:b/>
        <w:bCs/>
      </w:rPr>
      <w:tblPr/>
      <w:tcPr>
        <w:tcBorders>
          <w:top w:val="double" w:sz="2" w:space="0" w:color="48FFB6"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F5CF3"/>
    <w:rPr>
      <w:rFonts w:ascii="Arial" w:hAnsi="Arial"/>
    </w:rPr>
    <w:tblPr>
      <w:tblStyleRowBandSize w:val="1"/>
      <w:tblStyleColBandSize w:val="1"/>
      <w:tblBorders>
        <w:top w:val="single" w:sz="4" w:space="0" w:color="5BB5FF" w:themeColor="accent4" w:themeTint="66"/>
        <w:left w:val="single" w:sz="4" w:space="0" w:color="5BB5FF" w:themeColor="accent4" w:themeTint="66"/>
        <w:bottom w:val="single" w:sz="4" w:space="0" w:color="5BB5FF" w:themeColor="accent4" w:themeTint="66"/>
        <w:right w:val="single" w:sz="4" w:space="0" w:color="5BB5FF" w:themeColor="accent4" w:themeTint="66"/>
        <w:insideH w:val="single" w:sz="4" w:space="0" w:color="5BB5FF" w:themeColor="accent4" w:themeTint="66"/>
        <w:insideV w:val="single" w:sz="4" w:space="0" w:color="5BB5FF" w:themeColor="accent4" w:themeTint="66"/>
      </w:tblBorders>
    </w:tblPr>
    <w:tblStylePr w:type="firstRow">
      <w:rPr>
        <w:b/>
        <w:bCs/>
      </w:rPr>
      <w:tblPr/>
      <w:tcPr>
        <w:tcBorders>
          <w:bottom w:val="single" w:sz="12" w:space="0" w:color="0990FF" w:themeColor="accent4" w:themeTint="99"/>
        </w:tcBorders>
      </w:tcPr>
    </w:tblStylePr>
    <w:tblStylePr w:type="lastRow">
      <w:rPr>
        <w:b/>
        <w:bCs/>
      </w:rPr>
      <w:tblPr/>
      <w:tcPr>
        <w:tcBorders>
          <w:top w:val="double" w:sz="2" w:space="0" w:color="0990F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F5CF3"/>
    <w:rPr>
      <w:rFonts w:ascii="Arial" w:hAnsi="Arial"/>
    </w:rPr>
    <w:tblPr>
      <w:tblStyleRowBandSize w:val="1"/>
      <w:tblStyleColBandSize w:val="1"/>
      <w:tblBorders>
        <w:top w:val="single" w:sz="4" w:space="0" w:color="C1B8DF" w:themeColor="accent5" w:themeTint="66"/>
        <w:left w:val="single" w:sz="4" w:space="0" w:color="C1B8DF" w:themeColor="accent5" w:themeTint="66"/>
        <w:bottom w:val="single" w:sz="4" w:space="0" w:color="C1B8DF" w:themeColor="accent5" w:themeTint="66"/>
        <w:right w:val="single" w:sz="4" w:space="0" w:color="C1B8DF" w:themeColor="accent5" w:themeTint="66"/>
        <w:insideH w:val="single" w:sz="4" w:space="0" w:color="C1B8DF" w:themeColor="accent5" w:themeTint="66"/>
        <w:insideV w:val="single" w:sz="4" w:space="0" w:color="C1B8DF" w:themeColor="accent5" w:themeTint="66"/>
      </w:tblBorders>
    </w:tblPr>
    <w:tblStylePr w:type="firstRow">
      <w:rPr>
        <w:b/>
        <w:bCs/>
      </w:rPr>
      <w:tblPr/>
      <w:tcPr>
        <w:tcBorders>
          <w:bottom w:val="single" w:sz="12" w:space="0" w:color="A295D0" w:themeColor="accent5" w:themeTint="99"/>
        </w:tcBorders>
      </w:tcPr>
    </w:tblStylePr>
    <w:tblStylePr w:type="lastRow">
      <w:rPr>
        <w:b/>
        <w:bCs/>
      </w:rPr>
      <w:tblPr/>
      <w:tcPr>
        <w:tcBorders>
          <w:top w:val="double" w:sz="2" w:space="0" w:color="A295D0"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F5CF3"/>
    <w:rPr>
      <w:rFonts w:ascii="Arial" w:hAnsi="Arial"/>
    </w:rPr>
    <w:tblPr>
      <w:tblStyleRowBandSize w:val="1"/>
      <w:tblStyleColBandSize w:val="1"/>
      <w:tblBorders>
        <w:top w:val="single" w:sz="4" w:space="0" w:color="FD6FC4" w:themeColor="accent6" w:themeTint="66"/>
        <w:left w:val="single" w:sz="4" w:space="0" w:color="FD6FC4" w:themeColor="accent6" w:themeTint="66"/>
        <w:bottom w:val="single" w:sz="4" w:space="0" w:color="FD6FC4" w:themeColor="accent6" w:themeTint="66"/>
        <w:right w:val="single" w:sz="4" w:space="0" w:color="FD6FC4" w:themeColor="accent6" w:themeTint="66"/>
        <w:insideH w:val="single" w:sz="4" w:space="0" w:color="FD6FC4" w:themeColor="accent6" w:themeTint="66"/>
        <w:insideV w:val="single" w:sz="4" w:space="0" w:color="FD6FC4" w:themeColor="accent6" w:themeTint="66"/>
      </w:tblBorders>
    </w:tblPr>
    <w:tblStylePr w:type="firstRow">
      <w:rPr>
        <w:b/>
        <w:bCs/>
      </w:rPr>
      <w:tblPr/>
      <w:tcPr>
        <w:tcBorders>
          <w:bottom w:val="single" w:sz="12" w:space="0" w:color="FC27A7" w:themeColor="accent6" w:themeTint="99"/>
        </w:tcBorders>
      </w:tcPr>
    </w:tblStylePr>
    <w:tblStylePr w:type="lastRow">
      <w:rPr>
        <w:b/>
        <w:bCs/>
      </w:rPr>
      <w:tblPr/>
      <w:tcPr>
        <w:tcBorders>
          <w:top w:val="double" w:sz="2" w:space="0" w:color="FC27A7" w:themeColor="accent6" w:themeTint="99"/>
        </w:tcBorders>
      </w:tcPr>
    </w:tblStylePr>
    <w:tblStylePr w:type="firstCol">
      <w:rPr>
        <w:b/>
        <w:bCs/>
      </w:rPr>
    </w:tblStylePr>
    <w:tblStylePr w:type="lastCol">
      <w:rPr>
        <w:b/>
        <w:bCs/>
      </w:rPr>
    </w:tblStylePr>
  </w:style>
  <w:style w:type="table" w:styleId="ListTable7Colorful-Accent6">
    <w:name w:val="List Table 7 Colorful Accent 6"/>
    <w:basedOn w:val="TableNormal"/>
    <w:uiPriority w:val="52"/>
    <w:rsid w:val="00CF5CF3"/>
    <w:rPr>
      <w:rFonts w:ascii="Arial" w:hAnsi="Arial"/>
      <w:color w:val="6C014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025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025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025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0258" w:themeColor="accent6"/>
        </w:tcBorders>
        <w:shd w:val="clear" w:color="auto" w:fill="FFFFFF" w:themeFill="background1"/>
      </w:tcPr>
    </w:tblStylePr>
    <w:tblStylePr w:type="band1Vert">
      <w:tblPr/>
      <w:tcPr>
        <w:shd w:val="clear" w:color="auto" w:fill="FEB7E1" w:themeFill="accent6" w:themeFillTint="33"/>
      </w:tcPr>
    </w:tblStylePr>
    <w:tblStylePr w:type="band1Horz">
      <w:tblPr/>
      <w:tcPr>
        <w:shd w:val="clear" w:color="auto" w:fill="FEB7E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F5CF3"/>
    <w:rPr>
      <w:rFonts w:ascii="Arial" w:hAnsi="Arial"/>
      <w:color w:val="4B3B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50B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50B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50B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50B1" w:themeColor="accent5"/>
        </w:tcBorders>
        <w:shd w:val="clear" w:color="auto" w:fill="FFFFFF" w:themeFill="background1"/>
      </w:tcPr>
    </w:tblStylePr>
    <w:tblStylePr w:type="band1Vert">
      <w:tblPr/>
      <w:tcPr>
        <w:shd w:val="clear" w:color="auto" w:fill="E0DBEF" w:themeFill="accent5" w:themeFillTint="33"/>
      </w:tcPr>
    </w:tblStylePr>
    <w:tblStylePr w:type="band1Horz">
      <w:tblPr/>
      <w:tcPr>
        <w:shd w:val="clear" w:color="auto" w:fill="E0DB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F5CF3"/>
    <w:rPr>
      <w:rFonts w:ascii="Arial" w:hAnsi="Arial"/>
      <w:color w:val="00284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3764"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3764"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3764"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3764" w:themeColor="accent4"/>
        </w:tcBorders>
        <w:shd w:val="clear" w:color="auto" w:fill="FFFFFF" w:themeFill="background1"/>
      </w:tcPr>
    </w:tblStylePr>
    <w:tblStylePr w:type="band1Vert">
      <w:tblPr/>
      <w:tcPr>
        <w:shd w:val="clear" w:color="auto" w:fill="ADDAFF" w:themeFill="accent4" w:themeFillTint="33"/>
      </w:tcPr>
    </w:tblStylePr>
    <w:tblStylePr w:type="band1Horz">
      <w:tblPr/>
      <w:tcPr>
        <w:shd w:val="clear" w:color="auto" w:fill="ADDA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F5CF3"/>
    <w:rPr>
      <w:rFonts w:ascii="Arial" w:hAnsi="Arial"/>
      <w:color w:val="009A5D"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CE7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CE7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CE7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CE7D" w:themeColor="accent3"/>
        </w:tcBorders>
        <w:shd w:val="clear" w:color="auto" w:fill="FFFFFF" w:themeFill="background1"/>
      </w:tcPr>
    </w:tblStylePr>
    <w:tblStylePr w:type="band1Vert">
      <w:tblPr/>
      <w:tcPr>
        <w:shd w:val="clear" w:color="auto" w:fill="C2FFE6" w:themeFill="accent3" w:themeFillTint="33"/>
      </w:tcPr>
    </w:tblStylePr>
    <w:tblStylePr w:type="band1Horz">
      <w:tblPr/>
      <w:tcPr>
        <w:shd w:val="clear" w:color="auto" w:fill="C2FFE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F5CF3"/>
    <w:rPr>
      <w:rFonts w:ascii="Arial" w:hAnsi="Arial"/>
      <w:color w:val="444D5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677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677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677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6770" w:themeColor="accent2"/>
        </w:tcBorders>
        <w:shd w:val="clear" w:color="auto" w:fill="FFFFFF" w:themeFill="background1"/>
      </w:tcPr>
    </w:tblStylePr>
    <w:tblStylePr w:type="band1Vert">
      <w:tblPr/>
      <w:tcPr>
        <w:shd w:val="clear" w:color="auto" w:fill="DCE0E3" w:themeFill="accent2" w:themeFillTint="33"/>
      </w:tcPr>
    </w:tblStylePr>
    <w:tblStylePr w:type="band1Horz">
      <w:tblPr/>
      <w:tcPr>
        <w:shd w:val="clear" w:color="auto" w:fill="DCE0E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F5CF3"/>
    <w:rPr>
      <w:rFonts w:ascii="Arial" w:hAnsi="Arial"/>
      <w:color w:val="00809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CC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CC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CC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CC8" w:themeColor="accent1"/>
        </w:tcBorders>
        <w:shd w:val="clear" w:color="auto" w:fill="FFFFFF" w:themeFill="background1"/>
      </w:tcPr>
    </w:tblStylePr>
    <w:tblStylePr w:type="band1Vert">
      <w:tblPr/>
      <w:tcPr>
        <w:shd w:val="clear" w:color="auto" w:fill="C1F6FF" w:themeFill="accent1" w:themeFillTint="33"/>
      </w:tcPr>
    </w:tblStylePr>
    <w:tblStylePr w:type="band1Horz">
      <w:tblPr/>
      <w:tcPr>
        <w:shd w:val="clear" w:color="auto" w:fill="C1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CF5CF3"/>
    <w:rPr>
      <w:rFonts w:ascii="Arial" w:hAnsi="Arial"/>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6">
    <w:name w:val="Grid Table 7 Colorful Accent 6"/>
    <w:basedOn w:val="TableNormal"/>
    <w:uiPriority w:val="52"/>
    <w:rsid w:val="00CF5CF3"/>
    <w:rPr>
      <w:rFonts w:ascii="Arial" w:hAnsi="Arial"/>
      <w:color w:val="6C0141" w:themeColor="accent6" w:themeShade="BF"/>
    </w:rPr>
    <w:tblPr>
      <w:tblStyleRowBandSize w:val="1"/>
      <w:tblStyleColBandSize w:val="1"/>
      <w:tblBorders>
        <w:top w:val="single" w:sz="4" w:space="0" w:color="FC27A7" w:themeColor="accent6" w:themeTint="99"/>
        <w:left w:val="single" w:sz="4" w:space="0" w:color="FC27A7" w:themeColor="accent6" w:themeTint="99"/>
        <w:bottom w:val="single" w:sz="4" w:space="0" w:color="FC27A7" w:themeColor="accent6" w:themeTint="99"/>
        <w:right w:val="single" w:sz="4" w:space="0" w:color="FC27A7" w:themeColor="accent6" w:themeTint="99"/>
        <w:insideH w:val="single" w:sz="4" w:space="0" w:color="FC27A7" w:themeColor="accent6" w:themeTint="99"/>
        <w:insideV w:val="single" w:sz="4" w:space="0" w:color="FC27A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B7E1" w:themeFill="accent6" w:themeFillTint="33"/>
      </w:tcPr>
    </w:tblStylePr>
    <w:tblStylePr w:type="band1Horz">
      <w:tblPr/>
      <w:tcPr>
        <w:shd w:val="clear" w:color="auto" w:fill="FEB7E1" w:themeFill="accent6" w:themeFillTint="33"/>
      </w:tcPr>
    </w:tblStylePr>
    <w:tblStylePr w:type="neCell">
      <w:tblPr/>
      <w:tcPr>
        <w:tcBorders>
          <w:bottom w:val="single" w:sz="4" w:space="0" w:color="FC27A7" w:themeColor="accent6" w:themeTint="99"/>
        </w:tcBorders>
      </w:tcPr>
    </w:tblStylePr>
    <w:tblStylePr w:type="nwCell">
      <w:tblPr/>
      <w:tcPr>
        <w:tcBorders>
          <w:bottom w:val="single" w:sz="4" w:space="0" w:color="FC27A7" w:themeColor="accent6" w:themeTint="99"/>
        </w:tcBorders>
      </w:tcPr>
    </w:tblStylePr>
    <w:tblStylePr w:type="seCell">
      <w:tblPr/>
      <w:tcPr>
        <w:tcBorders>
          <w:top w:val="single" w:sz="4" w:space="0" w:color="FC27A7" w:themeColor="accent6" w:themeTint="99"/>
        </w:tcBorders>
      </w:tcPr>
    </w:tblStylePr>
    <w:tblStylePr w:type="swCell">
      <w:tblPr/>
      <w:tcPr>
        <w:tcBorders>
          <w:top w:val="single" w:sz="4" w:space="0" w:color="FC27A7" w:themeColor="accent6" w:themeTint="99"/>
        </w:tcBorders>
      </w:tcPr>
    </w:tblStylePr>
  </w:style>
  <w:style w:type="table" w:styleId="GridTable7Colorful-Accent5">
    <w:name w:val="Grid Table 7 Colorful Accent 5"/>
    <w:basedOn w:val="TableNormal"/>
    <w:uiPriority w:val="52"/>
    <w:rsid w:val="00CF5CF3"/>
    <w:rPr>
      <w:rFonts w:ascii="Arial" w:hAnsi="Arial"/>
      <w:color w:val="4B3B84" w:themeColor="accent5" w:themeShade="BF"/>
    </w:rPr>
    <w:tblPr>
      <w:tblStyleRowBandSize w:val="1"/>
      <w:tblStyleColBandSize w:val="1"/>
      <w:tblBorders>
        <w:top w:val="single" w:sz="4" w:space="0" w:color="A295D0" w:themeColor="accent5" w:themeTint="99"/>
        <w:left w:val="single" w:sz="4" w:space="0" w:color="A295D0" w:themeColor="accent5" w:themeTint="99"/>
        <w:bottom w:val="single" w:sz="4" w:space="0" w:color="A295D0" w:themeColor="accent5" w:themeTint="99"/>
        <w:right w:val="single" w:sz="4" w:space="0" w:color="A295D0" w:themeColor="accent5" w:themeTint="99"/>
        <w:insideH w:val="single" w:sz="4" w:space="0" w:color="A295D0" w:themeColor="accent5" w:themeTint="99"/>
        <w:insideV w:val="single" w:sz="4" w:space="0" w:color="A295D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BEF" w:themeFill="accent5" w:themeFillTint="33"/>
      </w:tcPr>
    </w:tblStylePr>
    <w:tblStylePr w:type="band1Horz">
      <w:tblPr/>
      <w:tcPr>
        <w:shd w:val="clear" w:color="auto" w:fill="E0DBEF" w:themeFill="accent5" w:themeFillTint="33"/>
      </w:tcPr>
    </w:tblStylePr>
    <w:tblStylePr w:type="neCell">
      <w:tblPr/>
      <w:tcPr>
        <w:tcBorders>
          <w:bottom w:val="single" w:sz="4" w:space="0" w:color="A295D0" w:themeColor="accent5" w:themeTint="99"/>
        </w:tcBorders>
      </w:tcPr>
    </w:tblStylePr>
    <w:tblStylePr w:type="nwCell">
      <w:tblPr/>
      <w:tcPr>
        <w:tcBorders>
          <w:bottom w:val="single" w:sz="4" w:space="0" w:color="A295D0" w:themeColor="accent5" w:themeTint="99"/>
        </w:tcBorders>
      </w:tcPr>
    </w:tblStylePr>
    <w:tblStylePr w:type="seCell">
      <w:tblPr/>
      <w:tcPr>
        <w:tcBorders>
          <w:top w:val="single" w:sz="4" w:space="0" w:color="A295D0" w:themeColor="accent5" w:themeTint="99"/>
        </w:tcBorders>
      </w:tcPr>
    </w:tblStylePr>
    <w:tblStylePr w:type="swCell">
      <w:tblPr/>
      <w:tcPr>
        <w:tcBorders>
          <w:top w:val="single" w:sz="4" w:space="0" w:color="A295D0" w:themeColor="accent5" w:themeTint="99"/>
        </w:tcBorders>
      </w:tcPr>
    </w:tblStylePr>
  </w:style>
  <w:style w:type="table" w:styleId="GridTable7Colorful-Accent4">
    <w:name w:val="Grid Table 7 Colorful Accent 4"/>
    <w:basedOn w:val="TableNormal"/>
    <w:uiPriority w:val="52"/>
    <w:rsid w:val="00CF5CF3"/>
    <w:rPr>
      <w:rFonts w:ascii="Arial" w:hAnsi="Arial"/>
      <w:color w:val="00284A" w:themeColor="accent4" w:themeShade="BF"/>
    </w:rPr>
    <w:tblPr>
      <w:tblStyleRowBandSize w:val="1"/>
      <w:tblStyleColBandSize w:val="1"/>
      <w:tblBorders>
        <w:top w:val="single" w:sz="4" w:space="0" w:color="0990FF" w:themeColor="accent4" w:themeTint="99"/>
        <w:left w:val="single" w:sz="4" w:space="0" w:color="0990FF" w:themeColor="accent4" w:themeTint="99"/>
        <w:bottom w:val="single" w:sz="4" w:space="0" w:color="0990FF" w:themeColor="accent4" w:themeTint="99"/>
        <w:right w:val="single" w:sz="4" w:space="0" w:color="0990FF" w:themeColor="accent4" w:themeTint="99"/>
        <w:insideH w:val="single" w:sz="4" w:space="0" w:color="0990FF" w:themeColor="accent4" w:themeTint="99"/>
        <w:insideV w:val="single" w:sz="4" w:space="0" w:color="0990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DDAFF" w:themeFill="accent4" w:themeFillTint="33"/>
      </w:tcPr>
    </w:tblStylePr>
    <w:tblStylePr w:type="band1Horz">
      <w:tblPr/>
      <w:tcPr>
        <w:shd w:val="clear" w:color="auto" w:fill="ADDAFF" w:themeFill="accent4" w:themeFillTint="33"/>
      </w:tcPr>
    </w:tblStylePr>
    <w:tblStylePr w:type="neCell">
      <w:tblPr/>
      <w:tcPr>
        <w:tcBorders>
          <w:bottom w:val="single" w:sz="4" w:space="0" w:color="0990FF" w:themeColor="accent4" w:themeTint="99"/>
        </w:tcBorders>
      </w:tcPr>
    </w:tblStylePr>
    <w:tblStylePr w:type="nwCell">
      <w:tblPr/>
      <w:tcPr>
        <w:tcBorders>
          <w:bottom w:val="single" w:sz="4" w:space="0" w:color="0990FF" w:themeColor="accent4" w:themeTint="99"/>
        </w:tcBorders>
      </w:tcPr>
    </w:tblStylePr>
    <w:tblStylePr w:type="seCell">
      <w:tblPr/>
      <w:tcPr>
        <w:tcBorders>
          <w:top w:val="single" w:sz="4" w:space="0" w:color="0990FF" w:themeColor="accent4" w:themeTint="99"/>
        </w:tcBorders>
      </w:tcPr>
    </w:tblStylePr>
    <w:tblStylePr w:type="swCell">
      <w:tblPr/>
      <w:tcPr>
        <w:tcBorders>
          <w:top w:val="single" w:sz="4" w:space="0" w:color="0990FF" w:themeColor="accent4" w:themeTint="99"/>
        </w:tcBorders>
      </w:tcPr>
    </w:tblStylePr>
  </w:style>
  <w:style w:type="table" w:styleId="GridTable7Colorful-Accent3">
    <w:name w:val="Grid Table 7 Colorful Accent 3"/>
    <w:basedOn w:val="TableNormal"/>
    <w:uiPriority w:val="52"/>
    <w:rsid w:val="00CF5CF3"/>
    <w:rPr>
      <w:rFonts w:ascii="Arial" w:hAnsi="Arial"/>
      <w:color w:val="009A5D" w:themeColor="accent3" w:themeShade="BF"/>
    </w:rPr>
    <w:tblPr>
      <w:tblStyleRowBandSize w:val="1"/>
      <w:tblStyleColBandSize w:val="1"/>
      <w:tblBorders>
        <w:top w:val="single" w:sz="4" w:space="0" w:color="48FFB6" w:themeColor="accent3" w:themeTint="99"/>
        <w:left w:val="single" w:sz="4" w:space="0" w:color="48FFB6" w:themeColor="accent3" w:themeTint="99"/>
        <w:bottom w:val="single" w:sz="4" w:space="0" w:color="48FFB6" w:themeColor="accent3" w:themeTint="99"/>
        <w:right w:val="single" w:sz="4" w:space="0" w:color="48FFB6" w:themeColor="accent3" w:themeTint="99"/>
        <w:insideH w:val="single" w:sz="4" w:space="0" w:color="48FFB6" w:themeColor="accent3" w:themeTint="99"/>
        <w:insideV w:val="single" w:sz="4" w:space="0" w:color="48FFB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FFE6" w:themeFill="accent3" w:themeFillTint="33"/>
      </w:tcPr>
    </w:tblStylePr>
    <w:tblStylePr w:type="band1Horz">
      <w:tblPr/>
      <w:tcPr>
        <w:shd w:val="clear" w:color="auto" w:fill="C2FFE6" w:themeFill="accent3" w:themeFillTint="33"/>
      </w:tcPr>
    </w:tblStylePr>
    <w:tblStylePr w:type="neCell">
      <w:tblPr/>
      <w:tcPr>
        <w:tcBorders>
          <w:bottom w:val="single" w:sz="4" w:space="0" w:color="48FFB6" w:themeColor="accent3" w:themeTint="99"/>
        </w:tcBorders>
      </w:tcPr>
    </w:tblStylePr>
    <w:tblStylePr w:type="nwCell">
      <w:tblPr/>
      <w:tcPr>
        <w:tcBorders>
          <w:bottom w:val="single" w:sz="4" w:space="0" w:color="48FFB6" w:themeColor="accent3" w:themeTint="99"/>
        </w:tcBorders>
      </w:tcPr>
    </w:tblStylePr>
    <w:tblStylePr w:type="seCell">
      <w:tblPr/>
      <w:tcPr>
        <w:tcBorders>
          <w:top w:val="single" w:sz="4" w:space="0" w:color="48FFB6" w:themeColor="accent3" w:themeTint="99"/>
        </w:tcBorders>
      </w:tcPr>
    </w:tblStylePr>
    <w:tblStylePr w:type="swCell">
      <w:tblPr/>
      <w:tcPr>
        <w:tcBorders>
          <w:top w:val="single" w:sz="4" w:space="0" w:color="48FFB6" w:themeColor="accent3" w:themeTint="99"/>
        </w:tcBorders>
      </w:tcPr>
    </w:tblStylePr>
  </w:style>
  <w:style w:type="table" w:styleId="GridTable7Colorful-Accent2">
    <w:name w:val="Grid Table 7 Colorful Accent 2"/>
    <w:basedOn w:val="TableNormal"/>
    <w:uiPriority w:val="52"/>
    <w:rsid w:val="00CF5CF3"/>
    <w:rPr>
      <w:rFonts w:ascii="Arial" w:hAnsi="Arial"/>
      <w:color w:val="444D53" w:themeColor="accent2" w:themeShade="BF"/>
    </w:rPr>
    <w:tblPr>
      <w:tblStyleRowBandSize w:val="1"/>
      <w:tblStyleColBandSize w:val="1"/>
      <w:tblBorders>
        <w:top w:val="single" w:sz="4" w:space="0" w:color="99A4AC" w:themeColor="accent2" w:themeTint="99"/>
        <w:left w:val="single" w:sz="4" w:space="0" w:color="99A4AC" w:themeColor="accent2" w:themeTint="99"/>
        <w:bottom w:val="single" w:sz="4" w:space="0" w:color="99A4AC" w:themeColor="accent2" w:themeTint="99"/>
        <w:right w:val="single" w:sz="4" w:space="0" w:color="99A4AC" w:themeColor="accent2" w:themeTint="99"/>
        <w:insideH w:val="single" w:sz="4" w:space="0" w:color="99A4AC" w:themeColor="accent2" w:themeTint="99"/>
        <w:insideV w:val="single" w:sz="4" w:space="0" w:color="99A4A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0E3" w:themeFill="accent2" w:themeFillTint="33"/>
      </w:tcPr>
    </w:tblStylePr>
    <w:tblStylePr w:type="band1Horz">
      <w:tblPr/>
      <w:tcPr>
        <w:shd w:val="clear" w:color="auto" w:fill="DCE0E3" w:themeFill="accent2" w:themeFillTint="33"/>
      </w:tcPr>
    </w:tblStylePr>
    <w:tblStylePr w:type="neCell">
      <w:tblPr/>
      <w:tcPr>
        <w:tcBorders>
          <w:bottom w:val="single" w:sz="4" w:space="0" w:color="99A4AC" w:themeColor="accent2" w:themeTint="99"/>
        </w:tcBorders>
      </w:tcPr>
    </w:tblStylePr>
    <w:tblStylePr w:type="nwCell">
      <w:tblPr/>
      <w:tcPr>
        <w:tcBorders>
          <w:bottom w:val="single" w:sz="4" w:space="0" w:color="99A4AC" w:themeColor="accent2" w:themeTint="99"/>
        </w:tcBorders>
      </w:tcPr>
    </w:tblStylePr>
    <w:tblStylePr w:type="seCell">
      <w:tblPr/>
      <w:tcPr>
        <w:tcBorders>
          <w:top w:val="single" w:sz="4" w:space="0" w:color="99A4AC" w:themeColor="accent2" w:themeTint="99"/>
        </w:tcBorders>
      </w:tcPr>
    </w:tblStylePr>
    <w:tblStylePr w:type="swCell">
      <w:tblPr/>
      <w:tcPr>
        <w:tcBorders>
          <w:top w:val="single" w:sz="4" w:space="0" w:color="99A4AC" w:themeColor="accent2" w:themeTint="99"/>
        </w:tcBorders>
      </w:tcPr>
    </w:tblStylePr>
  </w:style>
  <w:style w:type="table" w:styleId="GridTable7Colorful-Accent1">
    <w:name w:val="Grid Table 7 Colorful Accent 1"/>
    <w:basedOn w:val="TableNormal"/>
    <w:uiPriority w:val="52"/>
    <w:rsid w:val="00CF5CF3"/>
    <w:rPr>
      <w:rFonts w:ascii="Arial" w:hAnsi="Arial"/>
      <w:color w:val="008095" w:themeColor="accent1" w:themeShade="BF"/>
    </w:rPr>
    <w:tblPr>
      <w:tblStyleRowBandSize w:val="1"/>
      <w:tblStyleColBandSize w:val="1"/>
      <w:tblBorders>
        <w:top w:val="single" w:sz="4" w:space="0" w:color="45E4FF" w:themeColor="accent1" w:themeTint="99"/>
        <w:left w:val="single" w:sz="4" w:space="0" w:color="45E4FF" w:themeColor="accent1" w:themeTint="99"/>
        <w:bottom w:val="single" w:sz="4" w:space="0" w:color="45E4FF" w:themeColor="accent1" w:themeTint="99"/>
        <w:right w:val="single" w:sz="4" w:space="0" w:color="45E4FF" w:themeColor="accent1" w:themeTint="99"/>
        <w:insideH w:val="single" w:sz="4" w:space="0" w:color="45E4FF" w:themeColor="accent1" w:themeTint="99"/>
        <w:insideV w:val="single" w:sz="4" w:space="0" w:color="45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6FF" w:themeFill="accent1" w:themeFillTint="33"/>
      </w:tcPr>
    </w:tblStylePr>
    <w:tblStylePr w:type="band1Horz">
      <w:tblPr/>
      <w:tcPr>
        <w:shd w:val="clear" w:color="auto" w:fill="C1F6FF" w:themeFill="accent1" w:themeFillTint="33"/>
      </w:tcPr>
    </w:tblStylePr>
    <w:tblStylePr w:type="neCell">
      <w:tblPr/>
      <w:tcPr>
        <w:tcBorders>
          <w:bottom w:val="single" w:sz="4" w:space="0" w:color="45E4FF" w:themeColor="accent1" w:themeTint="99"/>
        </w:tcBorders>
      </w:tcPr>
    </w:tblStylePr>
    <w:tblStylePr w:type="nwCell">
      <w:tblPr/>
      <w:tcPr>
        <w:tcBorders>
          <w:bottom w:val="single" w:sz="4" w:space="0" w:color="45E4FF" w:themeColor="accent1" w:themeTint="99"/>
        </w:tcBorders>
      </w:tcPr>
    </w:tblStylePr>
    <w:tblStylePr w:type="seCell">
      <w:tblPr/>
      <w:tcPr>
        <w:tcBorders>
          <w:top w:val="single" w:sz="4" w:space="0" w:color="45E4FF" w:themeColor="accent1" w:themeTint="99"/>
        </w:tcBorders>
      </w:tcPr>
    </w:tblStylePr>
    <w:tblStylePr w:type="swCell">
      <w:tblPr/>
      <w:tcPr>
        <w:tcBorders>
          <w:top w:val="single" w:sz="4" w:space="0" w:color="45E4FF" w:themeColor="accent1" w:themeTint="99"/>
        </w:tcBorders>
      </w:tcPr>
    </w:tblStylePr>
  </w:style>
  <w:style w:type="table" w:styleId="GridTable7Colorful">
    <w:name w:val="Grid Table 7 Colorful"/>
    <w:basedOn w:val="TableNormal"/>
    <w:uiPriority w:val="52"/>
    <w:rsid w:val="00CF5CF3"/>
    <w:rPr>
      <w:rFonts w:ascii="Arial" w:hAnsi="Arial"/>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6Colorful-Accent6">
    <w:name w:val="List Table 6 Colorful Accent 6"/>
    <w:basedOn w:val="TableNormal"/>
    <w:uiPriority w:val="51"/>
    <w:rsid w:val="00CF5CF3"/>
    <w:rPr>
      <w:rFonts w:ascii="Arial" w:hAnsi="Arial"/>
      <w:color w:val="6C0141" w:themeColor="accent6" w:themeShade="BF"/>
    </w:rPr>
    <w:tblPr>
      <w:tblStyleRowBandSize w:val="1"/>
      <w:tblStyleColBandSize w:val="1"/>
      <w:tblBorders>
        <w:top w:val="single" w:sz="4" w:space="0" w:color="910258" w:themeColor="accent6"/>
        <w:bottom w:val="single" w:sz="4" w:space="0" w:color="910258" w:themeColor="accent6"/>
      </w:tblBorders>
    </w:tblPr>
    <w:tblStylePr w:type="firstRow">
      <w:rPr>
        <w:b/>
        <w:bCs/>
      </w:rPr>
      <w:tblPr/>
      <w:tcPr>
        <w:tcBorders>
          <w:bottom w:val="single" w:sz="4" w:space="0" w:color="910258" w:themeColor="accent6"/>
        </w:tcBorders>
      </w:tcPr>
    </w:tblStylePr>
    <w:tblStylePr w:type="lastRow">
      <w:rPr>
        <w:b/>
        <w:bCs/>
      </w:rPr>
      <w:tblPr/>
      <w:tcPr>
        <w:tcBorders>
          <w:top w:val="double" w:sz="4" w:space="0" w:color="910258" w:themeColor="accent6"/>
        </w:tcBorders>
      </w:tcPr>
    </w:tblStylePr>
    <w:tblStylePr w:type="firstCol">
      <w:rPr>
        <w:b/>
        <w:bCs/>
      </w:rPr>
    </w:tblStylePr>
    <w:tblStylePr w:type="lastCol">
      <w:rPr>
        <w:b/>
        <w:bCs/>
      </w:rPr>
    </w:tblStylePr>
    <w:tblStylePr w:type="band1Vert">
      <w:tblPr/>
      <w:tcPr>
        <w:shd w:val="clear" w:color="auto" w:fill="FEB7E1" w:themeFill="accent6" w:themeFillTint="33"/>
      </w:tcPr>
    </w:tblStylePr>
    <w:tblStylePr w:type="band1Horz">
      <w:tblPr/>
      <w:tcPr>
        <w:shd w:val="clear" w:color="auto" w:fill="FEB7E1" w:themeFill="accent6" w:themeFillTint="33"/>
      </w:tcPr>
    </w:tblStylePr>
  </w:style>
  <w:style w:type="table" w:styleId="ListTable6Colorful-Accent5">
    <w:name w:val="List Table 6 Colorful Accent 5"/>
    <w:basedOn w:val="TableNormal"/>
    <w:uiPriority w:val="51"/>
    <w:rsid w:val="00CF5CF3"/>
    <w:rPr>
      <w:rFonts w:ascii="Arial" w:hAnsi="Arial"/>
      <w:color w:val="4B3B84" w:themeColor="accent5" w:themeShade="BF"/>
    </w:rPr>
    <w:tblPr>
      <w:tblStyleRowBandSize w:val="1"/>
      <w:tblStyleColBandSize w:val="1"/>
      <w:tblBorders>
        <w:top w:val="single" w:sz="4" w:space="0" w:color="6650B1" w:themeColor="accent5"/>
        <w:bottom w:val="single" w:sz="4" w:space="0" w:color="6650B1" w:themeColor="accent5"/>
      </w:tblBorders>
    </w:tblPr>
    <w:tblStylePr w:type="firstRow">
      <w:rPr>
        <w:b/>
        <w:bCs/>
      </w:rPr>
      <w:tblPr/>
      <w:tcPr>
        <w:tcBorders>
          <w:bottom w:val="single" w:sz="4" w:space="0" w:color="6650B1" w:themeColor="accent5"/>
        </w:tcBorders>
      </w:tcPr>
    </w:tblStylePr>
    <w:tblStylePr w:type="lastRow">
      <w:rPr>
        <w:b/>
        <w:bCs/>
      </w:rPr>
      <w:tblPr/>
      <w:tcPr>
        <w:tcBorders>
          <w:top w:val="double" w:sz="4" w:space="0" w:color="6650B1" w:themeColor="accent5"/>
        </w:tcBorders>
      </w:tcPr>
    </w:tblStylePr>
    <w:tblStylePr w:type="firstCol">
      <w:rPr>
        <w:b/>
        <w:bCs/>
      </w:rPr>
    </w:tblStylePr>
    <w:tblStylePr w:type="lastCol">
      <w:rPr>
        <w:b/>
        <w:bCs/>
      </w:rPr>
    </w:tblStylePr>
    <w:tblStylePr w:type="band1Vert">
      <w:tblPr/>
      <w:tcPr>
        <w:shd w:val="clear" w:color="auto" w:fill="E0DBEF" w:themeFill="accent5" w:themeFillTint="33"/>
      </w:tcPr>
    </w:tblStylePr>
    <w:tblStylePr w:type="band1Horz">
      <w:tblPr/>
      <w:tcPr>
        <w:shd w:val="clear" w:color="auto" w:fill="E0DBEF" w:themeFill="accent5" w:themeFillTint="33"/>
      </w:tcPr>
    </w:tblStylePr>
  </w:style>
  <w:style w:type="table" w:styleId="ListTable6Colorful-Accent4">
    <w:name w:val="List Table 6 Colorful Accent 4"/>
    <w:basedOn w:val="TableNormal"/>
    <w:uiPriority w:val="51"/>
    <w:rsid w:val="00CF5CF3"/>
    <w:rPr>
      <w:rFonts w:ascii="Arial" w:hAnsi="Arial"/>
      <w:color w:val="00284A" w:themeColor="accent4" w:themeShade="BF"/>
    </w:rPr>
    <w:tblPr>
      <w:tblStyleRowBandSize w:val="1"/>
      <w:tblStyleColBandSize w:val="1"/>
      <w:tblBorders>
        <w:top w:val="single" w:sz="4" w:space="0" w:color="003764" w:themeColor="accent4"/>
        <w:bottom w:val="single" w:sz="4" w:space="0" w:color="003764" w:themeColor="accent4"/>
      </w:tblBorders>
    </w:tblPr>
    <w:tblStylePr w:type="firstRow">
      <w:rPr>
        <w:b/>
        <w:bCs/>
      </w:rPr>
      <w:tblPr/>
      <w:tcPr>
        <w:tcBorders>
          <w:bottom w:val="single" w:sz="4" w:space="0" w:color="003764" w:themeColor="accent4"/>
        </w:tcBorders>
      </w:tcPr>
    </w:tblStylePr>
    <w:tblStylePr w:type="lastRow">
      <w:rPr>
        <w:b/>
        <w:bCs/>
      </w:rPr>
      <w:tblPr/>
      <w:tcPr>
        <w:tcBorders>
          <w:top w:val="double" w:sz="4" w:space="0" w:color="003764" w:themeColor="accent4"/>
        </w:tcBorders>
      </w:tcPr>
    </w:tblStylePr>
    <w:tblStylePr w:type="firstCol">
      <w:rPr>
        <w:b/>
        <w:bCs/>
      </w:rPr>
    </w:tblStylePr>
    <w:tblStylePr w:type="lastCol">
      <w:rPr>
        <w:b/>
        <w:bCs/>
      </w:rPr>
    </w:tblStylePr>
    <w:tblStylePr w:type="band1Vert">
      <w:tblPr/>
      <w:tcPr>
        <w:shd w:val="clear" w:color="auto" w:fill="ADDAFF" w:themeFill="accent4" w:themeFillTint="33"/>
      </w:tcPr>
    </w:tblStylePr>
    <w:tblStylePr w:type="band1Horz">
      <w:tblPr/>
      <w:tcPr>
        <w:shd w:val="clear" w:color="auto" w:fill="ADDAFF" w:themeFill="accent4" w:themeFillTint="33"/>
      </w:tcPr>
    </w:tblStylePr>
  </w:style>
  <w:style w:type="table" w:styleId="ListTable6Colorful-Accent3">
    <w:name w:val="List Table 6 Colorful Accent 3"/>
    <w:basedOn w:val="TableNormal"/>
    <w:uiPriority w:val="51"/>
    <w:rsid w:val="00CF5CF3"/>
    <w:rPr>
      <w:rFonts w:ascii="Arial" w:hAnsi="Arial"/>
      <w:color w:val="009A5D" w:themeColor="accent3" w:themeShade="BF"/>
    </w:rPr>
    <w:tblPr>
      <w:tblStyleRowBandSize w:val="1"/>
      <w:tblStyleColBandSize w:val="1"/>
      <w:tblBorders>
        <w:top w:val="single" w:sz="4" w:space="0" w:color="00CE7D" w:themeColor="accent3"/>
        <w:bottom w:val="single" w:sz="4" w:space="0" w:color="00CE7D" w:themeColor="accent3"/>
      </w:tblBorders>
    </w:tblPr>
    <w:tblStylePr w:type="firstRow">
      <w:rPr>
        <w:b/>
        <w:bCs/>
      </w:rPr>
      <w:tblPr/>
      <w:tcPr>
        <w:tcBorders>
          <w:bottom w:val="single" w:sz="4" w:space="0" w:color="00CE7D" w:themeColor="accent3"/>
        </w:tcBorders>
      </w:tcPr>
    </w:tblStylePr>
    <w:tblStylePr w:type="lastRow">
      <w:rPr>
        <w:b/>
        <w:bCs/>
      </w:rPr>
      <w:tblPr/>
      <w:tcPr>
        <w:tcBorders>
          <w:top w:val="double" w:sz="4" w:space="0" w:color="00CE7D" w:themeColor="accent3"/>
        </w:tcBorders>
      </w:tcPr>
    </w:tblStylePr>
    <w:tblStylePr w:type="firstCol">
      <w:rPr>
        <w:b/>
        <w:bCs/>
      </w:rPr>
    </w:tblStylePr>
    <w:tblStylePr w:type="lastCol">
      <w:rPr>
        <w:b/>
        <w:bCs/>
      </w:rPr>
    </w:tblStylePr>
    <w:tblStylePr w:type="band1Vert">
      <w:tblPr/>
      <w:tcPr>
        <w:shd w:val="clear" w:color="auto" w:fill="C2FFE6" w:themeFill="accent3" w:themeFillTint="33"/>
      </w:tcPr>
    </w:tblStylePr>
    <w:tblStylePr w:type="band1Horz">
      <w:tblPr/>
      <w:tcPr>
        <w:shd w:val="clear" w:color="auto" w:fill="C2FFE6" w:themeFill="accent3" w:themeFillTint="33"/>
      </w:tcPr>
    </w:tblStylePr>
  </w:style>
  <w:style w:type="table" w:styleId="ListTable6Colorful-Accent2">
    <w:name w:val="List Table 6 Colorful Accent 2"/>
    <w:basedOn w:val="TableNormal"/>
    <w:uiPriority w:val="51"/>
    <w:rsid w:val="00CF5CF3"/>
    <w:rPr>
      <w:rFonts w:ascii="Arial" w:hAnsi="Arial"/>
      <w:color w:val="444D53" w:themeColor="accent2" w:themeShade="BF"/>
    </w:rPr>
    <w:tblPr>
      <w:tblStyleRowBandSize w:val="1"/>
      <w:tblStyleColBandSize w:val="1"/>
      <w:tblBorders>
        <w:top w:val="single" w:sz="4" w:space="0" w:color="5B6770" w:themeColor="accent2"/>
        <w:bottom w:val="single" w:sz="4" w:space="0" w:color="5B6770" w:themeColor="accent2"/>
      </w:tblBorders>
    </w:tblPr>
    <w:tblStylePr w:type="firstRow">
      <w:rPr>
        <w:b/>
        <w:bCs/>
      </w:rPr>
      <w:tblPr/>
      <w:tcPr>
        <w:tcBorders>
          <w:bottom w:val="single" w:sz="4" w:space="0" w:color="5B6770" w:themeColor="accent2"/>
        </w:tcBorders>
      </w:tcPr>
    </w:tblStylePr>
    <w:tblStylePr w:type="lastRow">
      <w:rPr>
        <w:b/>
        <w:bCs/>
      </w:rPr>
      <w:tblPr/>
      <w:tcPr>
        <w:tcBorders>
          <w:top w:val="double" w:sz="4" w:space="0" w:color="5B6770" w:themeColor="accent2"/>
        </w:tcBorders>
      </w:tcPr>
    </w:tblStylePr>
    <w:tblStylePr w:type="firstCol">
      <w:rPr>
        <w:b/>
        <w:bCs/>
      </w:rPr>
    </w:tblStylePr>
    <w:tblStylePr w:type="lastCol">
      <w:rPr>
        <w:b/>
        <w:bCs/>
      </w:rPr>
    </w:tblStylePr>
    <w:tblStylePr w:type="band1Vert">
      <w:tblPr/>
      <w:tcPr>
        <w:shd w:val="clear" w:color="auto" w:fill="DCE0E3" w:themeFill="accent2" w:themeFillTint="33"/>
      </w:tcPr>
    </w:tblStylePr>
    <w:tblStylePr w:type="band1Horz">
      <w:tblPr/>
      <w:tcPr>
        <w:shd w:val="clear" w:color="auto" w:fill="DCE0E3" w:themeFill="accent2" w:themeFillTint="33"/>
      </w:tcPr>
    </w:tblStylePr>
  </w:style>
  <w:style w:type="table" w:styleId="ListTable6Colorful-Accent1">
    <w:name w:val="List Table 6 Colorful Accent 1"/>
    <w:basedOn w:val="TableNormal"/>
    <w:uiPriority w:val="51"/>
    <w:rsid w:val="00CF5CF3"/>
    <w:rPr>
      <w:rFonts w:ascii="Arial" w:hAnsi="Arial"/>
      <w:color w:val="008095" w:themeColor="accent1" w:themeShade="BF"/>
    </w:rPr>
    <w:tblPr>
      <w:tblStyleRowBandSize w:val="1"/>
      <w:tblStyleColBandSize w:val="1"/>
      <w:tblBorders>
        <w:top w:val="single" w:sz="4" w:space="0" w:color="00ACC8" w:themeColor="accent1"/>
        <w:bottom w:val="single" w:sz="4" w:space="0" w:color="00ACC8" w:themeColor="accent1"/>
      </w:tblBorders>
    </w:tblPr>
    <w:tblStylePr w:type="firstRow">
      <w:rPr>
        <w:b/>
        <w:bCs/>
      </w:rPr>
      <w:tblPr/>
      <w:tcPr>
        <w:tcBorders>
          <w:bottom w:val="single" w:sz="4" w:space="0" w:color="00ACC8" w:themeColor="accent1"/>
        </w:tcBorders>
      </w:tcPr>
    </w:tblStylePr>
    <w:tblStylePr w:type="lastRow">
      <w:rPr>
        <w:b/>
        <w:bCs/>
      </w:rPr>
      <w:tblPr/>
      <w:tcPr>
        <w:tcBorders>
          <w:top w:val="double" w:sz="4" w:space="0" w:color="00ACC8" w:themeColor="accent1"/>
        </w:tcBorders>
      </w:tcPr>
    </w:tblStylePr>
    <w:tblStylePr w:type="firstCol">
      <w:rPr>
        <w:b/>
        <w:bCs/>
      </w:rPr>
    </w:tblStylePr>
    <w:tblStylePr w:type="lastCol">
      <w:rPr>
        <w:b/>
        <w:bCs/>
      </w:rPr>
    </w:tblStylePr>
    <w:tblStylePr w:type="band1Vert">
      <w:tblPr/>
      <w:tcPr>
        <w:shd w:val="clear" w:color="auto" w:fill="C1F6FF" w:themeFill="accent1" w:themeFillTint="33"/>
      </w:tcPr>
    </w:tblStylePr>
    <w:tblStylePr w:type="band1Horz">
      <w:tblPr/>
      <w:tcPr>
        <w:shd w:val="clear" w:color="auto" w:fill="C1F6FF" w:themeFill="accent1" w:themeFillTint="33"/>
      </w:tcPr>
    </w:tblStylePr>
  </w:style>
  <w:style w:type="table" w:styleId="ListTable6Colorful">
    <w:name w:val="List Table 6 Colorful"/>
    <w:basedOn w:val="TableNormal"/>
    <w:uiPriority w:val="51"/>
    <w:rsid w:val="00CF5CF3"/>
    <w:rPr>
      <w:rFonts w:ascii="Arial" w:hAnsi="Arial"/>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6">
    <w:name w:val="Grid Table 6 Colorful Accent 6"/>
    <w:basedOn w:val="TableNormal"/>
    <w:uiPriority w:val="51"/>
    <w:rsid w:val="00CF5CF3"/>
    <w:rPr>
      <w:rFonts w:ascii="Arial" w:hAnsi="Arial"/>
      <w:color w:val="6C0141" w:themeColor="accent6" w:themeShade="BF"/>
    </w:rPr>
    <w:tblPr>
      <w:tblStyleRowBandSize w:val="1"/>
      <w:tblStyleColBandSize w:val="1"/>
      <w:tblBorders>
        <w:top w:val="single" w:sz="4" w:space="0" w:color="FC27A7" w:themeColor="accent6" w:themeTint="99"/>
        <w:left w:val="single" w:sz="4" w:space="0" w:color="FC27A7" w:themeColor="accent6" w:themeTint="99"/>
        <w:bottom w:val="single" w:sz="4" w:space="0" w:color="FC27A7" w:themeColor="accent6" w:themeTint="99"/>
        <w:right w:val="single" w:sz="4" w:space="0" w:color="FC27A7" w:themeColor="accent6" w:themeTint="99"/>
        <w:insideH w:val="single" w:sz="4" w:space="0" w:color="FC27A7" w:themeColor="accent6" w:themeTint="99"/>
        <w:insideV w:val="single" w:sz="4" w:space="0" w:color="FC27A7" w:themeColor="accent6" w:themeTint="99"/>
      </w:tblBorders>
    </w:tblPr>
    <w:tblStylePr w:type="firstRow">
      <w:rPr>
        <w:b/>
        <w:bCs/>
      </w:rPr>
      <w:tblPr/>
      <w:tcPr>
        <w:tcBorders>
          <w:bottom w:val="single" w:sz="12" w:space="0" w:color="FC27A7" w:themeColor="accent6" w:themeTint="99"/>
        </w:tcBorders>
      </w:tcPr>
    </w:tblStylePr>
    <w:tblStylePr w:type="lastRow">
      <w:rPr>
        <w:b/>
        <w:bCs/>
      </w:rPr>
      <w:tblPr/>
      <w:tcPr>
        <w:tcBorders>
          <w:top w:val="double" w:sz="4" w:space="0" w:color="FC27A7" w:themeColor="accent6" w:themeTint="99"/>
        </w:tcBorders>
      </w:tcPr>
    </w:tblStylePr>
    <w:tblStylePr w:type="firstCol">
      <w:rPr>
        <w:b/>
        <w:bCs/>
      </w:rPr>
    </w:tblStylePr>
    <w:tblStylePr w:type="lastCol">
      <w:rPr>
        <w:b/>
        <w:bCs/>
      </w:rPr>
    </w:tblStylePr>
    <w:tblStylePr w:type="band1Vert">
      <w:tblPr/>
      <w:tcPr>
        <w:shd w:val="clear" w:color="auto" w:fill="FEB7E1" w:themeFill="accent6" w:themeFillTint="33"/>
      </w:tcPr>
    </w:tblStylePr>
    <w:tblStylePr w:type="band1Horz">
      <w:tblPr/>
      <w:tcPr>
        <w:shd w:val="clear" w:color="auto" w:fill="FEB7E1" w:themeFill="accent6" w:themeFillTint="33"/>
      </w:tcPr>
    </w:tblStylePr>
  </w:style>
  <w:style w:type="table" w:styleId="GridTable6Colorful-Accent5">
    <w:name w:val="Grid Table 6 Colorful Accent 5"/>
    <w:basedOn w:val="TableNormal"/>
    <w:uiPriority w:val="51"/>
    <w:rsid w:val="00CF5CF3"/>
    <w:rPr>
      <w:rFonts w:ascii="Arial" w:hAnsi="Arial"/>
      <w:color w:val="4B3B84" w:themeColor="accent5" w:themeShade="BF"/>
    </w:rPr>
    <w:tblPr>
      <w:tblStyleRowBandSize w:val="1"/>
      <w:tblStyleColBandSize w:val="1"/>
      <w:tblBorders>
        <w:top w:val="single" w:sz="4" w:space="0" w:color="A295D0" w:themeColor="accent5" w:themeTint="99"/>
        <w:left w:val="single" w:sz="4" w:space="0" w:color="A295D0" w:themeColor="accent5" w:themeTint="99"/>
        <w:bottom w:val="single" w:sz="4" w:space="0" w:color="A295D0" w:themeColor="accent5" w:themeTint="99"/>
        <w:right w:val="single" w:sz="4" w:space="0" w:color="A295D0" w:themeColor="accent5" w:themeTint="99"/>
        <w:insideH w:val="single" w:sz="4" w:space="0" w:color="A295D0" w:themeColor="accent5" w:themeTint="99"/>
        <w:insideV w:val="single" w:sz="4" w:space="0" w:color="A295D0" w:themeColor="accent5" w:themeTint="99"/>
      </w:tblBorders>
    </w:tblPr>
    <w:tblStylePr w:type="firstRow">
      <w:rPr>
        <w:b/>
        <w:bCs/>
      </w:rPr>
      <w:tblPr/>
      <w:tcPr>
        <w:tcBorders>
          <w:bottom w:val="single" w:sz="12" w:space="0" w:color="A295D0" w:themeColor="accent5" w:themeTint="99"/>
        </w:tcBorders>
      </w:tcPr>
    </w:tblStylePr>
    <w:tblStylePr w:type="lastRow">
      <w:rPr>
        <w:b/>
        <w:bCs/>
      </w:rPr>
      <w:tblPr/>
      <w:tcPr>
        <w:tcBorders>
          <w:top w:val="double" w:sz="4" w:space="0" w:color="A295D0" w:themeColor="accent5" w:themeTint="99"/>
        </w:tcBorders>
      </w:tcPr>
    </w:tblStylePr>
    <w:tblStylePr w:type="firstCol">
      <w:rPr>
        <w:b/>
        <w:bCs/>
      </w:rPr>
    </w:tblStylePr>
    <w:tblStylePr w:type="lastCol">
      <w:rPr>
        <w:b/>
        <w:bCs/>
      </w:rPr>
    </w:tblStylePr>
    <w:tblStylePr w:type="band1Vert">
      <w:tblPr/>
      <w:tcPr>
        <w:shd w:val="clear" w:color="auto" w:fill="E0DBEF" w:themeFill="accent5" w:themeFillTint="33"/>
      </w:tcPr>
    </w:tblStylePr>
    <w:tblStylePr w:type="band1Horz">
      <w:tblPr/>
      <w:tcPr>
        <w:shd w:val="clear" w:color="auto" w:fill="E0DBEF" w:themeFill="accent5" w:themeFillTint="33"/>
      </w:tcPr>
    </w:tblStylePr>
  </w:style>
  <w:style w:type="table" w:styleId="GridTable6Colorful-Accent4">
    <w:name w:val="Grid Table 6 Colorful Accent 4"/>
    <w:basedOn w:val="TableNormal"/>
    <w:uiPriority w:val="51"/>
    <w:rsid w:val="00CF5CF3"/>
    <w:rPr>
      <w:rFonts w:ascii="Arial" w:hAnsi="Arial"/>
      <w:color w:val="00284A" w:themeColor="accent4" w:themeShade="BF"/>
    </w:rPr>
    <w:tblPr>
      <w:tblStyleRowBandSize w:val="1"/>
      <w:tblStyleColBandSize w:val="1"/>
      <w:tblBorders>
        <w:top w:val="single" w:sz="4" w:space="0" w:color="0990FF" w:themeColor="accent4" w:themeTint="99"/>
        <w:left w:val="single" w:sz="4" w:space="0" w:color="0990FF" w:themeColor="accent4" w:themeTint="99"/>
        <w:bottom w:val="single" w:sz="4" w:space="0" w:color="0990FF" w:themeColor="accent4" w:themeTint="99"/>
        <w:right w:val="single" w:sz="4" w:space="0" w:color="0990FF" w:themeColor="accent4" w:themeTint="99"/>
        <w:insideH w:val="single" w:sz="4" w:space="0" w:color="0990FF" w:themeColor="accent4" w:themeTint="99"/>
        <w:insideV w:val="single" w:sz="4" w:space="0" w:color="0990FF" w:themeColor="accent4" w:themeTint="99"/>
      </w:tblBorders>
    </w:tblPr>
    <w:tblStylePr w:type="firstRow">
      <w:rPr>
        <w:b/>
        <w:bCs/>
      </w:rPr>
      <w:tblPr/>
      <w:tcPr>
        <w:tcBorders>
          <w:bottom w:val="single" w:sz="12" w:space="0" w:color="0990FF" w:themeColor="accent4" w:themeTint="99"/>
        </w:tcBorders>
      </w:tcPr>
    </w:tblStylePr>
    <w:tblStylePr w:type="lastRow">
      <w:rPr>
        <w:b/>
        <w:bCs/>
      </w:rPr>
      <w:tblPr/>
      <w:tcPr>
        <w:tcBorders>
          <w:top w:val="double" w:sz="4" w:space="0" w:color="0990FF" w:themeColor="accent4" w:themeTint="99"/>
        </w:tcBorders>
      </w:tcPr>
    </w:tblStylePr>
    <w:tblStylePr w:type="firstCol">
      <w:rPr>
        <w:b/>
        <w:bCs/>
      </w:rPr>
    </w:tblStylePr>
    <w:tblStylePr w:type="lastCol">
      <w:rPr>
        <w:b/>
        <w:bCs/>
      </w:rPr>
    </w:tblStylePr>
    <w:tblStylePr w:type="band1Vert">
      <w:tblPr/>
      <w:tcPr>
        <w:shd w:val="clear" w:color="auto" w:fill="ADDAFF" w:themeFill="accent4" w:themeFillTint="33"/>
      </w:tcPr>
    </w:tblStylePr>
    <w:tblStylePr w:type="band1Horz">
      <w:tblPr/>
      <w:tcPr>
        <w:shd w:val="clear" w:color="auto" w:fill="ADDAFF" w:themeFill="accent4" w:themeFillTint="33"/>
      </w:tcPr>
    </w:tblStylePr>
  </w:style>
  <w:style w:type="table" w:styleId="GridTable6Colorful-Accent3">
    <w:name w:val="Grid Table 6 Colorful Accent 3"/>
    <w:basedOn w:val="TableNormal"/>
    <w:uiPriority w:val="51"/>
    <w:rsid w:val="00CF5CF3"/>
    <w:rPr>
      <w:rFonts w:ascii="Arial" w:hAnsi="Arial"/>
      <w:color w:val="009A5D" w:themeColor="accent3" w:themeShade="BF"/>
    </w:rPr>
    <w:tblPr>
      <w:tblStyleRowBandSize w:val="1"/>
      <w:tblStyleColBandSize w:val="1"/>
      <w:tblBorders>
        <w:top w:val="single" w:sz="4" w:space="0" w:color="48FFB6" w:themeColor="accent3" w:themeTint="99"/>
        <w:left w:val="single" w:sz="4" w:space="0" w:color="48FFB6" w:themeColor="accent3" w:themeTint="99"/>
        <w:bottom w:val="single" w:sz="4" w:space="0" w:color="48FFB6" w:themeColor="accent3" w:themeTint="99"/>
        <w:right w:val="single" w:sz="4" w:space="0" w:color="48FFB6" w:themeColor="accent3" w:themeTint="99"/>
        <w:insideH w:val="single" w:sz="4" w:space="0" w:color="48FFB6" w:themeColor="accent3" w:themeTint="99"/>
        <w:insideV w:val="single" w:sz="4" w:space="0" w:color="48FFB6" w:themeColor="accent3" w:themeTint="99"/>
      </w:tblBorders>
    </w:tblPr>
    <w:tblStylePr w:type="firstRow">
      <w:rPr>
        <w:b/>
        <w:bCs/>
      </w:rPr>
      <w:tblPr/>
      <w:tcPr>
        <w:tcBorders>
          <w:bottom w:val="single" w:sz="12" w:space="0" w:color="48FFB6" w:themeColor="accent3" w:themeTint="99"/>
        </w:tcBorders>
      </w:tcPr>
    </w:tblStylePr>
    <w:tblStylePr w:type="lastRow">
      <w:rPr>
        <w:b/>
        <w:bCs/>
      </w:rPr>
      <w:tblPr/>
      <w:tcPr>
        <w:tcBorders>
          <w:top w:val="double" w:sz="4" w:space="0" w:color="48FFB6" w:themeColor="accent3" w:themeTint="99"/>
        </w:tcBorders>
      </w:tcPr>
    </w:tblStylePr>
    <w:tblStylePr w:type="firstCol">
      <w:rPr>
        <w:b/>
        <w:bCs/>
      </w:rPr>
    </w:tblStylePr>
    <w:tblStylePr w:type="lastCol">
      <w:rPr>
        <w:b/>
        <w:bCs/>
      </w:rPr>
    </w:tblStylePr>
    <w:tblStylePr w:type="band1Vert">
      <w:tblPr/>
      <w:tcPr>
        <w:shd w:val="clear" w:color="auto" w:fill="C2FFE6" w:themeFill="accent3" w:themeFillTint="33"/>
      </w:tcPr>
    </w:tblStylePr>
    <w:tblStylePr w:type="band1Horz">
      <w:tblPr/>
      <w:tcPr>
        <w:shd w:val="clear" w:color="auto" w:fill="C2FFE6" w:themeFill="accent3" w:themeFillTint="33"/>
      </w:tcPr>
    </w:tblStylePr>
  </w:style>
  <w:style w:type="table" w:styleId="GridTable6Colorful-Accent2">
    <w:name w:val="Grid Table 6 Colorful Accent 2"/>
    <w:basedOn w:val="TableNormal"/>
    <w:uiPriority w:val="51"/>
    <w:rsid w:val="00CF5CF3"/>
    <w:rPr>
      <w:rFonts w:ascii="Arial" w:hAnsi="Arial"/>
      <w:color w:val="444D53" w:themeColor="accent2" w:themeShade="BF"/>
    </w:rPr>
    <w:tblPr>
      <w:tblStyleRowBandSize w:val="1"/>
      <w:tblStyleColBandSize w:val="1"/>
      <w:tblBorders>
        <w:top w:val="single" w:sz="4" w:space="0" w:color="99A4AC" w:themeColor="accent2" w:themeTint="99"/>
        <w:left w:val="single" w:sz="4" w:space="0" w:color="99A4AC" w:themeColor="accent2" w:themeTint="99"/>
        <w:bottom w:val="single" w:sz="4" w:space="0" w:color="99A4AC" w:themeColor="accent2" w:themeTint="99"/>
        <w:right w:val="single" w:sz="4" w:space="0" w:color="99A4AC" w:themeColor="accent2" w:themeTint="99"/>
        <w:insideH w:val="single" w:sz="4" w:space="0" w:color="99A4AC" w:themeColor="accent2" w:themeTint="99"/>
        <w:insideV w:val="single" w:sz="4" w:space="0" w:color="99A4AC" w:themeColor="accent2" w:themeTint="99"/>
      </w:tblBorders>
    </w:tblPr>
    <w:tblStylePr w:type="firstRow">
      <w:rPr>
        <w:b/>
        <w:bCs/>
      </w:rPr>
      <w:tblPr/>
      <w:tcPr>
        <w:tcBorders>
          <w:bottom w:val="single" w:sz="12" w:space="0" w:color="99A4AC" w:themeColor="accent2" w:themeTint="99"/>
        </w:tcBorders>
      </w:tcPr>
    </w:tblStylePr>
    <w:tblStylePr w:type="lastRow">
      <w:rPr>
        <w:b/>
        <w:bCs/>
      </w:rPr>
      <w:tblPr/>
      <w:tcPr>
        <w:tcBorders>
          <w:top w:val="double" w:sz="4" w:space="0" w:color="99A4AC" w:themeColor="accent2" w:themeTint="99"/>
        </w:tcBorders>
      </w:tcPr>
    </w:tblStylePr>
    <w:tblStylePr w:type="firstCol">
      <w:rPr>
        <w:b/>
        <w:bCs/>
      </w:rPr>
    </w:tblStylePr>
    <w:tblStylePr w:type="lastCol">
      <w:rPr>
        <w:b/>
        <w:bCs/>
      </w:rPr>
    </w:tblStylePr>
    <w:tblStylePr w:type="band1Vert">
      <w:tblPr/>
      <w:tcPr>
        <w:shd w:val="clear" w:color="auto" w:fill="DCE0E3" w:themeFill="accent2" w:themeFillTint="33"/>
      </w:tcPr>
    </w:tblStylePr>
    <w:tblStylePr w:type="band1Horz">
      <w:tblPr/>
      <w:tcPr>
        <w:shd w:val="clear" w:color="auto" w:fill="DCE0E3" w:themeFill="accent2" w:themeFillTint="33"/>
      </w:tcPr>
    </w:tblStylePr>
  </w:style>
  <w:style w:type="table" w:styleId="GridTable6Colorful-Accent1">
    <w:name w:val="Grid Table 6 Colorful Accent 1"/>
    <w:basedOn w:val="TableNormal"/>
    <w:uiPriority w:val="51"/>
    <w:rsid w:val="00CF5CF3"/>
    <w:rPr>
      <w:rFonts w:ascii="Arial" w:hAnsi="Arial"/>
      <w:color w:val="008095" w:themeColor="accent1" w:themeShade="BF"/>
    </w:rPr>
    <w:tblPr>
      <w:tblStyleRowBandSize w:val="1"/>
      <w:tblStyleColBandSize w:val="1"/>
      <w:tblBorders>
        <w:top w:val="single" w:sz="4" w:space="0" w:color="45E4FF" w:themeColor="accent1" w:themeTint="99"/>
        <w:left w:val="single" w:sz="4" w:space="0" w:color="45E4FF" w:themeColor="accent1" w:themeTint="99"/>
        <w:bottom w:val="single" w:sz="4" w:space="0" w:color="45E4FF" w:themeColor="accent1" w:themeTint="99"/>
        <w:right w:val="single" w:sz="4" w:space="0" w:color="45E4FF" w:themeColor="accent1" w:themeTint="99"/>
        <w:insideH w:val="single" w:sz="4" w:space="0" w:color="45E4FF" w:themeColor="accent1" w:themeTint="99"/>
        <w:insideV w:val="single" w:sz="4" w:space="0" w:color="45E4FF" w:themeColor="accent1" w:themeTint="99"/>
      </w:tblBorders>
    </w:tblPr>
    <w:tblStylePr w:type="firstRow">
      <w:rPr>
        <w:b/>
        <w:bCs/>
      </w:rPr>
      <w:tblPr/>
      <w:tcPr>
        <w:tcBorders>
          <w:bottom w:val="single" w:sz="12" w:space="0" w:color="45E4FF" w:themeColor="accent1" w:themeTint="99"/>
        </w:tcBorders>
      </w:tcPr>
    </w:tblStylePr>
    <w:tblStylePr w:type="lastRow">
      <w:rPr>
        <w:b/>
        <w:bCs/>
      </w:rPr>
      <w:tblPr/>
      <w:tcPr>
        <w:tcBorders>
          <w:top w:val="double" w:sz="4" w:space="0" w:color="45E4FF" w:themeColor="accent1" w:themeTint="99"/>
        </w:tcBorders>
      </w:tcPr>
    </w:tblStylePr>
    <w:tblStylePr w:type="firstCol">
      <w:rPr>
        <w:b/>
        <w:bCs/>
      </w:rPr>
    </w:tblStylePr>
    <w:tblStylePr w:type="lastCol">
      <w:rPr>
        <w:b/>
        <w:bCs/>
      </w:rPr>
    </w:tblStylePr>
    <w:tblStylePr w:type="band1Vert">
      <w:tblPr/>
      <w:tcPr>
        <w:shd w:val="clear" w:color="auto" w:fill="C1F6FF" w:themeFill="accent1" w:themeFillTint="33"/>
      </w:tcPr>
    </w:tblStylePr>
    <w:tblStylePr w:type="band1Horz">
      <w:tblPr/>
      <w:tcPr>
        <w:shd w:val="clear" w:color="auto" w:fill="C1F6FF" w:themeFill="accent1" w:themeFillTint="33"/>
      </w:tcPr>
    </w:tblStylePr>
  </w:style>
  <w:style w:type="table" w:styleId="GridTable6Colorful">
    <w:name w:val="Grid Table 6 Colorful"/>
    <w:basedOn w:val="TableNormal"/>
    <w:uiPriority w:val="51"/>
    <w:rsid w:val="00CF5CF3"/>
    <w:rPr>
      <w:rFonts w:ascii="Arial" w:hAnsi="Arial"/>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Accent6">
    <w:name w:val="List Table 5 Dark Accent 6"/>
    <w:basedOn w:val="TableNormal"/>
    <w:uiPriority w:val="50"/>
    <w:rsid w:val="00CF5CF3"/>
    <w:rPr>
      <w:rFonts w:ascii="Arial" w:hAnsi="Arial"/>
      <w:color w:val="FFFFFF" w:themeColor="background1"/>
    </w:rPr>
    <w:tblPr>
      <w:tblStyleRowBandSize w:val="1"/>
      <w:tblStyleColBandSize w:val="1"/>
      <w:tblBorders>
        <w:top w:val="single" w:sz="24" w:space="0" w:color="910258" w:themeColor="accent6"/>
        <w:left w:val="single" w:sz="24" w:space="0" w:color="910258" w:themeColor="accent6"/>
        <w:bottom w:val="single" w:sz="24" w:space="0" w:color="910258" w:themeColor="accent6"/>
        <w:right w:val="single" w:sz="24" w:space="0" w:color="910258" w:themeColor="accent6"/>
      </w:tblBorders>
    </w:tblPr>
    <w:tcPr>
      <w:shd w:val="clear" w:color="auto" w:fill="91025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F5CF3"/>
    <w:rPr>
      <w:rFonts w:ascii="Arial" w:hAnsi="Arial"/>
      <w:color w:val="FFFFFF" w:themeColor="background1"/>
    </w:rPr>
    <w:tblPr>
      <w:tblStyleRowBandSize w:val="1"/>
      <w:tblStyleColBandSize w:val="1"/>
      <w:tblBorders>
        <w:top w:val="single" w:sz="24" w:space="0" w:color="6650B1" w:themeColor="accent5"/>
        <w:left w:val="single" w:sz="24" w:space="0" w:color="6650B1" w:themeColor="accent5"/>
        <w:bottom w:val="single" w:sz="24" w:space="0" w:color="6650B1" w:themeColor="accent5"/>
        <w:right w:val="single" w:sz="24" w:space="0" w:color="6650B1" w:themeColor="accent5"/>
      </w:tblBorders>
    </w:tblPr>
    <w:tcPr>
      <w:shd w:val="clear" w:color="auto" w:fill="6650B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F5CF3"/>
    <w:rPr>
      <w:rFonts w:ascii="Arial" w:hAnsi="Arial"/>
      <w:color w:val="FFFFFF" w:themeColor="background1"/>
    </w:rPr>
    <w:tblPr>
      <w:tblStyleRowBandSize w:val="1"/>
      <w:tblStyleColBandSize w:val="1"/>
      <w:tblBorders>
        <w:top w:val="single" w:sz="24" w:space="0" w:color="003764" w:themeColor="accent4"/>
        <w:left w:val="single" w:sz="24" w:space="0" w:color="003764" w:themeColor="accent4"/>
        <w:bottom w:val="single" w:sz="24" w:space="0" w:color="003764" w:themeColor="accent4"/>
        <w:right w:val="single" w:sz="24" w:space="0" w:color="003764" w:themeColor="accent4"/>
      </w:tblBorders>
    </w:tblPr>
    <w:tcPr>
      <w:shd w:val="clear" w:color="auto" w:fill="003764"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F5CF3"/>
    <w:rPr>
      <w:rFonts w:ascii="Arial" w:hAnsi="Arial"/>
      <w:color w:val="FFFFFF" w:themeColor="background1"/>
    </w:rPr>
    <w:tblPr>
      <w:tblStyleRowBandSize w:val="1"/>
      <w:tblStyleColBandSize w:val="1"/>
      <w:tblBorders>
        <w:top w:val="single" w:sz="24" w:space="0" w:color="00CE7D" w:themeColor="accent3"/>
        <w:left w:val="single" w:sz="24" w:space="0" w:color="00CE7D" w:themeColor="accent3"/>
        <w:bottom w:val="single" w:sz="24" w:space="0" w:color="00CE7D" w:themeColor="accent3"/>
        <w:right w:val="single" w:sz="24" w:space="0" w:color="00CE7D" w:themeColor="accent3"/>
      </w:tblBorders>
    </w:tblPr>
    <w:tcPr>
      <w:shd w:val="clear" w:color="auto" w:fill="00CE7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F5CF3"/>
    <w:rPr>
      <w:rFonts w:ascii="Arial" w:hAnsi="Arial"/>
      <w:color w:val="FFFFFF" w:themeColor="background1"/>
    </w:rPr>
    <w:tblPr>
      <w:tblStyleRowBandSize w:val="1"/>
      <w:tblStyleColBandSize w:val="1"/>
      <w:tblBorders>
        <w:top w:val="single" w:sz="24" w:space="0" w:color="5B6770" w:themeColor="accent2"/>
        <w:left w:val="single" w:sz="24" w:space="0" w:color="5B6770" w:themeColor="accent2"/>
        <w:bottom w:val="single" w:sz="24" w:space="0" w:color="5B6770" w:themeColor="accent2"/>
        <w:right w:val="single" w:sz="24" w:space="0" w:color="5B6770" w:themeColor="accent2"/>
      </w:tblBorders>
    </w:tblPr>
    <w:tcPr>
      <w:shd w:val="clear" w:color="auto" w:fill="5B677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F5CF3"/>
    <w:rPr>
      <w:rFonts w:ascii="Arial" w:hAnsi="Arial"/>
      <w:color w:val="FFFFFF" w:themeColor="background1"/>
    </w:rPr>
    <w:tblPr>
      <w:tblStyleRowBandSize w:val="1"/>
      <w:tblStyleColBandSize w:val="1"/>
      <w:tblBorders>
        <w:top w:val="single" w:sz="24" w:space="0" w:color="00ACC8" w:themeColor="accent1"/>
        <w:left w:val="single" w:sz="24" w:space="0" w:color="00ACC8" w:themeColor="accent1"/>
        <w:bottom w:val="single" w:sz="24" w:space="0" w:color="00ACC8" w:themeColor="accent1"/>
        <w:right w:val="single" w:sz="24" w:space="0" w:color="00ACC8" w:themeColor="accent1"/>
      </w:tblBorders>
    </w:tblPr>
    <w:tcPr>
      <w:shd w:val="clear" w:color="auto" w:fill="00ACC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
    <w:name w:val="List Table 5 Dark"/>
    <w:basedOn w:val="TableNormal"/>
    <w:uiPriority w:val="50"/>
    <w:rsid w:val="00CF5CF3"/>
    <w:rPr>
      <w:rFonts w:ascii="Arial" w:hAnsi="Arial"/>
      <w:color w:val="FFFFFF" w:themeColor="background1"/>
    </w:rPr>
    <w:tblPr>
      <w:tblStyleRowBandSize w:val="1"/>
      <w:tblStyleColBandSize w:val="1"/>
    </w:tblPr>
    <w:tcPr>
      <w:shd w:val="clear" w:color="auto" w:fill="5B6770" w:themeFill="tex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6">
    <w:name w:val="Grid Table 5 Dark Accent 6"/>
    <w:basedOn w:val="TableNormal"/>
    <w:uiPriority w:val="50"/>
    <w:rsid w:val="00CF5CF3"/>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B7E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1025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1025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1025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10258" w:themeFill="accent6"/>
      </w:tcPr>
    </w:tblStylePr>
    <w:tblStylePr w:type="band1Vert">
      <w:tblPr/>
      <w:tcPr>
        <w:shd w:val="clear" w:color="auto" w:fill="FD6FC4" w:themeFill="accent6" w:themeFillTint="66"/>
      </w:tcPr>
    </w:tblStylePr>
    <w:tblStylePr w:type="band1Horz">
      <w:tblPr/>
      <w:tcPr>
        <w:shd w:val="clear" w:color="auto" w:fill="FD6FC4" w:themeFill="accent6" w:themeFillTint="66"/>
      </w:tcPr>
    </w:tblStylePr>
  </w:style>
  <w:style w:type="table" w:styleId="GridTable5Dark-Accent5">
    <w:name w:val="Grid Table 5 Dark Accent 5"/>
    <w:basedOn w:val="TableNormal"/>
    <w:uiPriority w:val="50"/>
    <w:rsid w:val="00CF5CF3"/>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B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50B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50B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50B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50B1" w:themeFill="accent5"/>
      </w:tcPr>
    </w:tblStylePr>
    <w:tblStylePr w:type="band1Vert">
      <w:tblPr/>
      <w:tcPr>
        <w:shd w:val="clear" w:color="auto" w:fill="C1B8DF" w:themeFill="accent5" w:themeFillTint="66"/>
      </w:tcPr>
    </w:tblStylePr>
    <w:tblStylePr w:type="band1Horz">
      <w:tblPr/>
      <w:tcPr>
        <w:shd w:val="clear" w:color="auto" w:fill="C1B8DF" w:themeFill="accent5" w:themeFillTint="66"/>
      </w:tcPr>
    </w:tblStylePr>
  </w:style>
  <w:style w:type="table" w:styleId="GridTable5Dark-Accent4">
    <w:name w:val="Grid Table 5 Dark Accent 4"/>
    <w:basedOn w:val="TableNormal"/>
    <w:uiPriority w:val="50"/>
    <w:rsid w:val="00CF5CF3"/>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DDA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3764"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3764"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3764"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3764" w:themeFill="accent4"/>
      </w:tcPr>
    </w:tblStylePr>
    <w:tblStylePr w:type="band1Vert">
      <w:tblPr/>
      <w:tcPr>
        <w:shd w:val="clear" w:color="auto" w:fill="5BB5FF" w:themeFill="accent4" w:themeFillTint="66"/>
      </w:tcPr>
    </w:tblStylePr>
    <w:tblStylePr w:type="band1Horz">
      <w:tblPr/>
      <w:tcPr>
        <w:shd w:val="clear" w:color="auto" w:fill="5BB5FF" w:themeFill="accent4" w:themeFillTint="66"/>
      </w:tcPr>
    </w:tblStylePr>
  </w:style>
  <w:style w:type="table" w:styleId="GridTable5Dark-Accent3">
    <w:name w:val="Grid Table 5 Dark Accent 3"/>
    <w:basedOn w:val="TableNormal"/>
    <w:uiPriority w:val="50"/>
    <w:rsid w:val="00CF5CF3"/>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FF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CE7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CE7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CE7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CE7D" w:themeFill="accent3"/>
      </w:tcPr>
    </w:tblStylePr>
    <w:tblStylePr w:type="band1Vert">
      <w:tblPr/>
      <w:tcPr>
        <w:shd w:val="clear" w:color="auto" w:fill="85FFCE" w:themeFill="accent3" w:themeFillTint="66"/>
      </w:tcPr>
    </w:tblStylePr>
    <w:tblStylePr w:type="band1Horz">
      <w:tblPr/>
      <w:tcPr>
        <w:shd w:val="clear" w:color="auto" w:fill="85FFCE" w:themeFill="accent3" w:themeFillTint="66"/>
      </w:tcPr>
    </w:tblStylePr>
  </w:style>
  <w:style w:type="table" w:styleId="GridTable5Dark-Accent2">
    <w:name w:val="Grid Table 5 Dark Accent 2"/>
    <w:basedOn w:val="TableNormal"/>
    <w:uiPriority w:val="50"/>
    <w:rsid w:val="00CF5CF3"/>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E0E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677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677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677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6770" w:themeFill="accent2"/>
      </w:tcPr>
    </w:tblStylePr>
    <w:tblStylePr w:type="band1Vert">
      <w:tblPr/>
      <w:tcPr>
        <w:shd w:val="clear" w:color="auto" w:fill="BBC2C8" w:themeFill="accent2" w:themeFillTint="66"/>
      </w:tcPr>
    </w:tblStylePr>
    <w:tblStylePr w:type="band1Horz">
      <w:tblPr/>
      <w:tcPr>
        <w:shd w:val="clear" w:color="auto" w:fill="BBC2C8" w:themeFill="accent2" w:themeFillTint="66"/>
      </w:tcPr>
    </w:tblStylePr>
  </w:style>
  <w:style w:type="table" w:styleId="GridTable5Dark-Accent1">
    <w:name w:val="Grid Table 5 Dark Accent 1"/>
    <w:basedOn w:val="TableNormal"/>
    <w:uiPriority w:val="50"/>
    <w:rsid w:val="00CF5CF3"/>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CC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CC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CC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CC8" w:themeFill="accent1"/>
      </w:tcPr>
    </w:tblStylePr>
    <w:tblStylePr w:type="band1Vert">
      <w:tblPr/>
      <w:tcPr>
        <w:shd w:val="clear" w:color="auto" w:fill="83EDFF" w:themeFill="accent1" w:themeFillTint="66"/>
      </w:tcPr>
    </w:tblStylePr>
    <w:tblStylePr w:type="band1Horz">
      <w:tblPr/>
      <w:tcPr>
        <w:shd w:val="clear" w:color="auto" w:fill="83EDFF" w:themeFill="accent1" w:themeFillTint="66"/>
      </w:tcPr>
    </w:tblStylePr>
  </w:style>
  <w:style w:type="table" w:styleId="GridTable5Dark">
    <w:name w:val="Grid Table 5 Dark"/>
    <w:basedOn w:val="TableNormal"/>
    <w:uiPriority w:val="50"/>
    <w:rsid w:val="00CF5CF3"/>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4-Accent6">
    <w:name w:val="List Table 4 Accent 6"/>
    <w:basedOn w:val="TableNormal"/>
    <w:uiPriority w:val="49"/>
    <w:rsid w:val="00CF5CF3"/>
    <w:rPr>
      <w:rFonts w:ascii="Arial" w:hAnsi="Arial"/>
    </w:rPr>
    <w:tblPr>
      <w:tblStyleRowBandSize w:val="1"/>
      <w:tblStyleColBandSize w:val="1"/>
      <w:tblBorders>
        <w:top w:val="single" w:sz="4" w:space="0" w:color="FC27A7" w:themeColor="accent6" w:themeTint="99"/>
        <w:left w:val="single" w:sz="4" w:space="0" w:color="FC27A7" w:themeColor="accent6" w:themeTint="99"/>
        <w:bottom w:val="single" w:sz="4" w:space="0" w:color="FC27A7" w:themeColor="accent6" w:themeTint="99"/>
        <w:right w:val="single" w:sz="4" w:space="0" w:color="FC27A7" w:themeColor="accent6" w:themeTint="99"/>
        <w:insideH w:val="single" w:sz="4" w:space="0" w:color="FC27A7" w:themeColor="accent6" w:themeTint="99"/>
      </w:tblBorders>
    </w:tblPr>
    <w:tblStylePr w:type="firstRow">
      <w:rPr>
        <w:b/>
        <w:bCs/>
        <w:color w:val="FFFFFF" w:themeColor="background1"/>
      </w:rPr>
      <w:tblPr/>
      <w:tcPr>
        <w:tcBorders>
          <w:top w:val="single" w:sz="4" w:space="0" w:color="910258" w:themeColor="accent6"/>
          <w:left w:val="single" w:sz="4" w:space="0" w:color="910258" w:themeColor="accent6"/>
          <w:bottom w:val="single" w:sz="4" w:space="0" w:color="910258" w:themeColor="accent6"/>
          <w:right w:val="single" w:sz="4" w:space="0" w:color="910258" w:themeColor="accent6"/>
          <w:insideH w:val="nil"/>
        </w:tcBorders>
        <w:shd w:val="clear" w:color="auto" w:fill="910258" w:themeFill="accent6"/>
      </w:tcPr>
    </w:tblStylePr>
    <w:tblStylePr w:type="lastRow">
      <w:rPr>
        <w:b/>
        <w:bCs/>
      </w:rPr>
      <w:tblPr/>
      <w:tcPr>
        <w:tcBorders>
          <w:top w:val="double" w:sz="4" w:space="0" w:color="FC27A7" w:themeColor="accent6" w:themeTint="99"/>
        </w:tcBorders>
      </w:tcPr>
    </w:tblStylePr>
    <w:tblStylePr w:type="firstCol">
      <w:rPr>
        <w:b/>
        <w:bCs/>
      </w:rPr>
    </w:tblStylePr>
    <w:tblStylePr w:type="lastCol">
      <w:rPr>
        <w:b/>
        <w:bCs/>
      </w:rPr>
    </w:tblStylePr>
    <w:tblStylePr w:type="band1Vert">
      <w:tblPr/>
      <w:tcPr>
        <w:shd w:val="clear" w:color="auto" w:fill="FEB7E1" w:themeFill="accent6" w:themeFillTint="33"/>
      </w:tcPr>
    </w:tblStylePr>
    <w:tblStylePr w:type="band1Horz">
      <w:tblPr/>
      <w:tcPr>
        <w:shd w:val="clear" w:color="auto" w:fill="FEB7E1" w:themeFill="accent6" w:themeFillTint="33"/>
      </w:tcPr>
    </w:tblStylePr>
  </w:style>
  <w:style w:type="table" w:styleId="ListTable4-Accent5">
    <w:name w:val="List Table 4 Accent 5"/>
    <w:basedOn w:val="TableNormal"/>
    <w:uiPriority w:val="49"/>
    <w:rsid w:val="00CF5CF3"/>
    <w:rPr>
      <w:rFonts w:ascii="Arial" w:hAnsi="Arial"/>
    </w:rPr>
    <w:tblPr>
      <w:tblStyleRowBandSize w:val="1"/>
      <w:tblStyleColBandSize w:val="1"/>
      <w:tblBorders>
        <w:top w:val="single" w:sz="4" w:space="0" w:color="A295D0" w:themeColor="accent5" w:themeTint="99"/>
        <w:left w:val="single" w:sz="4" w:space="0" w:color="A295D0" w:themeColor="accent5" w:themeTint="99"/>
        <w:bottom w:val="single" w:sz="4" w:space="0" w:color="A295D0" w:themeColor="accent5" w:themeTint="99"/>
        <w:right w:val="single" w:sz="4" w:space="0" w:color="A295D0" w:themeColor="accent5" w:themeTint="99"/>
        <w:insideH w:val="single" w:sz="4" w:space="0" w:color="A295D0" w:themeColor="accent5" w:themeTint="99"/>
      </w:tblBorders>
    </w:tblPr>
    <w:tblStylePr w:type="firstRow">
      <w:rPr>
        <w:b/>
        <w:bCs/>
        <w:color w:val="FFFFFF" w:themeColor="background1"/>
      </w:rPr>
      <w:tblPr/>
      <w:tcPr>
        <w:tcBorders>
          <w:top w:val="single" w:sz="4" w:space="0" w:color="6650B1" w:themeColor="accent5"/>
          <w:left w:val="single" w:sz="4" w:space="0" w:color="6650B1" w:themeColor="accent5"/>
          <w:bottom w:val="single" w:sz="4" w:space="0" w:color="6650B1" w:themeColor="accent5"/>
          <w:right w:val="single" w:sz="4" w:space="0" w:color="6650B1" w:themeColor="accent5"/>
          <w:insideH w:val="nil"/>
        </w:tcBorders>
        <w:shd w:val="clear" w:color="auto" w:fill="6650B1" w:themeFill="accent5"/>
      </w:tcPr>
    </w:tblStylePr>
    <w:tblStylePr w:type="lastRow">
      <w:rPr>
        <w:b/>
        <w:bCs/>
      </w:rPr>
      <w:tblPr/>
      <w:tcPr>
        <w:tcBorders>
          <w:top w:val="double" w:sz="4" w:space="0" w:color="A295D0" w:themeColor="accent5" w:themeTint="99"/>
        </w:tcBorders>
      </w:tcPr>
    </w:tblStylePr>
    <w:tblStylePr w:type="firstCol">
      <w:rPr>
        <w:b/>
        <w:bCs/>
      </w:rPr>
    </w:tblStylePr>
    <w:tblStylePr w:type="lastCol">
      <w:rPr>
        <w:b/>
        <w:bCs/>
      </w:rPr>
    </w:tblStylePr>
    <w:tblStylePr w:type="band1Vert">
      <w:tblPr/>
      <w:tcPr>
        <w:shd w:val="clear" w:color="auto" w:fill="E0DBEF" w:themeFill="accent5" w:themeFillTint="33"/>
      </w:tcPr>
    </w:tblStylePr>
    <w:tblStylePr w:type="band1Horz">
      <w:tblPr/>
      <w:tcPr>
        <w:shd w:val="clear" w:color="auto" w:fill="E0DBEF" w:themeFill="accent5" w:themeFillTint="33"/>
      </w:tcPr>
    </w:tblStylePr>
  </w:style>
  <w:style w:type="table" w:styleId="ListTable4-Accent4">
    <w:name w:val="List Table 4 Accent 4"/>
    <w:basedOn w:val="TableNormal"/>
    <w:uiPriority w:val="49"/>
    <w:rsid w:val="00CF5CF3"/>
    <w:rPr>
      <w:rFonts w:ascii="Arial" w:hAnsi="Arial"/>
    </w:rPr>
    <w:tblPr>
      <w:tblStyleRowBandSize w:val="1"/>
      <w:tblStyleColBandSize w:val="1"/>
      <w:tblBorders>
        <w:top w:val="single" w:sz="4" w:space="0" w:color="0990FF" w:themeColor="accent4" w:themeTint="99"/>
        <w:left w:val="single" w:sz="4" w:space="0" w:color="0990FF" w:themeColor="accent4" w:themeTint="99"/>
        <w:bottom w:val="single" w:sz="4" w:space="0" w:color="0990FF" w:themeColor="accent4" w:themeTint="99"/>
        <w:right w:val="single" w:sz="4" w:space="0" w:color="0990FF" w:themeColor="accent4" w:themeTint="99"/>
        <w:insideH w:val="single" w:sz="4" w:space="0" w:color="0990FF" w:themeColor="accent4" w:themeTint="99"/>
      </w:tblBorders>
    </w:tblPr>
    <w:tblStylePr w:type="firstRow">
      <w:rPr>
        <w:b/>
        <w:bCs/>
        <w:color w:val="FFFFFF" w:themeColor="background1"/>
      </w:rPr>
      <w:tblPr/>
      <w:tcPr>
        <w:tcBorders>
          <w:top w:val="single" w:sz="4" w:space="0" w:color="003764" w:themeColor="accent4"/>
          <w:left w:val="single" w:sz="4" w:space="0" w:color="003764" w:themeColor="accent4"/>
          <w:bottom w:val="single" w:sz="4" w:space="0" w:color="003764" w:themeColor="accent4"/>
          <w:right w:val="single" w:sz="4" w:space="0" w:color="003764" w:themeColor="accent4"/>
          <w:insideH w:val="nil"/>
        </w:tcBorders>
        <w:shd w:val="clear" w:color="auto" w:fill="003764" w:themeFill="accent4"/>
      </w:tcPr>
    </w:tblStylePr>
    <w:tblStylePr w:type="lastRow">
      <w:rPr>
        <w:b/>
        <w:bCs/>
      </w:rPr>
      <w:tblPr/>
      <w:tcPr>
        <w:tcBorders>
          <w:top w:val="double" w:sz="4" w:space="0" w:color="0990FF" w:themeColor="accent4" w:themeTint="99"/>
        </w:tcBorders>
      </w:tcPr>
    </w:tblStylePr>
    <w:tblStylePr w:type="firstCol">
      <w:rPr>
        <w:b/>
        <w:bCs/>
      </w:rPr>
    </w:tblStylePr>
    <w:tblStylePr w:type="lastCol">
      <w:rPr>
        <w:b/>
        <w:bCs/>
      </w:rPr>
    </w:tblStylePr>
    <w:tblStylePr w:type="band1Vert">
      <w:tblPr/>
      <w:tcPr>
        <w:shd w:val="clear" w:color="auto" w:fill="ADDAFF" w:themeFill="accent4" w:themeFillTint="33"/>
      </w:tcPr>
    </w:tblStylePr>
    <w:tblStylePr w:type="band1Horz">
      <w:tblPr/>
      <w:tcPr>
        <w:shd w:val="clear" w:color="auto" w:fill="ADDAFF" w:themeFill="accent4" w:themeFillTint="33"/>
      </w:tcPr>
    </w:tblStylePr>
  </w:style>
  <w:style w:type="table" w:styleId="ListTable4-Accent3">
    <w:name w:val="List Table 4 Accent 3"/>
    <w:basedOn w:val="TableNormal"/>
    <w:uiPriority w:val="49"/>
    <w:rsid w:val="00CF5CF3"/>
    <w:rPr>
      <w:rFonts w:ascii="Arial" w:hAnsi="Arial"/>
    </w:rPr>
    <w:tblPr>
      <w:tblStyleRowBandSize w:val="1"/>
      <w:tblStyleColBandSize w:val="1"/>
      <w:tblBorders>
        <w:top w:val="single" w:sz="4" w:space="0" w:color="48FFB6" w:themeColor="accent3" w:themeTint="99"/>
        <w:left w:val="single" w:sz="4" w:space="0" w:color="48FFB6" w:themeColor="accent3" w:themeTint="99"/>
        <w:bottom w:val="single" w:sz="4" w:space="0" w:color="48FFB6" w:themeColor="accent3" w:themeTint="99"/>
        <w:right w:val="single" w:sz="4" w:space="0" w:color="48FFB6" w:themeColor="accent3" w:themeTint="99"/>
        <w:insideH w:val="single" w:sz="4" w:space="0" w:color="48FFB6" w:themeColor="accent3" w:themeTint="99"/>
      </w:tblBorders>
    </w:tblPr>
    <w:tblStylePr w:type="firstRow">
      <w:rPr>
        <w:b/>
        <w:bCs/>
        <w:color w:val="FFFFFF" w:themeColor="background1"/>
      </w:rPr>
      <w:tblPr/>
      <w:tcPr>
        <w:tcBorders>
          <w:top w:val="single" w:sz="4" w:space="0" w:color="00CE7D" w:themeColor="accent3"/>
          <w:left w:val="single" w:sz="4" w:space="0" w:color="00CE7D" w:themeColor="accent3"/>
          <w:bottom w:val="single" w:sz="4" w:space="0" w:color="00CE7D" w:themeColor="accent3"/>
          <w:right w:val="single" w:sz="4" w:space="0" w:color="00CE7D" w:themeColor="accent3"/>
          <w:insideH w:val="nil"/>
        </w:tcBorders>
        <w:shd w:val="clear" w:color="auto" w:fill="00CE7D" w:themeFill="accent3"/>
      </w:tcPr>
    </w:tblStylePr>
    <w:tblStylePr w:type="lastRow">
      <w:rPr>
        <w:b/>
        <w:bCs/>
      </w:rPr>
      <w:tblPr/>
      <w:tcPr>
        <w:tcBorders>
          <w:top w:val="double" w:sz="4" w:space="0" w:color="48FFB6" w:themeColor="accent3" w:themeTint="99"/>
        </w:tcBorders>
      </w:tcPr>
    </w:tblStylePr>
    <w:tblStylePr w:type="firstCol">
      <w:rPr>
        <w:b/>
        <w:bCs/>
      </w:rPr>
    </w:tblStylePr>
    <w:tblStylePr w:type="lastCol">
      <w:rPr>
        <w:b/>
        <w:bCs/>
      </w:rPr>
    </w:tblStylePr>
    <w:tblStylePr w:type="band1Vert">
      <w:tblPr/>
      <w:tcPr>
        <w:shd w:val="clear" w:color="auto" w:fill="C2FFE6" w:themeFill="accent3" w:themeFillTint="33"/>
      </w:tcPr>
    </w:tblStylePr>
    <w:tblStylePr w:type="band1Horz">
      <w:tblPr/>
      <w:tcPr>
        <w:shd w:val="clear" w:color="auto" w:fill="C2FFE6" w:themeFill="accent3" w:themeFillTint="33"/>
      </w:tcPr>
    </w:tblStylePr>
  </w:style>
  <w:style w:type="table" w:styleId="ListTable4-Accent2">
    <w:name w:val="List Table 4 Accent 2"/>
    <w:basedOn w:val="TableNormal"/>
    <w:uiPriority w:val="49"/>
    <w:rsid w:val="00CF5CF3"/>
    <w:rPr>
      <w:rFonts w:ascii="Arial" w:hAnsi="Arial"/>
    </w:rPr>
    <w:tblPr>
      <w:tblStyleRowBandSize w:val="1"/>
      <w:tblStyleColBandSize w:val="1"/>
      <w:tblBorders>
        <w:top w:val="single" w:sz="4" w:space="0" w:color="99A4AC" w:themeColor="accent2" w:themeTint="99"/>
        <w:left w:val="single" w:sz="4" w:space="0" w:color="99A4AC" w:themeColor="accent2" w:themeTint="99"/>
        <w:bottom w:val="single" w:sz="4" w:space="0" w:color="99A4AC" w:themeColor="accent2" w:themeTint="99"/>
        <w:right w:val="single" w:sz="4" w:space="0" w:color="99A4AC" w:themeColor="accent2" w:themeTint="99"/>
        <w:insideH w:val="single" w:sz="4" w:space="0" w:color="99A4AC" w:themeColor="accent2" w:themeTint="99"/>
      </w:tblBorders>
    </w:tblPr>
    <w:tblStylePr w:type="firstRow">
      <w:rPr>
        <w:b/>
        <w:bCs/>
        <w:color w:val="FFFFFF" w:themeColor="background1"/>
      </w:rPr>
      <w:tblPr/>
      <w:tcPr>
        <w:tcBorders>
          <w:top w:val="single" w:sz="4" w:space="0" w:color="5B6770" w:themeColor="accent2"/>
          <w:left w:val="single" w:sz="4" w:space="0" w:color="5B6770" w:themeColor="accent2"/>
          <w:bottom w:val="single" w:sz="4" w:space="0" w:color="5B6770" w:themeColor="accent2"/>
          <w:right w:val="single" w:sz="4" w:space="0" w:color="5B6770" w:themeColor="accent2"/>
          <w:insideH w:val="nil"/>
        </w:tcBorders>
        <w:shd w:val="clear" w:color="auto" w:fill="5B6770" w:themeFill="accent2"/>
      </w:tcPr>
    </w:tblStylePr>
    <w:tblStylePr w:type="lastRow">
      <w:rPr>
        <w:b/>
        <w:bCs/>
      </w:rPr>
      <w:tblPr/>
      <w:tcPr>
        <w:tcBorders>
          <w:top w:val="double" w:sz="4" w:space="0" w:color="99A4AC" w:themeColor="accent2" w:themeTint="99"/>
        </w:tcBorders>
      </w:tcPr>
    </w:tblStylePr>
    <w:tblStylePr w:type="firstCol">
      <w:rPr>
        <w:b/>
        <w:bCs/>
      </w:rPr>
    </w:tblStylePr>
    <w:tblStylePr w:type="lastCol">
      <w:rPr>
        <w:b/>
        <w:bCs/>
      </w:rPr>
    </w:tblStylePr>
    <w:tblStylePr w:type="band1Vert">
      <w:tblPr/>
      <w:tcPr>
        <w:shd w:val="clear" w:color="auto" w:fill="DCE0E3" w:themeFill="accent2" w:themeFillTint="33"/>
      </w:tcPr>
    </w:tblStylePr>
    <w:tblStylePr w:type="band1Horz">
      <w:tblPr/>
      <w:tcPr>
        <w:shd w:val="clear" w:color="auto" w:fill="DCE0E3" w:themeFill="accent2" w:themeFillTint="33"/>
      </w:tcPr>
    </w:tblStylePr>
  </w:style>
  <w:style w:type="table" w:styleId="ListTable4-Accent1">
    <w:name w:val="List Table 4 Accent 1"/>
    <w:basedOn w:val="TableNormal"/>
    <w:uiPriority w:val="49"/>
    <w:rsid w:val="00CF5CF3"/>
    <w:rPr>
      <w:rFonts w:ascii="Arial" w:hAnsi="Arial"/>
    </w:rPr>
    <w:tblPr>
      <w:tblStyleRowBandSize w:val="1"/>
      <w:tblStyleColBandSize w:val="1"/>
      <w:tblBorders>
        <w:top w:val="single" w:sz="4" w:space="0" w:color="45E4FF" w:themeColor="accent1" w:themeTint="99"/>
        <w:left w:val="single" w:sz="4" w:space="0" w:color="45E4FF" w:themeColor="accent1" w:themeTint="99"/>
        <w:bottom w:val="single" w:sz="4" w:space="0" w:color="45E4FF" w:themeColor="accent1" w:themeTint="99"/>
        <w:right w:val="single" w:sz="4" w:space="0" w:color="45E4FF" w:themeColor="accent1" w:themeTint="99"/>
        <w:insideH w:val="single" w:sz="4" w:space="0" w:color="45E4FF" w:themeColor="accent1" w:themeTint="99"/>
      </w:tblBorders>
    </w:tblPr>
    <w:tblStylePr w:type="firstRow">
      <w:rPr>
        <w:b/>
        <w:bCs/>
        <w:color w:val="FFFFFF" w:themeColor="background1"/>
      </w:rPr>
      <w:tblPr/>
      <w:tcPr>
        <w:tcBorders>
          <w:top w:val="single" w:sz="4" w:space="0" w:color="00ACC8" w:themeColor="accent1"/>
          <w:left w:val="single" w:sz="4" w:space="0" w:color="00ACC8" w:themeColor="accent1"/>
          <w:bottom w:val="single" w:sz="4" w:space="0" w:color="00ACC8" w:themeColor="accent1"/>
          <w:right w:val="single" w:sz="4" w:space="0" w:color="00ACC8" w:themeColor="accent1"/>
          <w:insideH w:val="nil"/>
        </w:tcBorders>
        <w:shd w:val="clear" w:color="auto" w:fill="00ACC8" w:themeFill="accent1"/>
      </w:tcPr>
    </w:tblStylePr>
    <w:tblStylePr w:type="lastRow">
      <w:rPr>
        <w:b/>
        <w:bCs/>
      </w:rPr>
      <w:tblPr/>
      <w:tcPr>
        <w:tcBorders>
          <w:top w:val="double" w:sz="4" w:space="0" w:color="45E4FF" w:themeColor="accent1" w:themeTint="99"/>
        </w:tcBorders>
      </w:tcPr>
    </w:tblStylePr>
    <w:tblStylePr w:type="firstCol">
      <w:rPr>
        <w:b/>
        <w:bCs/>
      </w:rPr>
    </w:tblStylePr>
    <w:tblStylePr w:type="lastCol">
      <w:rPr>
        <w:b/>
        <w:bCs/>
      </w:rPr>
    </w:tblStylePr>
    <w:tblStylePr w:type="band1Vert">
      <w:tblPr/>
      <w:tcPr>
        <w:shd w:val="clear" w:color="auto" w:fill="C1F6FF" w:themeFill="accent1" w:themeFillTint="33"/>
      </w:tcPr>
    </w:tblStylePr>
    <w:tblStylePr w:type="band1Horz">
      <w:tblPr/>
      <w:tcPr>
        <w:shd w:val="clear" w:color="auto" w:fill="C1F6FF" w:themeFill="accent1" w:themeFillTint="33"/>
      </w:tcPr>
    </w:tblStylePr>
  </w:style>
  <w:style w:type="table" w:styleId="ListTable4">
    <w:name w:val="List Table 4"/>
    <w:basedOn w:val="TableNormal"/>
    <w:uiPriority w:val="49"/>
    <w:rsid w:val="00CF5CF3"/>
    <w:rPr>
      <w:rFonts w:ascii="Arial" w:hAnsi="Ari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CF5CF3"/>
    <w:rPr>
      <w:rFonts w:ascii="Arial" w:hAnsi="Arial"/>
    </w:rPr>
    <w:tblPr>
      <w:tblStyleRowBandSize w:val="1"/>
      <w:tblStyleColBandSize w:val="1"/>
      <w:tblBorders>
        <w:top w:val="single" w:sz="4" w:space="0" w:color="FC27A7" w:themeColor="accent6" w:themeTint="99"/>
        <w:left w:val="single" w:sz="4" w:space="0" w:color="FC27A7" w:themeColor="accent6" w:themeTint="99"/>
        <w:bottom w:val="single" w:sz="4" w:space="0" w:color="FC27A7" w:themeColor="accent6" w:themeTint="99"/>
        <w:right w:val="single" w:sz="4" w:space="0" w:color="FC27A7" w:themeColor="accent6" w:themeTint="99"/>
        <w:insideH w:val="single" w:sz="4" w:space="0" w:color="FC27A7" w:themeColor="accent6" w:themeTint="99"/>
        <w:insideV w:val="single" w:sz="4" w:space="0" w:color="FC27A7" w:themeColor="accent6" w:themeTint="99"/>
      </w:tblBorders>
    </w:tblPr>
    <w:tblStylePr w:type="firstRow">
      <w:rPr>
        <w:b/>
        <w:bCs/>
        <w:color w:val="FFFFFF" w:themeColor="background1"/>
      </w:rPr>
      <w:tblPr/>
      <w:tcPr>
        <w:tcBorders>
          <w:top w:val="single" w:sz="4" w:space="0" w:color="910258" w:themeColor="accent6"/>
          <w:left w:val="single" w:sz="4" w:space="0" w:color="910258" w:themeColor="accent6"/>
          <w:bottom w:val="single" w:sz="4" w:space="0" w:color="910258" w:themeColor="accent6"/>
          <w:right w:val="single" w:sz="4" w:space="0" w:color="910258" w:themeColor="accent6"/>
          <w:insideH w:val="nil"/>
          <w:insideV w:val="nil"/>
        </w:tcBorders>
        <w:shd w:val="clear" w:color="auto" w:fill="910258" w:themeFill="accent6"/>
      </w:tcPr>
    </w:tblStylePr>
    <w:tblStylePr w:type="lastRow">
      <w:rPr>
        <w:b/>
        <w:bCs/>
      </w:rPr>
      <w:tblPr/>
      <w:tcPr>
        <w:tcBorders>
          <w:top w:val="double" w:sz="4" w:space="0" w:color="910258" w:themeColor="accent6"/>
        </w:tcBorders>
      </w:tcPr>
    </w:tblStylePr>
    <w:tblStylePr w:type="firstCol">
      <w:rPr>
        <w:b/>
        <w:bCs/>
      </w:rPr>
    </w:tblStylePr>
    <w:tblStylePr w:type="lastCol">
      <w:rPr>
        <w:b/>
        <w:bCs/>
      </w:rPr>
    </w:tblStylePr>
    <w:tblStylePr w:type="band1Vert">
      <w:tblPr/>
      <w:tcPr>
        <w:shd w:val="clear" w:color="auto" w:fill="FEB7E1" w:themeFill="accent6" w:themeFillTint="33"/>
      </w:tcPr>
    </w:tblStylePr>
    <w:tblStylePr w:type="band1Horz">
      <w:tblPr/>
      <w:tcPr>
        <w:shd w:val="clear" w:color="auto" w:fill="FEB7E1" w:themeFill="accent6" w:themeFillTint="33"/>
      </w:tcPr>
    </w:tblStylePr>
  </w:style>
  <w:style w:type="table" w:styleId="GridTable4-Accent5">
    <w:name w:val="Grid Table 4 Accent 5"/>
    <w:basedOn w:val="TableNormal"/>
    <w:uiPriority w:val="49"/>
    <w:rsid w:val="00CF5CF3"/>
    <w:rPr>
      <w:rFonts w:ascii="Arial" w:hAnsi="Arial"/>
    </w:rPr>
    <w:tblPr>
      <w:tblStyleRowBandSize w:val="1"/>
      <w:tblStyleColBandSize w:val="1"/>
      <w:tblBorders>
        <w:top w:val="single" w:sz="4" w:space="0" w:color="A295D0" w:themeColor="accent5" w:themeTint="99"/>
        <w:left w:val="single" w:sz="4" w:space="0" w:color="A295D0" w:themeColor="accent5" w:themeTint="99"/>
        <w:bottom w:val="single" w:sz="4" w:space="0" w:color="A295D0" w:themeColor="accent5" w:themeTint="99"/>
        <w:right w:val="single" w:sz="4" w:space="0" w:color="A295D0" w:themeColor="accent5" w:themeTint="99"/>
        <w:insideH w:val="single" w:sz="4" w:space="0" w:color="A295D0" w:themeColor="accent5" w:themeTint="99"/>
        <w:insideV w:val="single" w:sz="4" w:space="0" w:color="A295D0" w:themeColor="accent5" w:themeTint="99"/>
      </w:tblBorders>
    </w:tblPr>
    <w:tblStylePr w:type="firstRow">
      <w:rPr>
        <w:b/>
        <w:bCs/>
        <w:color w:val="FFFFFF" w:themeColor="background1"/>
      </w:rPr>
      <w:tblPr/>
      <w:tcPr>
        <w:tcBorders>
          <w:top w:val="single" w:sz="4" w:space="0" w:color="6650B1" w:themeColor="accent5"/>
          <w:left w:val="single" w:sz="4" w:space="0" w:color="6650B1" w:themeColor="accent5"/>
          <w:bottom w:val="single" w:sz="4" w:space="0" w:color="6650B1" w:themeColor="accent5"/>
          <w:right w:val="single" w:sz="4" w:space="0" w:color="6650B1" w:themeColor="accent5"/>
          <w:insideH w:val="nil"/>
          <w:insideV w:val="nil"/>
        </w:tcBorders>
        <w:shd w:val="clear" w:color="auto" w:fill="6650B1" w:themeFill="accent5"/>
      </w:tcPr>
    </w:tblStylePr>
    <w:tblStylePr w:type="lastRow">
      <w:rPr>
        <w:b/>
        <w:bCs/>
      </w:rPr>
      <w:tblPr/>
      <w:tcPr>
        <w:tcBorders>
          <w:top w:val="double" w:sz="4" w:space="0" w:color="6650B1" w:themeColor="accent5"/>
        </w:tcBorders>
      </w:tcPr>
    </w:tblStylePr>
    <w:tblStylePr w:type="firstCol">
      <w:rPr>
        <w:b/>
        <w:bCs/>
      </w:rPr>
    </w:tblStylePr>
    <w:tblStylePr w:type="lastCol">
      <w:rPr>
        <w:b/>
        <w:bCs/>
      </w:rPr>
    </w:tblStylePr>
    <w:tblStylePr w:type="band1Vert">
      <w:tblPr/>
      <w:tcPr>
        <w:shd w:val="clear" w:color="auto" w:fill="E0DBEF" w:themeFill="accent5" w:themeFillTint="33"/>
      </w:tcPr>
    </w:tblStylePr>
    <w:tblStylePr w:type="band1Horz">
      <w:tblPr/>
      <w:tcPr>
        <w:shd w:val="clear" w:color="auto" w:fill="E0DBEF" w:themeFill="accent5" w:themeFillTint="33"/>
      </w:tcPr>
    </w:tblStylePr>
  </w:style>
  <w:style w:type="table" w:styleId="GridTable4-Accent4">
    <w:name w:val="Grid Table 4 Accent 4"/>
    <w:basedOn w:val="TableNormal"/>
    <w:uiPriority w:val="49"/>
    <w:rsid w:val="00CF5CF3"/>
    <w:rPr>
      <w:rFonts w:ascii="Arial" w:hAnsi="Arial"/>
    </w:rPr>
    <w:tblPr>
      <w:tblStyleRowBandSize w:val="1"/>
      <w:tblStyleColBandSize w:val="1"/>
      <w:tblBorders>
        <w:top w:val="single" w:sz="4" w:space="0" w:color="0990FF" w:themeColor="accent4" w:themeTint="99"/>
        <w:left w:val="single" w:sz="4" w:space="0" w:color="0990FF" w:themeColor="accent4" w:themeTint="99"/>
        <w:bottom w:val="single" w:sz="4" w:space="0" w:color="0990FF" w:themeColor="accent4" w:themeTint="99"/>
        <w:right w:val="single" w:sz="4" w:space="0" w:color="0990FF" w:themeColor="accent4" w:themeTint="99"/>
        <w:insideH w:val="single" w:sz="4" w:space="0" w:color="0990FF" w:themeColor="accent4" w:themeTint="99"/>
        <w:insideV w:val="single" w:sz="4" w:space="0" w:color="0990FF" w:themeColor="accent4" w:themeTint="99"/>
      </w:tblBorders>
    </w:tblPr>
    <w:tblStylePr w:type="firstRow">
      <w:rPr>
        <w:b/>
        <w:bCs/>
        <w:color w:val="FFFFFF" w:themeColor="background1"/>
      </w:rPr>
      <w:tblPr/>
      <w:tcPr>
        <w:tcBorders>
          <w:top w:val="single" w:sz="4" w:space="0" w:color="003764" w:themeColor="accent4"/>
          <w:left w:val="single" w:sz="4" w:space="0" w:color="003764" w:themeColor="accent4"/>
          <w:bottom w:val="single" w:sz="4" w:space="0" w:color="003764" w:themeColor="accent4"/>
          <w:right w:val="single" w:sz="4" w:space="0" w:color="003764" w:themeColor="accent4"/>
          <w:insideH w:val="nil"/>
          <w:insideV w:val="nil"/>
        </w:tcBorders>
        <w:shd w:val="clear" w:color="auto" w:fill="003764" w:themeFill="accent4"/>
      </w:tcPr>
    </w:tblStylePr>
    <w:tblStylePr w:type="lastRow">
      <w:rPr>
        <w:b/>
        <w:bCs/>
      </w:rPr>
      <w:tblPr/>
      <w:tcPr>
        <w:tcBorders>
          <w:top w:val="double" w:sz="4" w:space="0" w:color="003764" w:themeColor="accent4"/>
        </w:tcBorders>
      </w:tcPr>
    </w:tblStylePr>
    <w:tblStylePr w:type="firstCol">
      <w:rPr>
        <w:b/>
        <w:bCs/>
      </w:rPr>
    </w:tblStylePr>
    <w:tblStylePr w:type="lastCol">
      <w:rPr>
        <w:b/>
        <w:bCs/>
      </w:rPr>
    </w:tblStylePr>
    <w:tblStylePr w:type="band1Vert">
      <w:tblPr/>
      <w:tcPr>
        <w:shd w:val="clear" w:color="auto" w:fill="ADDAFF" w:themeFill="accent4" w:themeFillTint="33"/>
      </w:tcPr>
    </w:tblStylePr>
    <w:tblStylePr w:type="band1Horz">
      <w:tblPr/>
      <w:tcPr>
        <w:shd w:val="clear" w:color="auto" w:fill="ADDAFF" w:themeFill="accent4" w:themeFillTint="33"/>
      </w:tcPr>
    </w:tblStylePr>
  </w:style>
  <w:style w:type="table" w:styleId="GridTable4-Accent3">
    <w:name w:val="Grid Table 4 Accent 3"/>
    <w:basedOn w:val="TableNormal"/>
    <w:uiPriority w:val="49"/>
    <w:rsid w:val="00CF5CF3"/>
    <w:rPr>
      <w:rFonts w:ascii="Arial" w:hAnsi="Arial"/>
    </w:rPr>
    <w:tblPr>
      <w:tblStyleRowBandSize w:val="1"/>
      <w:tblStyleColBandSize w:val="1"/>
      <w:tblBorders>
        <w:top w:val="single" w:sz="4" w:space="0" w:color="48FFB6" w:themeColor="accent3" w:themeTint="99"/>
        <w:left w:val="single" w:sz="4" w:space="0" w:color="48FFB6" w:themeColor="accent3" w:themeTint="99"/>
        <w:bottom w:val="single" w:sz="4" w:space="0" w:color="48FFB6" w:themeColor="accent3" w:themeTint="99"/>
        <w:right w:val="single" w:sz="4" w:space="0" w:color="48FFB6" w:themeColor="accent3" w:themeTint="99"/>
        <w:insideH w:val="single" w:sz="4" w:space="0" w:color="48FFB6" w:themeColor="accent3" w:themeTint="99"/>
        <w:insideV w:val="single" w:sz="4" w:space="0" w:color="48FFB6" w:themeColor="accent3" w:themeTint="99"/>
      </w:tblBorders>
    </w:tblPr>
    <w:tblStylePr w:type="firstRow">
      <w:rPr>
        <w:b/>
        <w:bCs/>
        <w:color w:val="FFFFFF" w:themeColor="background1"/>
      </w:rPr>
      <w:tblPr/>
      <w:tcPr>
        <w:tcBorders>
          <w:top w:val="single" w:sz="4" w:space="0" w:color="00CE7D" w:themeColor="accent3"/>
          <w:left w:val="single" w:sz="4" w:space="0" w:color="00CE7D" w:themeColor="accent3"/>
          <w:bottom w:val="single" w:sz="4" w:space="0" w:color="00CE7D" w:themeColor="accent3"/>
          <w:right w:val="single" w:sz="4" w:space="0" w:color="00CE7D" w:themeColor="accent3"/>
          <w:insideH w:val="nil"/>
          <w:insideV w:val="nil"/>
        </w:tcBorders>
        <w:shd w:val="clear" w:color="auto" w:fill="00CE7D" w:themeFill="accent3"/>
      </w:tcPr>
    </w:tblStylePr>
    <w:tblStylePr w:type="lastRow">
      <w:rPr>
        <w:b/>
        <w:bCs/>
      </w:rPr>
      <w:tblPr/>
      <w:tcPr>
        <w:tcBorders>
          <w:top w:val="double" w:sz="4" w:space="0" w:color="00CE7D" w:themeColor="accent3"/>
        </w:tcBorders>
      </w:tcPr>
    </w:tblStylePr>
    <w:tblStylePr w:type="firstCol">
      <w:rPr>
        <w:b/>
        <w:bCs/>
      </w:rPr>
    </w:tblStylePr>
    <w:tblStylePr w:type="lastCol">
      <w:rPr>
        <w:b/>
        <w:bCs/>
      </w:rPr>
    </w:tblStylePr>
    <w:tblStylePr w:type="band1Vert">
      <w:tblPr/>
      <w:tcPr>
        <w:shd w:val="clear" w:color="auto" w:fill="C2FFE6" w:themeFill="accent3" w:themeFillTint="33"/>
      </w:tcPr>
    </w:tblStylePr>
    <w:tblStylePr w:type="band1Horz">
      <w:tblPr/>
      <w:tcPr>
        <w:shd w:val="clear" w:color="auto" w:fill="C2FFE6" w:themeFill="accent3" w:themeFillTint="33"/>
      </w:tcPr>
    </w:tblStylePr>
  </w:style>
  <w:style w:type="table" w:styleId="GridTable4-Accent2">
    <w:name w:val="Grid Table 4 Accent 2"/>
    <w:basedOn w:val="TableNormal"/>
    <w:uiPriority w:val="49"/>
    <w:rsid w:val="00CF5CF3"/>
    <w:rPr>
      <w:rFonts w:ascii="Arial" w:hAnsi="Arial"/>
    </w:rPr>
    <w:tblPr>
      <w:tblStyleRowBandSize w:val="1"/>
      <w:tblStyleColBandSize w:val="1"/>
      <w:tblBorders>
        <w:top w:val="single" w:sz="4" w:space="0" w:color="99A4AC" w:themeColor="accent2" w:themeTint="99"/>
        <w:left w:val="single" w:sz="4" w:space="0" w:color="99A4AC" w:themeColor="accent2" w:themeTint="99"/>
        <w:bottom w:val="single" w:sz="4" w:space="0" w:color="99A4AC" w:themeColor="accent2" w:themeTint="99"/>
        <w:right w:val="single" w:sz="4" w:space="0" w:color="99A4AC" w:themeColor="accent2" w:themeTint="99"/>
        <w:insideH w:val="single" w:sz="4" w:space="0" w:color="99A4AC" w:themeColor="accent2" w:themeTint="99"/>
        <w:insideV w:val="single" w:sz="4" w:space="0" w:color="99A4AC" w:themeColor="accent2" w:themeTint="99"/>
      </w:tblBorders>
    </w:tblPr>
    <w:tblStylePr w:type="firstRow">
      <w:rPr>
        <w:b/>
        <w:bCs/>
        <w:color w:val="FFFFFF" w:themeColor="background1"/>
      </w:rPr>
      <w:tblPr/>
      <w:tcPr>
        <w:tcBorders>
          <w:top w:val="single" w:sz="4" w:space="0" w:color="5B6770" w:themeColor="accent2"/>
          <w:left w:val="single" w:sz="4" w:space="0" w:color="5B6770" w:themeColor="accent2"/>
          <w:bottom w:val="single" w:sz="4" w:space="0" w:color="5B6770" w:themeColor="accent2"/>
          <w:right w:val="single" w:sz="4" w:space="0" w:color="5B6770" w:themeColor="accent2"/>
          <w:insideH w:val="nil"/>
          <w:insideV w:val="nil"/>
        </w:tcBorders>
        <w:shd w:val="clear" w:color="auto" w:fill="5B6770" w:themeFill="accent2"/>
      </w:tcPr>
    </w:tblStylePr>
    <w:tblStylePr w:type="lastRow">
      <w:rPr>
        <w:b/>
        <w:bCs/>
      </w:rPr>
      <w:tblPr/>
      <w:tcPr>
        <w:tcBorders>
          <w:top w:val="double" w:sz="4" w:space="0" w:color="5B6770" w:themeColor="accent2"/>
        </w:tcBorders>
      </w:tcPr>
    </w:tblStylePr>
    <w:tblStylePr w:type="firstCol">
      <w:rPr>
        <w:b/>
        <w:bCs/>
      </w:rPr>
    </w:tblStylePr>
    <w:tblStylePr w:type="lastCol">
      <w:rPr>
        <w:b/>
        <w:bCs/>
      </w:rPr>
    </w:tblStylePr>
    <w:tblStylePr w:type="band1Vert">
      <w:tblPr/>
      <w:tcPr>
        <w:shd w:val="clear" w:color="auto" w:fill="DCE0E3" w:themeFill="accent2" w:themeFillTint="33"/>
      </w:tcPr>
    </w:tblStylePr>
    <w:tblStylePr w:type="band1Horz">
      <w:tblPr/>
      <w:tcPr>
        <w:shd w:val="clear" w:color="auto" w:fill="DCE0E3" w:themeFill="accent2" w:themeFillTint="33"/>
      </w:tcPr>
    </w:tblStylePr>
  </w:style>
  <w:style w:type="table" w:styleId="GridTable4-Accent1">
    <w:name w:val="Grid Table 4 Accent 1"/>
    <w:basedOn w:val="TableNormal"/>
    <w:uiPriority w:val="49"/>
    <w:rsid w:val="00CF5CF3"/>
    <w:rPr>
      <w:rFonts w:ascii="Arial" w:hAnsi="Arial"/>
    </w:rPr>
    <w:tblPr>
      <w:tblStyleRowBandSize w:val="1"/>
      <w:tblStyleColBandSize w:val="1"/>
      <w:tblBorders>
        <w:top w:val="single" w:sz="4" w:space="0" w:color="45E4FF" w:themeColor="accent1" w:themeTint="99"/>
        <w:left w:val="single" w:sz="4" w:space="0" w:color="45E4FF" w:themeColor="accent1" w:themeTint="99"/>
        <w:bottom w:val="single" w:sz="4" w:space="0" w:color="45E4FF" w:themeColor="accent1" w:themeTint="99"/>
        <w:right w:val="single" w:sz="4" w:space="0" w:color="45E4FF" w:themeColor="accent1" w:themeTint="99"/>
        <w:insideH w:val="single" w:sz="4" w:space="0" w:color="45E4FF" w:themeColor="accent1" w:themeTint="99"/>
        <w:insideV w:val="single" w:sz="4" w:space="0" w:color="45E4FF" w:themeColor="accent1" w:themeTint="99"/>
      </w:tblBorders>
    </w:tblPr>
    <w:tblStylePr w:type="firstRow">
      <w:rPr>
        <w:b/>
        <w:bCs/>
        <w:color w:val="FFFFFF" w:themeColor="background1"/>
      </w:rPr>
      <w:tblPr/>
      <w:tcPr>
        <w:tcBorders>
          <w:top w:val="single" w:sz="4" w:space="0" w:color="00ACC8" w:themeColor="accent1"/>
          <w:left w:val="single" w:sz="4" w:space="0" w:color="00ACC8" w:themeColor="accent1"/>
          <w:bottom w:val="single" w:sz="4" w:space="0" w:color="00ACC8" w:themeColor="accent1"/>
          <w:right w:val="single" w:sz="4" w:space="0" w:color="00ACC8" w:themeColor="accent1"/>
          <w:insideH w:val="nil"/>
          <w:insideV w:val="nil"/>
        </w:tcBorders>
        <w:shd w:val="clear" w:color="auto" w:fill="00ACC8" w:themeFill="accent1"/>
      </w:tcPr>
    </w:tblStylePr>
    <w:tblStylePr w:type="lastRow">
      <w:rPr>
        <w:b/>
        <w:bCs/>
      </w:rPr>
      <w:tblPr/>
      <w:tcPr>
        <w:tcBorders>
          <w:top w:val="double" w:sz="4" w:space="0" w:color="00ACC8" w:themeColor="accent1"/>
        </w:tcBorders>
      </w:tcPr>
    </w:tblStylePr>
    <w:tblStylePr w:type="firstCol">
      <w:rPr>
        <w:b/>
        <w:bCs/>
      </w:rPr>
    </w:tblStylePr>
    <w:tblStylePr w:type="lastCol">
      <w:rPr>
        <w:b/>
        <w:bCs/>
      </w:rPr>
    </w:tblStylePr>
    <w:tblStylePr w:type="band1Vert">
      <w:tblPr/>
      <w:tcPr>
        <w:shd w:val="clear" w:color="auto" w:fill="C1F6FF" w:themeFill="accent1" w:themeFillTint="33"/>
      </w:tcPr>
    </w:tblStylePr>
    <w:tblStylePr w:type="band1Horz">
      <w:tblPr/>
      <w:tcPr>
        <w:shd w:val="clear" w:color="auto" w:fill="C1F6FF" w:themeFill="accent1" w:themeFillTint="33"/>
      </w:tcPr>
    </w:tblStylePr>
  </w:style>
  <w:style w:type="table" w:styleId="GridTable4">
    <w:name w:val="Grid Table 4"/>
    <w:basedOn w:val="TableNormal"/>
    <w:uiPriority w:val="49"/>
    <w:rsid w:val="00CF5CF3"/>
    <w:rPr>
      <w:rFonts w:ascii="Arial" w:hAnsi="Ari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6">
    <w:name w:val="List Table 3 Accent 6"/>
    <w:basedOn w:val="TableNormal"/>
    <w:uiPriority w:val="48"/>
    <w:rsid w:val="00CF5CF3"/>
    <w:rPr>
      <w:rFonts w:ascii="Arial" w:hAnsi="Arial"/>
    </w:rPr>
    <w:tblPr>
      <w:tblStyleRowBandSize w:val="1"/>
      <w:tblStyleColBandSize w:val="1"/>
      <w:tblBorders>
        <w:top w:val="single" w:sz="4" w:space="0" w:color="910258" w:themeColor="accent6"/>
        <w:left w:val="single" w:sz="4" w:space="0" w:color="910258" w:themeColor="accent6"/>
        <w:bottom w:val="single" w:sz="4" w:space="0" w:color="910258" w:themeColor="accent6"/>
        <w:right w:val="single" w:sz="4" w:space="0" w:color="910258" w:themeColor="accent6"/>
      </w:tblBorders>
    </w:tblPr>
    <w:tblStylePr w:type="firstRow">
      <w:rPr>
        <w:b/>
        <w:bCs/>
        <w:color w:val="FFFFFF" w:themeColor="background1"/>
      </w:rPr>
      <w:tblPr/>
      <w:tcPr>
        <w:shd w:val="clear" w:color="auto" w:fill="910258" w:themeFill="accent6"/>
      </w:tcPr>
    </w:tblStylePr>
    <w:tblStylePr w:type="lastRow">
      <w:rPr>
        <w:b/>
        <w:bCs/>
      </w:rPr>
      <w:tblPr/>
      <w:tcPr>
        <w:tcBorders>
          <w:top w:val="double" w:sz="4" w:space="0" w:color="91025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10258" w:themeColor="accent6"/>
          <w:right w:val="single" w:sz="4" w:space="0" w:color="910258" w:themeColor="accent6"/>
        </w:tcBorders>
      </w:tcPr>
    </w:tblStylePr>
    <w:tblStylePr w:type="band1Horz">
      <w:tblPr/>
      <w:tcPr>
        <w:tcBorders>
          <w:top w:val="single" w:sz="4" w:space="0" w:color="910258" w:themeColor="accent6"/>
          <w:bottom w:val="single" w:sz="4" w:space="0" w:color="91025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10258" w:themeColor="accent6"/>
          <w:left w:val="nil"/>
        </w:tcBorders>
      </w:tcPr>
    </w:tblStylePr>
    <w:tblStylePr w:type="swCell">
      <w:tblPr/>
      <w:tcPr>
        <w:tcBorders>
          <w:top w:val="double" w:sz="4" w:space="0" w:color="910258" w:themeColor="accent6"/>
          <w:right w:val="nil"/>
        </w:tcBorders>
      </w:tcPr>
    </w:tblStylePr>
  </w:style>
  <w:style w:type="table" w:styleId="ListTable3-Accent5">
    <w:name w:val="List Table 3 Accent 5"/>
    <w:basedOn w:val="TableNormal"/>
    <w:uiPriority w:val="48"/>
    <w:rsid w:val="00CF5CF3"/>
    <w:rPr>
      <w:rFonts w:ascii="Arial" w:hAnsi="Arial"/>
    </w:rPr>
    <w:tblPr>
      <w:tblStyleRowBandSize w:val="1"/>
      <w:tblStyleColBandSize w:val="1"/>
      <w:tblBorders>
        <w:top w:val="single" w:sz="4" w:space="0" w:color="6650B1" w:themeColor="accent5"/>
        <w:left w:val="single" w:sz="4" w:space="0" w:color="6650B1" w:themeColor="accent5"/>
        <w:bottom w:val="single" w:sz="4" w:space="0" w:color="6650B1" w:themeColor="accent5"/>
        <w:right w:val="single" w:sz="4" w:space="0" w:color="6650B1" w:themeColor="accent5"/>
      </w:tblBorders>
    </w:tblPr>
    <w:tblStylePr w:type="firstRow">
      <w:rPr>
        <w:b/>
        <w:bCs/>
        <w:color w:val="FFFFFF" w:themeColor="background1"/>
      </w:rPr>
      <w:tblPr/>
      <w:tcPr>
        <w:shd w:val="clear" w:color="auto" w:fill="6650B1" w:themeFill="accent5"/>
      </w:tcPr>
    </w:tblStylePr>
    <w:tblStylePr w:type="lastRow">
      <w:rPr>
        <w:b/>
        <w:bCs/>
      </w:rPr>
      <w:tblPr/>
      <w:tcPr>
        <w:tcBorders>
          <w:top w:val="double" w:sz="4" w:space="0" w:color="6650B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50B1" w:themeColor="accent5"/>
          <w:right w:val="single" w:sz="4" w:space="0" w:color="6650B1" w:themeColor="accent5"/>
        </w:tcBorders>
      </w:tcPr>
    </w:tblStylePr>
    <w:tblStylePr w:type="band1Horz">
      <w:tblPr/>
      <w:tcPr>
        <w:tcBorders>
          <w:top w:val="single" w:sz="4" w:space="0" w:color="6650B1" w:themeColor="accent5"/>
          <w:bottom w:val="single" w:sz="4" w:space="0" w:color="6650B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50B1" w:themeColor="accent5"/>
          <w:left w:val="nil"/>
        </w:tcBorders>
      </w:tcPr>
    </w:tblStylePr>
    <w:tblStylePr w:type="swCell">
      <w:tblPr/>
      <w:tcPr>
        <w:tcBorders>
          <w:top w:val="double" w:sz="4" w:space="0" w:color="6650B1" w:themeColor="accent5"/>
          <w:right w:val="nil"/>
        </w:tcBorders>
      </w:tcPr>
    </w:tblStylePr>
  </w:style>
  <w:style w:type="table" w:styleId="ListTable3-Accent4">
    <w:name w:val="List Table 3 Accent 4"/>
    <w:basedOn w:val="TableNormal"/>
    <w:uiPriority w:val="48"/>
    <w:rsid w:val="00CF5CF3"/>
    <w:rPr>
      <w:rFonts w:ascii="Arial" w:hAnsi="Arial"/>
    </w:rPr>
    <w:tblPr>
      <w:tblStyleRowBandSize w:val="1"/>
      <w:tblStyleColBandSize w:val="1"/>
      <w:tblBorders>
        <w:top w:val="single" w:sz="4" w:space="0" w:color="003764" w:themeColor="accent4"/>
        <w:left w:val="single" w:sz="4" w:space="0" w:color="003764" w:themeColor="accent4"/>
        <w:bottom w:val="single" w:sz="4" w:space="0" w:color="003764" w:themeColor="accent4"/>
        <w:right w:val="single" w:sz="4" w:space="0" w:color="003764" w:themeColor="accent4"/>
      </w:tblBorders>
    </w:tblPr>
    <w:tblStylePr w:type="firstRow">
      <w:rPr>
        <w:b/>
        <w:bCs/>
        <w:color w:val="FFFFFF" w:themeColor="background1"/>
      </w:rPr>
      <w:tblPr/>
      <w:tcPr>
        <w:shd w:val="clear" w:color="auto" w:fill="003764" w:themeFill="accent4"/>
      </w:tcPr>
    </w:tblStylePr>
    <w:tblStylePr w:type="lastRow">
      <w:rPr>
        <w:b/>
        <w:bCs/>
      </w:rPr>
      <w:tblPr/>
      <w:tcPr>
        <w:tcBorders>
          <w:top w:val="double" w:sz="4" w:space="0" w:color="003764"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3764" w:themeColor="accent4"/>
          <w:right w:val="single" w:sz="4" w:space="0" w:color="003764" w:themeColor="accent4"/>
        </w:tcBorders>
      </w:tcPr>
    </w:tblStylePr>
    <w:tblStylePr w:type="band1Horz">
      <w:tblPr/>
      <w:tcPr>
        <w:tcBorders>
          <w:top w:val="single" w:sz="4" w:space="0" w:color="003764" w:themeColor="accent4"/>
          <w:bottom w:val="single" w:sz="4" w:space="0" w:color="003764"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3764" w:themeColor="accent4"/>
          <w:left w:val="nil"/>
        </w:tcBorders>
      </w:tcPr>
    </w:tblStylePr>
    <w:tblStylePr w:type="swCell">
      <w:tblPr/>
      <w:tcPr>
        <w:tcBorders>
          <w:top w:val="double" w:sz="4" w:space="0" w:color="003764" w:themeColor="accent4"/>
          <w:right w:val="nil"/>
        </w:tcBorders>
      </w:tcPr>
    </w:tblStylePr>
  </w:style>
  <w:style w:type="table" w:styleId="ListTable3-Accent3">
    <w:name w:val="List Table 3 Accent 3"/>
    <w:basedOn w:val="TableNormal"/>
    <w:uiPriority w:val="48"/>
    <w:rsid w:val="00CF5CF3"/>
    <w:rPr>
      <w:rFonts w:ascii="Arial" w:hAnsi="Arial"/>
    </w:rPr>
    <w:tblPr>
      <w:tblStyleRowBandSize w:val="1"/>
      <w:tblStyleColBandSize w:val="1"/>
      <w:tblBorders>
        <w:top w:val="single" w:sz="4" w:space="0" w:color="00CE7D" w:themeColor="accent3"/>
        <w:left w:val="single" w:sz="4" w:space="0" w:color="00CE7D" w:themeColor="accent3"/>
        <w:bottom w:val="single" w:sz="4" w:space="0" w:color="00CE7D" w:themeColor="accent3"/>
        <w:right w:val="single" w:sz="4" w:space="0" w:color="00CE7D" w:themeColor="accent3"/>
      </w:tblBorders>
    </w:tblPr>
    <w:tblStylePr w:type="firstRow">
      <w:rPr>
        <w:b/>
        <w:bCs/>
        <w:color w:val="FFFFFF" w:themeColor="background1"/>
      </w:rPr>
      <w:tblPr/>
      <w:tcPr>
        <w:shd w:val="clear" w:color="auto" w:fill="00CE7D" w:themeFill="accent3"/>
      </w:tcPr>
    </w:tblStylePr>
    <w:tblStylePr w:type="lastRow">
      <w:rPr>
        <w:b/>
        <w:bCs/>
      </w:rPr>
      <w:tblPr/>
      <w:tcPr>
        <w:tcBorders>
          <w:top w:val="double" w:sz="4" w:space="0" w:color="00CE7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CE7D" w:themeColor="accent3"/>
          <w:right w:val="single" w:sz="4" w:space="0" w:color="00CE7D" w:themeColor="accent3"/>
        </w:tcBorders>
      </w:tcPr>
    </w:tblStylePr>
    <w:tblStylePr w:type="band1Horz">
      <w:tblPr/>
      <w:tcPr>
        <w:tcBorders>
          <w:top w:val="single" w:sz="4" w:space="0" w:color="00CE7D" w:themeColor="accent3"/>
          <w:bottom w:val="single" w:sz="4" w:space="0" w:color="00CE7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CE7D" w:themeColor="accent3"/>
          <w:left w:val="nil"/>
        </w:tcBorders>
      </w:tcPr>
    </w:tblStylePr>
    <w:tblStylePr w:type="swCell">
      <w:tblPr/>
      <w:tcPr>
        <w:tcBorders>
          <w:top w:val="double" w:sz="4" w:space="0" w:color="00CE7D" w:themeColor="accent3"/>
          <w:right w:val="nil"/>
        </w:tcBorders>
      </w:tcPr>
    </w:tblStylePr>
  </w:style>
  <w:style w:type="table" w:styleId="ListTable3-Accent2">
    <w:name w:val="List Table 3 Accent 2"/>
    <w:basedOn w:val="TableNormal"/>
    <w:uiPriority w:val="48"/>
    <w:rsid w:val="00CF5CF3"/>
    <w:rPr>
      <w:rFonts w:ascii="Arial" w:hAnsi="Arial"/>
    </w:rPr>
    <w:tblPr>
      <w:tblStyleRowBandSize w:val="1"/>
      <w:tblStyleColBandSize w:val="1"/>
      <w:tblBorders>
        <w:top w:val="single" w:sz="4" w:space="0" w:color="5B6770" w:themeColor="accent2"/>
        <w:left w:val="single" w:sz="4" w:space="0" w:color="5B6770" w:themeColor="accent2"/>
        <w:bottom w:val="single" w:sz="4" w:space="0" w:color="5B6770" w:themeColor="accent2"/>
        <w:right w:val="single" w:sz="4" w:space="0" w:color="5B6770" w:themeColor="accent2"/>
      </w:tblBorders>
    </w:tblPr>
    <w:tblStylePr w:type="firstRow">
      <w:rPr>
        <w:b/>
        <w:bCs/>
        <w:color w:val="FFFFFF" w:themeColor="background1"/>
      </w:rPr>
      <w:tblPr/>
      <w:tcPr>
        <w:shd w:val="clear" w:color="auto" w:fill="5B6770" w:themeFill="accent2"/>
      </w:tcPr>
    </w:tblStylePr>
    <w:tblStylePr w:type="lastRow">
      <w:rPr>
        <w:b/>
        <w:bCs/>
      </w:rPr>
      <w:tblPr/>
      <w:tcPr>
        <w:tcBorders>
          <w:top w:val="double" w:sz="4" w:space="0" w:color="5B677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6770" w:themeColor="accent2"/>
          <w:right w:val="single" w:sz="4" w:space="0" w:color="5B6770" w:themeColor="accent2"/>
        </w:tcBorders>
      </w:tcPr>
    </w:tblStylePr>
    <w:tblStylePr w:type="band1Horz">
      <w:tblPr/>
      <w:tcPr>
        <w:tcBorders>
          <w:top w:val="single" w:sz="4" w:space="0" w:color="5B6770" w:themeColor="accent2"/>
          <w:bottom w:val="single" w:sz="4" w:space="0" w:color="5B677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6770" w:themeColor="accent2"/>
          <w:left w:val="nil"/>
        </w:tcBorders>
      </w:tcPr>
    </w:tblStylePr>
    <w:tblStylePr w:type="swCell">
      <w:tblPr/>
      <w:tcPr>
        <w:tcBorders>
          <w:top w:val="double" w:sz="4" w:space="0" w:color="5B6770" w:themeColor="accent2"/>
          <w:right w:val="nil"/>
        </w:tcBorders>
      </w:tcPr>
    </w:tblStylePr>
  </w:style>
  <w:style w:type="table" w:styleId="ListTable3-Accent1">
    <w:name w:val="List Table 3 Accent 1"/>
    <w:basedOn w:val="TableNormal"/>
    <w:uiPriority w:val="48"/>
    <w:rsid w:val="00CF5CF3"/>
    <w:rPr>
      <w:rFonts w:ascii="Arial" w:hAnsi="Arial"/>
    </w:rPr>
    <w:tblPr>
      <w:tblStyleRowBandSize w:val="1"/>
      <w:tblStyleColBandSize w:val="1"/>
      <w:tblBorders>
        <w:top w:val="single" w:sz="4" w:space="0" w:color="00ACC8" w:themeColor="accent1"/>
        <w:left w:val="single" w:sz="4" w:space="0" w:color="00ACC8" w:themeColor="accent1"/>
        <w:bottom w:val="single" w:sz="4" w:space="0" w:color="00ACC8" w:themeColor="accent1"/>
        <w:right w:val="single" w:sz="4" w:space="0" w:color="00ACC8" w:themeColor="accent1"/>
      </w:tblBorders>
    </w:tblPr>
    <w:tblStylePr w:type="firstRow">
      <w:rPr>
        <w:b/>
        <w:bCs/>
        <w:color w:val="FFFFFF" w:themeColor="background1"/>
      </w:rPr>
      <w:tblPr/>
      <w:tcPr>
        <w:shd w:val="clear" w:color="auto" w:fill="00ACC8" w:themeFill="accent1"/>
      </w:tcPr>
    </w:tblStylePr>
    <w:tblStylePr w:type="lastRow">
      <w:rPr>
        <w:b/>
        <w:bCs/>
      </w:rPr>
      <w:tblPr/>
      <w:tcPr>
        <w:tcBorders>
          <w:top w:val="double" w:sz="4" w:space="0" w:color="00ACC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CC8" w:themeColor="accent1"/>
          <w:right w:val="single" w:sz="4" w:space="0" w:color="00ACC8" w:themeColor="accent1"/>
        </w:tcBorders>
      </w:tcPr>
    </w:tblStylePr>
    <w:tblStylePr w:type="band1Horz">
      <w:tblPr/>
      <w:tcPr>
        <w:tcBorders>
          <w:top w:val="single" w:sz="4" w:space="0" w:color="00ACC8" w:themeColor="accent1"/>
          <w:bottom w:val="single" w:sz="4" w:space="0" w:color="00ACC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CC8" w:themeColor="accent1"/>
          <w:left w:val="nil"/>
        </w:tcBorders>
      </w:tcPr>
    </w:tblStylePr>
    <w:tblStylePr w:type="swCell">
      <w:tblPr/>
      <w:tcPr>
        <w:tcBorders>
          <w:top w:val="double" w:sz="4" w:space="0" w:color="00ACC8" w:themeColor="accent1"/>
          <w:right w:val="nil"/>
        </w:tcBorders>
      </w:tcPr>
    </w:tblStylePr>
  </w:style>
  <w:style w:type="table" w:styleId="ListTable3">
    <w:name w:val="List Table 3"/>
    <w:basedOn w:val="TableNormal"/>
    <w:uiPriority w:val="48"/>
    <w:rsid w:val="00CF5CF3"/>
    <w:rPr>
      <w:rFonts w:ascii="Arial" w:hAnsi="Arial"/>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3-Accent6">
    <w:name w:val="Grid Table 3 Accent 6"/>
    <w:basedOn w:val="TableNormal"/>
    <w:uiPriority w:val="48"/>
    <w:rsid w:val="00CF5CF3"/>
    <w:rPr>
      <w:rFonts w:ascii="Arial" w:hAnsi="Arial"/>
    </w:rPr>
    <w:tblPr>
      <w:tblStyleRowBandSize w:val="1"/>
      <w:tblStyleColBandSize w:val="1"/>
      <w:tblBorders>
        <w:top w:val="single" w:sz="4" w:space="0" w:color="FC27A7" w:themeColor="accent6" w:themeTint="99"/>
        <w:left w:val="single" w:sz="4" w:space="0" w:color="FC27A7" w:themeColor="accent6" w:themeTint="99"/>
        <w:bottom w:val="single" w:sz="4" w:space="0" w:color="FC27A7" w:themeColor="accent6" w:themeTint="99"/>
        <w:right w:val="single" w:sz="4" w:space="0" w:color="FC27A7" w:themeColor="accent6" w:themeTint="99"/>
        <w:insideH w:val="single" w:sz="4" w:space="0" w:color="FC27A7" w:themeColor="accent6" w:themeTint="99"/>
        <w:insideV w:val="single" w:sz="4" w:space="0" w:color="FC27A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B7E1" w:themeFill="accent6" w:themeFillTint="33"/>
      </w:tcPr>
    </w:tblStylePr>
    <w:tblStylePr w:type="band1Horz">
      <w:tblPr/>
      <w:tcPr>
        <w:shd w:val="clear" w:color="auto" w:fill="FEB7E1" w:themeFill="accent6" w:themeFillTint="33"/>
      </w:tcPr>
    </w:tblStylePr>
    <w:tblStylePr w:type="neCell">
      <w:tblPr/>
      <w:tcPr>
        <w:tcBorders>
          <w:bottom w:val="single" w:sz="4" w:space="0" w:color="FC27A7" w:themeColor="accent6" w:themeTint="99"/>
        </w:tcBorders>
      </w:tcPr>
    </w:tblStylePr>
    <w:tblStylePr w:type="nwCell">
      <w:tblPr/>
      <w:tcPr>
        <w:tcBorders>
          <w:bottom w:val="single" w:sz="4" w:space="0" w:color="FC27A7" w:themeColor="accent6" w:themeTint="99"/>
        </w:tcBorders>
      </w:tcPr>
    </w:tblStylePr>
    <w:tblStylePr w:type="seCell">
      <w:tblPr/>
      <w:tcPr>
        <w:tcBorders>
          <w:top w:val="single" w:sz="4" w:space="0" w:color="FC27A7" w:themeColor="accent6" w:themeTint="99"/>
        </w:tcBorders>
      </w:tcPr>
    </w:tblStylePr>
    <w:tblStylePr w:type="swCell">
      <w:tblPr/>
      <w:tcPr>
        <w:tcBorders>
          <w:top w:val="single" w:sz="4" w:space="0" w:color="FC27A7" w:themeColor="accent6" w:themeTint="99"/>
        </w:tcBorders>
      </w:tcPr>
    </w:tblStylePr>
  </w:style>
  <w:style w:type="table" w:styleId="GridTable3-Accent5">
    <w:name w:val="Grid Table 3 Accent 5"/>
    <w:basedOn w:val="TableNormal"/>
    <w:uiPriority w:val="48"/>
    <w:rsid w:val="00CF5CF3"/>
    <w:rPr>
      <w:rFonts w:ascii="Arial" w:hAnsi="Arial"/>
    </w:rPr>
    <w:tblPr>
      <w:tblStyleRowBandSize w:val="1"/>
      <w:tblStyleColBandSize w:val="1"/>
      <w:tblBorders>
        <w:top w:val="single" w:sz="4" w:space="0" w:color="A295D0" w:themeColor="accent5" w:themeTint="99"/>
        <w:left w:val="single" w:sz="4" w:space="0" w:color="A295D0" w:themeColor="accent5" w:themeTint="99"/>
        <w:bottom w:val="single" w:sz="4" w:space="0" w:color="A295D0" w:themeColor="accent5" w:themeTint="99"/>
        <w:right w:val="single" w:sz="4" w:space="0" w:color="A295D0" w:themeColor="accent5" w:themeTint="99"/>
        <w:insideH w:val="single" w:sz="4" w:space="0" w:color="A295D0" w:themeColor="accent5" w:themeTint="99"/>
        <w:insideV w:val="single" w:sz="4" w:space="0" w:color="A295D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BEF" w:themeFill="accent5" w:themeFillTint="33"/>
      </w:tcPr>
    </w:tblStylePr>
    <w:tblStylePr w:type="band1Horz">
      <w:tblPr/>
      <w:tcPr>
        <w:shd w:val="clear" w:color="auto" w:fill="E0DBEF" w:themeFill="accent5" w:themeFillTint="33"/>
      </w:tcPr>
    </w:tblStylePr>
    <w:tblStylePr w:type="neCell">
      <w:tblPr/>
      <w:tcPr>
        <w:tcBorders>
          <w:bottom w:val="single" w:sz="4" w:space="0" w:color="A295D0" w:themeColor="accent5" w:themeTint="99"/>
        </w:tcBorders>
      </w:tcPr>
    </w:tblStylePr>
    <w:tblStylePr w:type="nwCell">
      <w:tblPr/>
      <w:tcPr>
        <w:tcBorders>
          <w:bottom w:val="single" w:sz="4" w:space="0" w:color="A295D0" w:themeColor="accent5" w:themeTint="99"/>
        </w:tcBorders>
      </w:tcPr>
    </w:tblStylePr>
    <w:tblStylePr w:type="seCell">
      <w:tblPr/>
      <w:tcPr>
        <w:tcBorders>
          <w:top w:val="single" w:sz="4" w:space="0" w:color="A295D0" w:themeColor="accent5" w:themeTint="99"/>
        </w:tcBorders>
      </w:tcPr>
    </w:tblStylePr>
    <w:tblStylePr w:type="swCell">
      <w:tblPr/>
      <w:tcPr>
        <w:tcBorders>
          <w:top w:val="single" w:sz="4" w:space="0" w:color="A295D0" w:themeColor="accent5" w:themeTint="99"/>
        </w:tcBorders>
      </w:tcPr>
    </w:tblStylePr>
  </w:style>
  <w:style w:type="table" w:styleId="GridTable3-Accent4">
    <w:name w:val="Grid Table 3 Accent 4"/>
    <w:basedOn w:val="TableNormal"/>
    <w:uiPriority w:val="48"/>
    <w:rsid w:val="00CF5CF3"/>
    <w:rPr>
      <w:rFonts w:ascii="Arial" w:hAnsi="Arial"/>
    </w:rPr>
    <w:tblPr>
      <w:tblStyleRowBandSize w:val="1"/>
      <w:tblStyleColBandSize w:val="1"/>
      <w:tblBorders>
        <w:top w:val="single" w:sz="4" w:space="0" w:color="0990FF" w:themeColor="accent4" w:themeTint="99"/>
        <w:left w:val="single" w:sz="4" w:space="0" w:color="0990FF" w:themeColor="accent4" w:themeTint="99"/>
        <w:bottom w:val="single" w:sz="4" w:space="0" w:color="0990FF" w:themeColor="accent4" w:themeTint="99"/>
        <w:right w:val="single" w:sz="4" w:space="0" w:color="0990FF" w:themeColor="accent4" w:themeTint="99"/>
        <w:insideH w:val="single" w:sz="4" w:space="0" w:color="0990FF" w:themeColor="accent4" w:themeTint="99"/>
        <w:insideV w:val="single" w:sz="4" w:space="0" w:color="0990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DDAFF" w:themeFill="accent4" w:themeFillTint="33"/>
      </w:tcPr>
    </w:tblStylePr>
    <w:tblStylePr w:type="band1Horz">
      <w:tblPr/>
      <w:tcPr>
        <w:shd w:val="clear" w:color="auto" w:fill="ADDAFF" w:themeFill="accent4" w:themeFillTint="33"/>
      </w:tcPr>
    </w:tblStylePr>
    <w:tblStylePr w:type="neCell">
      <w:tblPr/>
      <w:tcPr>
        <w:tcBorders>
          <w:bottom w:val="single" w:sz="4" w:space="0" w:color="0990FF" w:themeColor="accent4" w:themeTint="99"/>
        </w:tcBorders>
      </w:tcPr>
    </w:tblStylePr>
    <w:tblStylePr w:type="nwCell">
      <w:tblPr/>
      <w:tcPr>
        <w:tcBorders>
          <w:bottom w:val="single" w:sz="4" w:space="0" w:color="0990FF" w:themeColor="accent4" w:themeTint="99"/>
        </w:tcBorders>
      </w:tcPr>
    </w:tblStylePr>
    <w:tblStylePr w:type="seCell">
      <w:tblPr/>
      <w:tcPr>
        <w:tcBorders>
          <w:top w:val="single" w:sz="4" w:space="0" w:color="0990FF" w:themeColor="accent4" w:themeTint="99"/>
        </w:tcBorders>
      </w:tcPr>
    </w:tblStylePr>
    <w:tblStylePr w:type="swCell">
      <w:tblPr/>
      <w:tcPr>
        <w:tcBorders>
          <w:top w:val="single" w:sz="4" w:space="0" w:color="0990FF" w:themeColor="accent4" w:themeTint="99"/>
        </w:tcBorders>
      </w:tcPr>
    </w:tblStylePr>
  </w:style>
  <w:style w:type="table" w:styleId="GridTable3-Accent3">
    <w:name w:val="Grid Table 3 Accent 3"/>
    <w:basedOn w:val="TableNormal"/>
    <w:uiPriority w:val="48"/>
    <w:rsid w:val="00CF5CF3"/>
    <w:rPr>
      <w:rFonts w:ascii="Arial" w:hAnsi="Arial"/>
    </w:rPr>
    <w:tblPr>
      <w:tblStyleRowBandSize w:val="1"/>
      <w:tblStyleColBandSize w:val="1"/>
      <w:tblBorders>
        <w:top w:val="single" w:sz="4" w:space="0" w:color="48FFB6" w:themeColor="accent3" w:themeTint="99"/>
        <w:left w:val="single" w:sz="4" w:space="0" w:color="48FFB6" w:themeColor="accent3" w:themeTint="99"/>
        <w:bottom w:val="single" w:sz="4" w:space="0" w:color="48FFB6" w:themeColor="accent3" w:themeTint="99"/>
        <w:right w:val="single" w:sz="4" w:space="0" w:color="48FFB6" w:themeColor="accent3" w:themeTint="99"/>
        <w:insideH w:val="single" w:sz="4" w:space="0" w:color="48FFB6" w:themeColor="accent3" w:themeTint="99"/>
        <w:insideV w:val="single" w:sz="4" w:space="0" w:color="48FFB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FFE6" w:themeFill="accent3" w:themeFillTint="33"/>
      </w:tcPr>
    </w:tblStylePr>
    <w:tblStylePr w:type="band1Horz">
      <w:tblPr/>
      <w:tcPr>
        <w:shd w:val="clear" w:color="auto" w:fill="C2FFE6" w:themeFill="accent3" w:themeFillTint="33"/>
      </w:tcPr>
    </w:tblStylePr>
    <w:tblStylePr w:type="neCell">
      <w:tblPr/>
      <w:tcPr>
        <w:tcBorders>
          <w:bottom w:val="single" w:sz="4" w:space="0" w:color="48FFB6" w:themeColor="accent3" w:themeTint="99"/>
        </w:tcBorders>
      </w:tcPr>
    </w:tblStylePr>
    <w:tblStylePr w:type="nwCell">
      <w:tblPr/>
      <w:tcPr>
        <w:tcBorders>
          <w:bottom w:val="single" w:sz="4" w:space="0" w:color="48FFB6" w:themeColor="accent3" w:themeTint="99"/>
        </w:tcBorders>
      </w:tcPr>
    </w:tblStylePr>
    <w:tblStylePr w:type="seCell">
      <w:tblPr/>
      <w:tcPr>
        <w:tcBorders>
          <w:top w:val="single" w:sz="4" w:space="0" w:color="48FFB6" w:themeColor="accent3" w:themeTint="99"/>
        </w:tcBorders>
      </w:tcPr>
    </w:tblStylePr>
    <w:tblStylePr w:type="swCell">
      <w:tblPr/>
      <w:tcPr>
        <w:tcBorders>
          <w:top w:val="single" w:sz="4" w:space="0" w:color="48FFB6" w:themeColor="accent3" w:themeTint="99"/>
        </w:tcBorders>
      </w:tcPr>
    </w:tblStylePr>
  </w:style>
  <w:style w:type="table" w:styleId="GridTable3-Accent2">
    <w:name w:val="Grid Table 3 Accent 2"/>
    <w:basedOn w:val="TableNormal"/>
    <w:uiPriority w:val="48"/>
    <w:rsid w:val="00CF5CF3"/>
    <w:rPr>
      <w:rFonts w:ascii="Arial" w:hAnsi="Arial"/>
    </w:rPr>
    <w:tblPr>
      <w:tblStyleRowBandSize w:val="1"/>
      <w:tblStyleColBandSize w:val="1"/>
      <w:tblBorders>
        <w:top w:val="single" w:sz="4" w:space="0" w:color="99A4AC" w:themeColor="accent2" w:themeTint="99"/>
        <w:left w:val="single" w:sz="4" w:space="0" w:color="99A4AC" w:themeColor="accent2" w:themeTint="99"/>
        <w:bottom w:val="single" w:sz="4" w:space="0" w:color="99A4AC" w:themeColor="accent2" w:themeTint="99"/>
        <w:right w:val="single" w:sz="4" w:space="0" w:color="99A4AC" w:themeColor="accent2" w:themeTint="99"/>
        <w:insideH w:val="single" w:sz="4" w:space="0" w:color="99A4AC" w:themeColor="accent2" w:themeTint="99"/>
        <w:insideV w:val="single" w:sz="4" w:space="0" w:color="99A4A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0E3" w:themeFill="accent2" w:themeFillTint="33"/>
      </w:tcPr>
    </w:tblStylePr>
    <w:tblStylePr w:type="band1Horz">
      <w:tblPr/>
      <w:tcPr>
        <w:shd w:val="clear" w:color="auto" w:fill="DCE0E3" w:themeFill="accent2" w:themeFillTint="33"/>
      </w:tcPr>
    </w:tblStylePr>
    <w:tblStylePr w:type="neCell">
      <w:tblPr/>
      <w:tcPr>
        <w:tcBorders>
          <w:bottom w:val="single" w:sz="4" w:space="0" w:color="99A4AC" w:themeColor="accent2" w:themeTint="99"/>
        </w:tcBorders>
      </w:tcPr>
    </w:tblStylePr>
    <w:tblStylePr w:type="nwCell">
      <w:tblPr/>
      <w:tcPr>
        <w:tcBorders>
          <w:bottom w:val="single" w:sz="4" w:space="0" w:color="99A4AC" w:themeColor="accent2" w:themeTint="99"/>
        </w:tcBorders>
      </w:tcPr>
    </w:tblStylePr>
    <w:tblStylePr w:type="seCell">
      <w:tblPr/>
      <w:tcPr>
        <w:tcBorders>
          <w:top w:val="single" w:sz="4" w:space="0" w:color="99A4AC" w:themeColor="accent2" w:themeTint="99"/>
        </w:tcBorders>
      </w:tcPr>
    </w:tblStylePr>
    <w:tblStylePr w:type="swCell">
      <w:tblPr/>
      <w:tcPr>
        <w:tcBorders>
          <w:top w:val="single" w:sz="4" w:space="0" w:color="99A4AC" w:themeColor="accent2" w:themeTint="99"/>
        </w:tcBorders>
      </w:tcPr>
    </w:tblStylePr>
  </w:style>
  <w:style w:type="table" w:styleId="GridTable3-Accent1">
    <w:name w:val="Grid Table 3 Accent 1"/>
    <w:basedOn w:val="TableNormal"/>
    <w:uiPriority w:val="48"/>
    <w:rsid w:val="00CF5CF3"/>
    <w:rPr>
      <w:rFonts w:ascii="Arial" w:hAnsi="Arial"/>
    </w:rPr>
    <w:tblPr>
      <w:tblStyleRowBandSize w:val="1"/>
      <w:tblStyleColBandSize w:val="1"/>
      <w:tblBorders>
        <w:top w:val="single" w:sz="4" w:space="0" w:color="45E4FF" w:themeColor="accent1" w:themeTint="99"/>
        <w:left w:val="single" w:sz="4" w:space="0" w:color="45E4FF" w:themeColor="accent1" w:themeTint="99"/>
        <w:bottom w:val="single" w:sz="4" w:space="0" w:color="45E4FF" w:themeColor="accent1" w:themeTint="99"/>
        <w:right w:val="single" w:sz="4" w:space="0" w:color="45E4FF" w:themeColor="accent1" w:themeTint="99"/>
        <w:insideH w:val="single" w:sz="4" w:space="0" w:color="45E4FF" w:themeColor="accent1" w:themeTint="99"/>
        <w:insideV w:val="single" w:sz="4" w:space="0" w:color="45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6FF" w:themeFill="accent1" w:themeFillTint="33"/>
      </w:tcPr>
    </w:tblStylePr>
    <w:tblStylePr w:type="band1Horz">
      <w:tblPr/>
      <w:tcPr>
        <w:shd w:val="clear" w:color="auto" w:fill="C1F6FF" w:themeFill="accent1" w:themeFillTint="33"/>
      </w:tcPr>
    </w:tblStylePr>
    <w:tblStylePr w:type="neCell">
      <w:tblPr/>
      <w:tcPr>
        <w:tcBorders>
          <w:bottom w:val="single" w:sz="4" w:space="0" w:color="45E4FF" w:themeColor="accent1" w:themeTint="99"/>
        </w:tcBorders>
      </w:tcPr>
    </w:tblStylePr>
    <w:tblStylePr w:type="nwCell">
      <w:tblPr/>
      <w:tcPr>
        <w:tcBorders>
          <w:bottom w:val="single" w:sz="4" w:space="0" w:color="45E4FF" w:themeColor="accent1" w:themeTint="99"/>
        </w:tcBorders>
      </w:tcPr>
    </w:tblStylePr>
    <w:tblStylePr w:type="seCell">
      <w:tblPr/>
      <w:tcPr>
        <w:tcBorders>
          <w:top w:val="single" w:sz="4" w:space="0" w:color="45E4FF" w:themeColor="accent1" w:themeTint="99"/>
        </w:tcBorders>
      </w:tcPr>
    </w:tblStylePr>
    <w:tblStylePr w:type="swCell">
      <w:tblPr/>
      <w:tcPr>
        <w:tcBorders>
          <w:top w:val="single" w:sz="4" w:space="0" w:color="45E4FF" w:themeColor="accent1" w:themeTint="99"/>
        </w:tcBorders>
      </w:tcPr>
    </w:tblStylePr>
  </w:style>
  <w:style w:type="table" w:styleId="GridTable3">
    <w:name w:val="Grid Table 3"/>
    <w:basedOn w:val="TableNormal"/>
    <w:uiPriority w:val="48"/>
    <w:rsid w:val="00CF5CF3"/>
    <w:rPr>
      <w:rFonts w:ascii="Arial" w:hAnsi="Ari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2-Accent6">
    <w:name w:val="List Table 2 Accent 6"/>
    <w:basedOn w:val="TableNormal"/>
    <w:uiPriority w:val="47"/>
    <w:rsid w:val="00CF5CF3"/>
    <w:rPr>
      <w:rFonts w:ascii="Arial" w:hAnsi="Arial"/>
    </w:rPr>
    <w:tblPr>
      <w:tblStyleRowBandSize w:val="1"/>
      <w:tblStyleColBandSize w:val="1"/>
      <w:tblBorders>
        <w:top w:val="single" w:sz="4" w:space="0" w:color="FC27A7" w:themeColor="accent6" w:themeTint="99"/>
        <w:bottom w:val="single" w:sz="4" w:space="0" w:color="FC27A7" w:themeColor="accent6" w:themeTint="99"/>
        <w:insideH w:val="single" w:sz="4" w:space="0" w:color="FC27A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B7E1" w:themeFill="accent6" w:themeFillTint="33"/>
      </w:tcPr>
    </w:tblStylePr>
    <w:tblStylePr w:type="band1Horz">
      <w:tblPr/>
      <w:tcPr>
        <w:shd w:val="clear" w:color="auto" w:fill="FEB7E1" w:themeFill="accent6" w:themeFillTint="33"/>
      </w:tcPr>
    </w:tblStylePr>
  </w:style>
  <w:style w:type="table" w:styleId="ListTable2-Accent5">
    <w:name w:val="List Table 2 Accent 5"/>
    <w:basedOn w:val="TableNormal"/>
    <w:uiPriority w:val="47"/>
    <w:rsid w:val="00CF5CF3"/>
    <w:rPr>
      <w:rFonts w:ascii="Arial" w:hAnsi="Arial"/>
    </w:rPr>
    <w:tblPr>
      <w:tblStyleRowBandSize w:val="1"/>
      <w:tblStyleColBandSize w:val="1"/>
      <w:tblBorders>
        <w:top w:val="single" w:sz="4" w:space="0" w:color="A295D0" w:themeColor="accent5" w:themeTint="99"/>
        <w:bottom w:val="single" w:sz="4" w:space="0" w:color="A295D0" w:themeColor="accent5" w:themeTint="99"/>
        <w:insideH w:val="single" w:sz="4" w:space="0" w:color="A295D0"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BEF" w:themeFill="accent5" w:themeFillTint="33"/>
      </w:tcPr>
    </w:tblStylePr>
    <w:tblStylePr w:type="band1Horz">
      <w:tblPr/>
      <w:tcPr>
        <w:shd w:val="clear" w:color="auto" w:fill="E0DBEF" w:themeFill="accent5" w:themeFillTint="33"/>
      </w:tcPr>
    </w:tblStylePr>
  </w:style>
  <w:style w:type="table" w:styleId="ListTable2-Accent4">
    <w:name w:val="List Table 2 Accent 4"/>
    <w:basedOn w:val="TableNormal"/>
    <w:uiPriority w:val="47"/>
    <w:rsid w:val="00CF5CF3"/>
    <w:rPr>
      <w:rFonts w:ascii="Arial" w:hAnsi="Arial"/>
    </w:rPr>
    <w:tblPr>
      <w:tblStyleRowBandSize w:val="1"/>
      <w:tblStyleColBandSize w:val="1"/>
      <w:tblBorders>
        <w:top w:val="single" w:sz="4" w:space="0" w:color="0990FF" w:themeColor="accent4" w:themeTint="99"/>
        <w:bottom w:val="single" w:sz="4" w:space="0" w:color="0990FF" w:themeColor="accent4" w:themeTint="99"/>
        <w:insideH w:val="single" w:sz="4" w:space="0" w:color="0990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DDAFF" w:themeFill="accent4" w:themeFillTint="33"/>
      </w:tcPr>
    </w:tblStylePr>
    <w:tblStylePr w:type="band1Horz">
      <w:tblPr/>
      <w:tcPr>
        <w:shd w:val="clear" w:color="auto" w:fill="ADDAFF" w:themeFill="accent4" w:themeFillTint="33"/>
      </w:tcPr>
    </w:tblStylePr>
  </w:style>
  <w:style w:type="table" w:styleId="ListTable2-Accent3">
    <w:name w:val="List Table 2 Accent 3"/>
    <w:basedOn w:val="TableNormal"/>
    <w:uiPriority w:val="47"/>
    <w:rsid w:val="00CF5CF3"/>
    <w:rPr>
      <w:rFonts w:ascii="Arial" w:hAnsi="Arial"/>
    </w:rPr>
    <w:tblPr>
      <w:tblStyleRowBandSize w:val="1"/>
      <w:tblStyleColBandSize w:val="1"/>
      <w:tblBorders>
        <w:top w:val="single" w:sz="4" w:space="0" w:color="48FFB6" w:themeColor="accent3" w:themeTint="99"/>
        <w:bottom w:val="single" w:sz="4" w:space="0" w:color="48FFB6" w:themeColor="accent3" w:themeTint="99"/>
        <w:insideH w:val="single" w:sz="4" w:space="0" w:color="48FFB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FFE6" w:themeFill="accent3" w:themeFillTint="33"/>
      </w:tcPr>
    </w:tblStylePr>
    <w:tblStylePr w:type="band1Horz">
      <w:tblPr/>
      <w:tcPr>
        <w:shd w:val="clear" w:color="auto" w:fill="C2FFE6" w:themeFill="accent3" w:themeFillTint="33"/>
      </w:tcPr>
    </w:tblStylePr>
  </w:style>
  <w:style w:type="table" w:styleId="ListTable2-Accent2">
    <w:name w:val="List Table 2 Accent 2"/>
    <w:basedOn w:val="TableNormal"/>
    <w:uiPriority w:val="47"/>
    <w:rsid w:val="00CF5CF3"/>
    <w:rPr>
      <w:rFonts w:ascii="Arial" w:hAnsi="Arial"/>
    </w:rPr>
    <w:tblPr>
      <w:tblStyleRowBandSize w:val="1"/>
      <w:tblStyleColBandSize w:val="1"/>
      <w:tblBorders>
        <w:top w:val="single" w:sz="4" w:space="0" w:color="99A4AC" w:themeColor="accent2" w:themeTint="99"/>
        <w:bottom w:val="single" w:sz="4" w:space="0" w:color="99A4AC" w:themeColor="accent2" w:themeTint="99"/>
        <w:insideH w:val="single" w:sz="4" w:space="0" w:color="99A4A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E0E3" w:themeFill="accent2" w:themeFillTint="33"/>
      </w:tcPr>
    </w:tblStylePr>
    <w:tblStylePr w:type="band1Horz">
      <w:tblPr/>
      <w:tcPr>
        <w:shd w:val="clear" w:color="auto" w:fill="DCE0E3" w:themeFill="accent2" w:themeFillTint="33"/>
      </w:tcPr>
    </w:tblStylePr>
  </w:style>
  <w:style w:type="table" w:styleId="ListTable2-Accent1">
    <w:name w:val="List Table 2 Accent 1"/>
    <w:basedOn w:val="TableNormal"/>
    <w:uiPriority w:val="47"/>
    <w:rsid w:val="00CF5CF3"/>
    <w:rPr>
      <w:rFonts w:ascii="Arial" w:hAnsi="Arial"/>
    </w:rPr>
    <w:tblPr>
      <w:tblStyleRowBandSize w:val="1"/>
      <w:tblStyleColBandSize w:val="1"/>
      <w:tblBorders>
        <w:top w:val="single" w:sz="4" w:space="0" w:color="45E4FF" w:themeColor="accent1" w:themeTint="99"/>
        <w:bottom w:val="single" w:sz="4" w:space="0" w:color="45E4FF" w:themeColor="accent1" w:themeTint="99"/>
        <w:insideH w:val="single" w:sz="4" w:space="0" w:color="45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6FF" w:themeFill="accent1" w:themeFillTint="33"/>
      </w:tcPr>
    </w:tblStylePr>
    <w:tblStylePr w:type="band1Horz">
      <w:tblPr/>
      <w:tcPr>
        <w:shd w:val="clear" w:color="auto" w:fill="C1F6FF" w:themeFill="accent1" w:themeFillTint="33"/>
      </w:tcPr>
    </w:tblStylePr>
  </w:style>
  <w:style w:type="table" w:styleId="ListTable2">
    <w:name w:val="List Table 2"/>
    <w:basedOn w:val="TableNormal"/>
    <w:uiPriority w:val="47"/>
    <w:rsid w:val="00CF5CF3"/>
    <w:rPr>
      <w:rFonts w:ascii="Arial" w:hAnsi="Arial"/>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6">
    <w:name w:val="Grid Table 2 Accent 6"/>
    <w:basedOn w:val="TableNormal"/>
    <w:uiPriority w:val="47"/>
    <w:rsid w:val="00CF5CF3"/>
    <w:rPr>
      <w:rFonts w:ascii="Arial" w:hAnsi="Arial"/>
    </w:rPr>
    <w:tblPr>
      <w:tblStyleRowBandSize w:val="1"/>
      <w:tblStyleColBandSize w:val="1"/>
      <w:tblBorders>
        <w:top w:val="single" w:sz="2" w:space="0" w:color="FC27A7" w:themeColor="accent6" w:themeTint="99"/>
        <w:bottom w:val="single" w:sz="2" w:space="0" w:color="FC27A7" w:themeColor="accent6" w:themeTint="99"/>
        <w:insideH w:val="single" w:sz="2" w:space="0" w:color="FC27A7" w:themeColor="accent6" w:themeTint="99"/>
        <w:insideV w:val="single" w:sz="2" w:space="0" w:color="FC27A7" w:themeColor="accent6" w:themeTint="99"/>
      </w:tblBorders>
    </w:tblPr>
    <w:tblStylePr w:type="firstRow">
      <w:rPr>
        <w:b/>
        <w:bCs/>
      </w:rPr>
      <w:tblPr/>
      <w:tcPr>
        <w:tcBorders>
          <w:top w:val="nil"/>
          <w:bottom w:val="single" w:sz="12" w:space="0" w:color="FC27A7" w:themeColor="accent6" w:themeTint="99"/>
          <w:insideH w:val="nil"/>
          <w:insideV w:val="nil"/>
        </w:tcBorders>
        <w:shd w:val="clear" w:color="auto" w:fill="FFFFFF" w:themeFill="background1"/>
      </w:tcPr>
    </w:tblStylePr>
    <w:tblStylePr w:type="lastRow">
      <w:rPr>
        <w:b/>
        <w:bCs/>
      </w:rPr>
      <w:tblPr/>
      <w:tcPr>
        <w:tcBorders>
          <w:top w:val="double" w:sz="2" w:space="0" w:color="FC27A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B7E1" w:themeFill="accent6" w:themeFillTint="33"/>
      </w:tcPr>
    </w:tblStylePr>
    <w:tblStylePr w:type="band1Horz">
      <w:tblPr/>
      <w:tcPr>
        <w:shd w:val="clear" w:color="auto" w:fill="FEB7E1" w:themeFill="accent6" w:themeFillTint="33"/>
      </w:tcPr>
    </w:tblStylePr>
  </w:style>
  <w:style w:type="table" w:styleId="GridTable2-Accent5">
    <w:name w:val="Grid Table 2 Accent 5"/>
    <w:basedOn w:val="TableNormal"/>
    <w:uiPriority w:val="47"/>
    <w:rsid w:val="00CF5CF3"/>
    <w:rPr>
      <w:rFonts w:ascii="Arial" w:hAnsi="Arial"/>
    </w:rPr>
    <w:tblPr>
      <w:tblStyleRowBandSize w:val="1"/>
      <w:tblStyleColBandSize w:val="1"/>
      <w:tblBorders>
        <w:top w:val="single" w:sz="2" w:space="0" w:color="A295D0" w:themeColor="accent5" w:themeTint="99"/>
        <w:bottom w:val="single" w:sz="2" w:space="0" w:color="A295D0" w:themeColor="accent5" w:themeTint="99"/>
        <w:insideH w:val="single" w:sz="2" w:space="0" w:color="A295D0" w:themeColor="accent5" w:themeTint="99"/>
        <w:insideV w:val="single" w:sz="2" w:space="0" w:color="A295D0" w:themeColor="accent5" w:themeTint="99"/>
      </w:tblBorders>
    </w:tblPr>
    <w:tblStylePr w:type="firstRow">
      <w:rPr>
        <w:b/>
        <w:bCs/>
      </w:rPr>
      <w:tblPr/>
      <w:tcPr>
        <w:tcBorders>
          <w:top w:val="nil"/>
          <w:bottom w:val="single" w:sz="12" w:space="0" w:color="A295D0" w:themeColor="accent5" w:themeTint="99"/>
          <w:insideH w:val="nil"/>
          <w:insideV w:val="nil"/>
        </w:tcBorders>
        <w:shd w:val="clear" w:color="auto" w:fill="FFFFFF" w:themeFill="background1"/>
      </w:tcPr>
    </w:tblStylePr>
    <w:tblStylePr w:type="lastRow">
      <w:rPr>
        <w:b/>
        <w:bCs/>
      </w:rPr>
      <w:tblPr/>
      <w:tcPr>
        <w:tcBorders>
          <w:top w:val="double" w:sz="2" w:space="0" w:color="A295D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BEF" w:themeFill="accent5" w:themeFillTint="33"/>
      </w:tcPr>
    </w:tblStylePr>
    <w:tblStylePr w:type="band1Horz">
      <w:tblPr/>
      <w:tcPr>
        <w:shd w:val="clear" w:color="auto" w:fill="E0DBEF" w:themeFill="accent5" w:themeFillTint="33"/>
      </w:tcPr>
    </w:tblStylePr>
  </w:style>
  <w:style w:type="table" w:styleId="GridTable2-Accent4">
    <w:name w:val="Grid Table 2 Accent 4"/>
    <w:basedOn w:val="TableNormal"/>
    <w:uiPriority w:val="47"/>
    <w:rsid w:val="00CF5CF3"/>
    <w:rPr>
      <w:rFonts w:ascii="Arial" w:hAnsi="Arial"/>
    </w:rPr>
    <w:tblPr>
      <w:tblStyleRowBandSize w:val="1"/>
      <w:tblStyleColBandSize w:val="1"/>
      <w:tblBorders>
        <w:top w:val="single" w:sz="2" w:space="0" w:color="0990FF" w:themeColor="accent4" w:themeTint="99"/>
        <w:bottom w:val="single" w:sz="2" w:space="0" w:color="0990FF" w:themeColor="accent4" w:themeTint="99"/>
        <w:insideH w:val="single" w:sz="2" w:space="0" w:color="0990FF" w:themeColor="accent4" w:themeTint="99"/>
        <w:insideV w:val="single" w:sz="2" w:space="0" w:color="0990FF" w:themeColor="accent4" w:themeTint="99"/>
      </w:tblBorders>
    </w:tblPr>
    <w:tblStylePr w:type="firstRow">
      <w:rPr>
        <w:b/>
        <w:bCs/>
      </w:rPr>
      <w:tblPr/>
      <w:tcPr>
        <w:tcBorders>
          <w:top w:val="nil"/>
          <w:bottom w:val="single" w:sz="12" w:space="0" w:color="0990FF" w:themeColor="accent4" w:themeTint="99"/>
          <w:insideH w:val="nil"/>
          <w:insideV w:val="nil"/>
        </w:tcBorders>
        <w:shd w:val="clear" w:color="auto" w:fill="FFFFFF" w:themeFill="background1"/>
      </w:tcPr>
    </w:tblStylePr>
    <w:tblStylePr w:type="lastRow">
      <w:rPr>
        <w:b/>
        <w:bCs/>
      </w:rPr>
      <w:tblPr/>
      <w:tcPr>
        <w:tcBorders>
          <w:top w:val="double" w:sz="2" w:space="0" w:color="0990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DDAFF" w:themeFill="accent4" w:themeFillTint="33"/>
      </w:tcPr>
    </w:tblStylePr>
    <w:tblStylePr w:type="band1Horz">
      <w:tblPr/>
      <w:tcPr>
        <w:shd w:val="clear" w:color="auto" w:fill="ADDAFF" w:themeFill="accent4" w:themeFillTint="33"/>
      </w:tcPr>
    </w:tblStylePr>
  </w:style>
  <w:style w:type="table" w:styleId="GridTable2-Accent3">
    <w:name w:val="Grid Table 2 Accent 3"/>
    <w:basedOn w:val="TableNormal"/>
    <w:uiPriority w:val="47"/>
    <w:rsid w:val="00CF5CF3"/>
    <w:rPr>
      <w:rFonts w:ascii="Arial" w:hAnsi="Arial"/>
    </w:rPr>
    <w:tblPr>
      <w:tblStyleRowBandSize w:val="1"/>
      <w:tblStyleColBandSize w:val="1"/>
      <w:tblBorders>
        <w:top w:val="single" w:sz="2" w:space="0" w:color="48FFB6" w:themeColor="accent3" w:themeTint="99"/>
        <w:bottom w:val="single" w:sz="2" w:space="0" w:color="48FFB6" w:themeColor="accent3" w:themeTint="99"/>
        <w:insideH w:val="single" w:sz="2" w:space="0" w:color="48FFB6" w:themeColor="accent3" w:themeTint="99"/>
        <w:insideV w:val="single" w:sz="2" w:space="0" w:color="48FFB6" w:themeColor="accent3" w:themeTint="99"/>
      </w:tblBorders>
    </w:tblPr>
    <w:tblStylePr w:type="firstRow">
      <w:rPr>
        <w:b/>
        <w:bCs/>
      </w:rPr>
      <w:tblPr/>
      <w:tcPr>
        <w:tcBorders>
          <w:top w:val="nil"/>
          <w:bottom w:val="single" w:sz="12" w:space="0" w:color="48FFB6" w:themeColor="accent3" w:themeTint="99"/>
          <w:insideH w:val="nil"/>
          <w:insideV w:val="nil"/>
        </w:tcBorders>
        <w:shd w:val="clear" w:color="auto" w:fill="FFFFFF" w:themeFill="background1"/>
      </w:tcPr>
    </w:tblStylePr>
    <w:tblStylePr w:type="lastRow">
      <w:rPr>
        <w:b/>
        <w:bCs/>
      </w:rPr>
      <w:tblPr/>
      <w:tcPr>
        <w:tcBorders>
          <w:top w:val="double" w:sz="2" w:space="0" w:color="48FFB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FFE6" w:themeFill="accent3" w:themeFillTint="33"/>
      </w:tcPr>
    </w:tblStylePr>
    <w:tblStylePr w:type="band1Horz">
      <w:tblPr/>
      <w:tcPr>
        <w:shd w:val="clear" w:color="auto" w:fill="C2FFE6" w:themeFill="accent3" w:themeFillTint="33"/>
      </w:tcPr>
    </w:tblStylePr>
  </w:style>
  <w:style w:type="table" w:styleId="GridTable2-Accent2">
    <w:name w:val="Grid Table 2 Accent 2"/>
    <w:basedOn w:val="TableNormal"/>
    <w:uiPriority w:val="47"/>
    <w:rsid w:val="00CF5CF3"/>
    <w:rPr>
      <w:rFonts w:ascii="Arial" w:hAnsi="Arial"/>
    </w:rPr>
    <w:tblPr>
      <w:tblStyleRowBandSize w:val="1"/>
      <w:tblStyleColBandSize w:val="1"/>
      <w:tblBorders>
        <w:top w:val="single" w:sz="2" w:space="0" w:color="99A4AC" w:themeColor="accent2" w:themeTint="99"/>
        <w:bottom w:val="single" w:sz="2" w:space="0" w:color="99A4AC" w:themeColor="accent2" w:themeTint="99"/>
        <w:insideH w:val="single" w:sz="2" w:space="0" w:color="99A4AC" w:themeColor="accent2" w:themeTint="99"/>
        <w:insideV w:val="single" w:sz="2" w:space="0" w:color="99A4AC" w:themeColor="accent2" w:themeTint="99"/>
      </w:tblBorders>
    </w:tblPr>
    <w:tblStylePr w:type="firstRow">
      <w:rPr>
        <w:b/>
        <w:bCs/>
      </w:rPr>
      <w:tblPr/>
      <w:tcPr>
        <w:tcBorders>
          <w:top w:val="nil"/>
          <w:bottom w:val="single" w:sz="12" w:space="0" w:color="99A4AC" w:themeColor="accent2" w:themeTint="99"/>
          <w:insideH w:val="nil"/>
          <w:insideV w:val="nil"/>
        </w:tcBorders>
        <w:shd w:val="clear" w:color="auto" w:fill="FFFFFF" w:themeFill="background1"/>
      </w:tcPr>
    </w:tblStylePr>
    <w:tblStylePr w:type="lastRow">
      <w:rPr>
        <w:b/>
        <w:bCs/>
      </w:rPr>
      <w:tblPr/>
      <w:tcPr>
        <w:tcBorders>
          <w:top w:val="double" w:sz="2" w:space="0" w:color="99A4A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E0E3" w:themeFill="accent2" w:themeFillTint="33"/>
      </w:tcPr>
    </w:tblStylePr>
    <w:tblStylePr w:type="band1Horz">
      <w:tblPr/>
      <w:tcPr>
        <w:shd w:val="clear" w:color="auto" w:fill="DCE0E3" w:themeFill="accent2" w:themeFillTint="33"/>
      </w:tcPr>
    </w:tblStylePr>
  </w:style>
  <w:style w:type="table" w:styleId="GridTable2-Accent1">
    <w:name w:val="Grid Table 2 Accent 1"/>
    <w:basedOn w:val="TableNormal"/>
    <w:uiPriority w:val="47"/>
    <w:rsid w:val="00CF5CF3"/>
    <w:rPr>
      <w:rFonts w:ascii="Arial" w:hAnsi="Arial"/>
    </w:rPr>
    <w:tblPr>
      <w:tblStyleRowBandSize w:val="1"/>
      <w:tblStyleColBandSize w:val="1"/>
      <w:tblBorders>
        <w:top w:val="single" w:sz="2" w:space="0" w:color="45E4FF" w:themeColor="accent1" w:themeTint="99"/>
        <w:bottom w:val="single" w:sz="2" w:space="0" w:color="45E4FF" w:themeColor="accent1" w:themeTint="99"/>
        <w:insideH w:val="single" w:sz="2" w:space="0" w:color="45E4FF" w:themeColor="accent1" w:themeTint="99"/>
        <w:insideV w:val="single" w:sz="2" w:space="0" w:color="45E4FF" w:themeColor="accent1" w:themeTint="99"/>
      </w:tblBorders>
    </w:tblPr>
    <w:tblStylePr w:type="firstRow">
      <w:rPr>
        <w:b/>
        <w:bCs/>
      </w:rPr>
      <w:tblPr/>
      <w:tcPr>
        <w:tcBorders>
          <w:top w:val="nil"/>
          <w:bottom w:val="single" w:sz="12" w:space="0" w:color="45E4FF" w:themeColor="accent1" w:themeTint="99"/>
          <w:insideH w:val="nil"/>
          <w:insideV w:val="nil"/>
        </w:tcBorders>
        <w:shd w:val="clear" w:color="auto" w:fill="FFFFFF" w:themeFill="background1"/>
      </w:tcPr>
    </w:tblStylePr>
    <w:tblStylePr w:type="lastRow">
      <w:rPr>
        <w:b/>
        <w:bCs/>
      </w:rPr>
      <w:tblPr/>
      <w:tcPr>
        <w:tcBorders>
          <w:top w:val="double" w:sz="2" w:space="0" w:color="45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6FF" w:themeFill="accent1" w:themeFillTint="33"/>
      </w:tcPr>
    </w:tblStylePr>
    <w:tblStylePr w:type="band1Horz">
      <w:tblPr/>
      <w:tcPr>
        <w:shd w:val="clear" w:color="auto" w:fill="C1F6FF" w:themeFill="accent1" w:themeFillTint="33"/>
      </w:tcPr>
    </w:tblStylePr>
  </w:style>
  <w:style w:type="table" w:styleId="GridTable2">
    <w:name w:val="Grid Table 2"/>
    <w:basedOn w:val="TableNormal"/>
    <w:uiPriority w:val="47"/>
    <w:rsid w:val="00CF5CF3"/>
    <w:rPr>
      <w:rFonts w:ascii="Arial" w:hAnsi="Arial"/>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6">
    <w:name w:val="List Table 1 Light Accent 6"/>
    <w:basedOn w:val="TableNormal"/>
    <w:uiPriority w:val="46"/>
    <w:rsid w:val="00CF5CF3"/>
    <w:rPr>
      <w:rFonts w:ascii="Arial" w:hAnsi="Arial"/>
    </w:rPr>
    <w:tblPr>
      <w:tblStyleRowBandSize w:val="1"/>
      <w:tblStyleColBandSize w:val="1"/>
    </w:tblPr>
    <w:tblStylePr w:type="firstRow">
      <w:rPr>
        <w:b/>
        <w:bCs/>
      </w:rPr>
      <w:tblPr/>
      <w:tcPr>
        <w:tcBorders>
          <w:bottom w:val="single" w:sz="4" w:space="0" w:color="FC27A7" w:themeColor="accent6" w:themeTint="99"/>
        </w:tcBorders>
      </w:tcPr>
    </w:tblStylePr>
    <w:tblStylePr w:type="lastRow">
      <w:rPr>
        <w:b/>
        <w:bCs/>
      </w:rPr>
      <w:tblPr/>
      <w:tcPr>
        <w:tcBorders>
          <w:top w:val="single" w:sz="4" w:space="0" w:color="FC27A7" w:themeColor="accent6" w:themeTint="99"/>
        </w:tcBorders>
      </w:tcPr>
    </w:tblStylePr>
    <w:tblStylePr w:type="firstCol">
      <w:rPr>
        <w:b/>
        <w:bCs/>
      </w:rPr>
    </w:tblStylePr>
    <w:tblStylePr w:type="lastCol">
      <w:rPr>
        <w:b/>
        <w:bCs/>
      </w:rPr>
    </w:tblStylePr>
    <w:tblStylePr w:type="band1Vert">
      <w:tblPr/>
      <w:tcPr>
        <w:shd w:val="clear" w:color="auto" w:fill="FEB7E1" w:themeFill="accent6" w:themeFillTint="33"/>
      </w:tcPr>
    </w:tblStylePr>
    <w:tblStylePr w:type="band1Horz">
      <w:tblPr/>
      <w:tcPr>
        <w:shd w:val="clear" w:color="auto" w:fill="FEB7E1" w:themeFill="accent6" w:themeFillTint="33"/>
      </w:tcPr>
    </w:tblStylePr>
  </w:style>
  <w:style w:type="table" w:styleId="ListTable1Light-Accent5">
    <w:name w:val="List Table 1 Light Accent 5"/>
    <w:basedOn w:val="TableNormal"/>
    <w:uiPriority w:val="46"/>
    <w:rsid w:val="00CF5CF3"/>
    <w:rPr>
      <w:rFonts w:ascii="Arial" w:hAnsi="Arial"/>
    </w:rPr>
    <w:tblPr>
      <w:tblStyleRowBandSize w:val="1"/>
      <w:tblStyleColBandSize w:val="1"/>
    </w:tblPr>
    <w:tblStylePr w:type="firstRow">
      <w:rPr>
        <w:b/>
        <w:bCs/>
      </w:rPr>
      <w:tblPr/>
      <w:tcPr>
        <w:tcBorders>
          <w:bottom w:val="single" w:sz="4" w:space="0" w:color="A295D0" w:themeColor="accent5" w:themeTint="99"/>
        </w:tcBorders>
      </w:tcPr>
    </w:tblStylePr>
    <w:tblStylePr w:type="lastRow">
      <w:rPr>
        <w:b/>
        <w:bCs/>
      </w:rPr>
      <w:tblPr/>
      <w:tcPr>
        <w:tcBorders>
          <w:top w:val="single" w:sz="4" w:space="0" w:color="A295D0" w:themeColor="accent5" w:themeTint="99"/>
        </w:tcBorders>
      </w:tcPr>
    </w:tblStylePr>
    <w:tblStylePr w:type="firstCol">
      <w:rPr>
        <w:b/>
        <w:bCs/>
      </w:rPr>
    </w:tblStylePr>
    <w:tblStylePr w:type="lastCol">
      <w:rPr>
        <w:b/>
        <w:bCs/>
      </w:rPr>
    </w:tblStylePr>
    <w:tblStylePr w:type="band1Vert">
      <w:tblPr/>
      <w:tcPr>
        <w:shd w:val="clear" w:color="auto" w:fill="E0DBEF" w:themeFill="accent5" w:themeFillTint="33"/>
      </w:tcPr>
    </w:tblStylePr>
    <w:tblStylePr w:type="band1Horz">
      <w:tblPr/>
      <w:tcPr>
        <w:shd w:val="clear" w:color="auto" w:fill="E0DBEF" w:themeFill="accent5" w:themeFillTint="33"/>
      </w:tcPr>
    </w:tblStylePr>
  </w:style>
  <w:style w:type="table" w:styleId="ListTable1Light-Accent4">
    <w:name w:val="List Table 1 Light Accent 4"/>
    <w:basedOn w:val="TableNormal"/>
    <w:uiPriority w:val="46"/>
    <w:rsid w:val="00CF5CF3"/>
    <w:rPr>
      <w:rFonts w:ascii="Arial" w:hAnsi="Arial"/>
    </w:rPr>
    <w:tblPr>
      <w:tblStyleRowBandSize w:val="1"/>
      <w:tblStyleColBandSize w:val="1"/>
    </w:tblPr>
    <w:tblStylePr w:type="firstRow">
      <w:rPr>
        <w:b/>
        <w:bCs/>
      </w:rPr>
      <w:tblPr/>
      <w:tcPr>
        <w:tcBorders>
          <w:bottom w:val="single" w:sz="4" w:space="0" w:color="0990FF" w:themeColor="accent4" w:themeTint="99"/>
        </w:tcBorders>
      </w:tcPr>
    </w:tblStylePr>
    <w:tblStylePr w:type="lastRow">
      <w:rPr>
        <w:b/>
        <w:bCs/>
      </w:rPr>
      <w:tblPr/>
      <w:tcPr>
        <w:tcBorders>
          <w:top w:val="single" w:sz="4" w:space="0" w:color="0990FF" w:themeColor="accent4" w:themeTint="99"/>
        </w:tcBorders>
      </w:tcPr>
    </w:tblStylePr>
    <w:tblStylePr w:type="firstCol">
      <w:rPr>
        <w:b/>
        <w:bCs/>
      </w:rPr>
    </w:tblStylePr>
    <w:tblStylePr w:type="lastCol">
      <w:rPr>
        <w:b/>
        <w:bCs/>
      </w:rPr>
    </w:tblStylePr>
    <w:tblStylePr w:type="band1Vert">
      <w:tblPr/>
      <w:tcPr>
        <w:shd w:val="clear" w:color="auto" w:fill="ADDAFF" w:themeFill="accent4" w:themeFillTint="33"/>
      </w:tcPr>
    </w:tblStylePr>
    <w:tblStylePr w:type="band1Horz">
      <w:tblPr/>
      <w:tcPr>
        <w:shd w:val="clear" w:color="auto" w:fill="ADDAFF" w:themeFill="accent4" w:themeFillTint="33"/>
      </w:tcPr>
    </w:tblStylePr>
  </w:style>
  <w:style w:type="table" w:styleId="ListTable1Light-Accent3">
    <w:name w:val="List Table 1 Light Accent 3"/>
    <w:basedOn w:val="TableNormal"/>
    <w:uiPriority w:val="46"/>
    <w:rsid w:val="00CF5CF3"/>
    <w:rPr>
      <w:rFonts w:ascii="Arial" w:hAnsi="Arial"/>
    </w:rPr>
    <w:tblPr>
      <w:tblStyleRowBandSize w:val="1"/>
      <w:tblStyleColBandSize w:val="1"/>
    </w:tblPr>
    <w:tblStylePr w:type="firstRow">
      <w:rPr>
        <w:b/>
        <w:bCs/>
      </w:rPr>
      <w:tblPr/>
      <w:tcPr>
        <w:tcBorders>
          <w:bottom w:val="single" w:sz="4" w:space="0" w:color="48FFB6" w:themeColor="accent3" w:themeTint="99"/>
        </w:tcBorders>
      </w:tcPr>
    </w:tblStylePr>
    <w:tblStylePr w:type="lastRow">
      <w:rPr>
        <w:b/>
        <w:bCs/>
      </w:rPr>
      <w:tblPr/>
      <w:tcPr>
        <w:tcBorders>
          <w:top w:val="single" w:sz="4" w:space="0" w:color="48FFB6" w:themeColor="accent3" w:themeTint="99"/>
        </w:tcBorders>
      </w:tcPr>
    </w:tblStylePr>
    <w:tblStylePr w:type="firstCol">
      <w:rPr>
        <w:b/>
        <w:bCs/>
      </w:rPr>
    </w:tblStylePr>
    <w:tblStylePr w:type="lastCol">
      <w:rPr>
        <w:b/>
        <w:bCs/>
      </w:rPr>
    </w:tblStylePr>
    <w:tblStylePr w:type="band1Vert">
      <w:tblPr/>
      <w:tcPr>
        <w:shd w:val="clear" w:color="auto" w:fill="C2FFE6" w:themeFill="accent3" w:themeFillTint="33"/>
      </w:tcPr>
    </w:tblStylePr>
    <w:tblStylePr w:type="band1Horz">
      <w:tblPr/>
      <w:tcPr>
        <w:shd w:val="clear" w:color="auto" w:fill="C2FFE6" w:themeFill="accent3" w:themeFillTint="33"/>
      </w:tcPr>
    </w:tblStylePr>
  </w:style>
  <w:style w:type="table" w:styleId="ListTable1Light-Accent2">
    <w:name w:val="List Table 1 Light Accent 2"/>
    <w:basedOn w:val="TableNormal"/>
    <w:uiPriority w:val="46"/>
    <w:rsid w:val="00CF5CF3"/>
    <w:rPr>
      <w:rFonts w:ascii="Arial" w:hAnsi="Arial"/>
    </w:rPr>
    <w:tblPr>
      <w:tblStyleRowBandSize w:val="1"/>
      <w:tblStyleColBandSize w:val="1"/>
    </w:tblPr>
    <w:tblStylePr w:type="firstRow">
      <w:rPr>
        <w:b/>
        <w:bCs/>
      </w:rPr>
      <w:tblPr/>
      <w:tcPr>
        <w:tcBorders>
          <w:bottom w:val="single" w:sz="4" w:space="0" w:color="99A4AC" w:themeColor="accent2" w:themeTint="99"/>
        </w:tcBorders>
      </w:tcPr>
    </w:tblStylePr>
    <w:tblStylePr w:type="lastRow">
      <w:rPr>
        <w:b/>
        <w:bCs/>
      </w:rPr>
      <w:tblPr/>
      <w:tcPr>
        <w:tcBorders>
          <w:top w:val="single" w:sz="4" w:space="0" w:color="99A4AC" w:themeColor="accent2" w:themeTint="99"/>
        </w:tcBorders>
      </w:tcPr>
    </w:tblStylePr>
    <w:tblStylePr w:type="firstCol">
      <w:rPr>
        <w:b/>
        <w:bCs/>
      </w:rPr>
    </w:tblStylePr>
    <w:tblStylePr w:type="lastCol">
      <w:rPr>
        <w:b/>
        <w:bCs/>
      </w:rPr>
    </w:tblStylePr>
    <w:tblStylePr w:type="band1Vert">
      <w:tblPr/>
      <w:tcPr>
        <w:shd w:val="clear" w:color="auto" w:fill="DCE0E3" w:themeFill="accent2" w:themeFillTint="33"/>
      </w:tcPr>
    </w:tblStylePr>
    <w:tblStylePr w:type="band1Horz">
      <w:tblPr/>
      <w:tcPr>
        <w:shd w:val="clear" w:color="auto" w:fill="DCE0E3" w:themeFill="accent2" w:themeFillTint="33"/>
      </w:tcPr>
    </w:tblStylePr>
  </w:style>
  <w:style w:type="table" w:styleId="ListTable1Light-Accent1">
    <w:name w:val="List Table 1 Light Accent 1"/>
    <w:basedOn w:val="TableNormal"/>
    <w:uiPriority w:val="46"/>
    <w:rsid w:val="00CF5CF3"/>
    <w:rPr>
      <w:rFonts w:ascii="Arial" w:hAnsi="Arial"/>
    </w:rPr>
    <w:tblPr>
      <w:tblStyleRowBandSize w:val="1"/>
      <w:tblStyleColBandSize w:val="1"/>
    </w:tblPr>
    <w:tblStylePr w:type="firstRow">
      <w:rPr>
        <w:b/>
        <w:bCs/>
      </w:rPr>
      <w:tblPr/>
      <w:tcPr>
        <w:tcBorders>
          <w:bottom w:val="single" w:sz="4" w:space="0" w:color="45E4FF" w:themeColor="accent1" w:themeTint="99"/>
        </w:tcBorders>
      </w:tcPr>
    </w:tblStylePr>
    <w:tblStylePr w:type="lastRow">
      <w:rPr>
        <w:b/>
        <w:bCs/>
      </w:rPr>
      <w:tblPr/>
      <w:tcPr>
        <w:tcBorders>
          <w:top w:val="single" w:sz="4" w:space="0" w:color="45E4FF" w:themeColor="accent1" w:themeTint="99"/>
        </w:tcBorders>
      </w:tcPr>
    </w:tblStylePr>
    <w:tblStylePr w:type="firstCol">
      <w:rPr>
        <w:b/>
        <w:bCs/>
      </w:rPr>
    </w:tblStylePr>
    <w:tblStylePr w:type="lastCol">
      <w:rPr>
        <w:b/>
        <w:bCs/>
      </w:rPr>
    </w:tblStylePr>
    <w:tblStylePr w:type="band1Vert">
      <w:tblPr/>
      <w:tcPr>
        <w:shd w:val="clear" w:color="auto" w:fill="C1F6FF" w:themeFill="accent1" w:themeFillTint="33"/>
      </w:tcPr>
    </w:tblStylePr>
    <w:tblStylePr w:type="band1Horz">
      <w:tblPr/>
      <w:tcPr>
        <w:shd w:val="clear" w:color="auto" w:fill="C1F6FF" w:themeFill="accent1" w:themeFillTint="33"/>
      </w:tcPr>
    </w:tblStylePr>
  </w:style>
  <w:style w:type="table" w:styleId="ListTable1Light">
    <w:name w:val="List Table 1 Light"/>
    <w:basedOn w:val="TableNormal"/>
    <w:uiPriority w:val="46"/>
    <w:rsid w:val="00CF5CF3"/>
    <w:rPr>
      <w:rFonts w:ascii="Arial" w:hAnsi="Arial"/>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semiHidden/>
    <w:unhideWhenUsed/>
    <w:qFormat/>
    <w:rsid w:val="00CF5CF3"/>
    <w:pPr>
      <w:keepLines/>
      <w:numPr>
        <w:numId w:val="0"/>
      </w:numPr>
      <w:spacing w:before="240" w:after="0"/>
      <w:outlineLvl w:val="9"/>
    </w:pPr>
    <w:rPr>
      <w:rFonts w:asciiTheme="majorHAnsi" w:eastAsiaTheme="majorEastAsia" w:hAnsiTheme="majorHAnsi" w:cstheme="majorBidi"/>
      <w:b w:val="0"/>
      <w:bCs w:val="0"/>
      <w:kern w:val="0"/>
      <w:sz w:val="32"/>
    </w:rPr>
  </w:style>
  <w:style w:type="paragraph" w:styleId="ListParagraph">
    <w:name w:val="List Paragraph"/>
    <w:basedOn w:val="Normal"/>
    <w:uiPriority w:val="34"/>
    <w:qFormat/>
    <w:rsid w:val="00011131"/>
    <w:pPr>
      <w:spacing w:after="200" w:line="276" w:lineRule="auto"/>
      <w:ind w:left="720"/>
      <w:contextualSpacing/>
    </w:pPr>
    <w:rPr>
      <w:rFonts w:asciiTheme="minorHAnsi" w:eastAsiaTheme="minorHAnsi" w:hAnsiTheme="minorHAnsi" w:cstheme="minorBidi"/>
      <w:color w:val="auto"/>
      <w:sz w:val="22"/>
      <w:szCs w:val="22"/>
    </w:rPr>
  </w:style>
  <w:style w:type="paragraph" w:styleId="Revision">
    <w:name w:val="Revision"/>
    <w:hidden/>
    <w:uiPriority w:val="99"/>
    <w:semiHidden/>
    <w:rsid w:val="00E862E2"/>
    <w:rPr>
      <w:rFonts w:ascii="Arial" w:hAnsi="Arial"/>
      <w:color w:val="5B6770" w:themeColor="text2"/>
      <w:sz w:val="24"/>
      <w:szCs w:val="24"/>
    </w:rPr>
  </w:style>
  <w:style w:type="table" w:customStyle="1" w:styleId="TableGrid10">
    <w:name w:val="Table Grid1"/>
    <w:basedOn w:val="TableNormal"/>
    <w:next w:val="TableGrid"/>
    <w:uiPriority w:val="39"/>
    <w:rsid w:val="007D58D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7877">
      <w:bodyDiv w:val="1"/>
      <w:marLeft w:val="0"/>
      <w:marRight w:val="0"/>
      <w:marTop w:val="0"/>
      <w:marBottom w:val="0"/>
      <w:divBdr>
        <w:top w:val="none" w:sz="0" w:space="0" w:color="auto"/>
        <w:left w:val="none" w:sz="0" w:space="0" w:color="auto"/>
        <w:bottom w:val="none" w:sz="0" w:space="0" w:color="auto"/>
        <w:right w:val="none" w:sz="0" w:space="0" w:color="auto"/>
      </w:divBdr>
    </w:div>
    <w:div w:id="119153012">
      <w:bodyDiv w:val="1"/>
      <w:marLeft w:val="0"/>
      <w:marRight w:val="0"/>
      <w:marTop w:val="0"/>
      <w:marBottom w:val="0"/>
      <w:divBdr>
        <w:top w:val="none" w:sz="0" w:space="0" w:color="auto"/>
        <w:left w:val="none" w:sz="0" w:space="0" w:color="auto"/>
        <w:bottom w:val="none" w:sz="0" w:space="0" w:color="auto"/>
        <w:right w:val="none" w:sz="0" w:space="0" w:color="auto"/>
      </w:divBdr>
    </w:div>
    <w:div w:id="198708897">
      <w:bodyDiv w:val="1"/>
      <w:marLeft w:val="0"/>
      <w:marRight w:val="0"/>
      <w:marTop w:val="0"/>
      <w:marBottom w:val="0"/>
      <w:divBdr>
        <w:top w:val="none" w:sz="0" w:space="0" w:color="auto"/>
        <w:left w:val="none" w:sz="0" w:space="0" w:color="auto"/>
        <w:bottom w:val="none" w:sz="0" w:space="0" w:color="auto"/>
        <w:right w:val="none" w:sz="0" w:space="0" w:color="auto"/>
      </w:divBdr>
    </w:div>
    <w:div w:id="213929730">
      <w:bodyDiv w:val="1"/>
      <w:marLeft w:val="0"/>
      <w:marRight w:val="0"/>
      <w:marTop w:val="0"/>
      <w:marBottom w:val="0"/>
      <w:divBdr>
        <w:top w:val="none" w:sz="0" w:space="0" w:color="auto"/>
        <w:left w:val="none" w:sz="0" w:space="0" w:color="auto"/>
        <w:bottom w:val="none" w:sz="0" w:space="0" w:color="auto"/>
        <w:right w:val="none" w:sz="0" w:space="0" w:color="auto"/>
      </w:divBdr>
    </w:div>
    <w:div w:id="370493751">
      <w:bodyDiv w:val="1"/>
      <w:marLeft w:val="0"/>
      <w:marRight w:val="0"/>
      <w:marTop w:val="0"/>
      <w:marBottom w:val="0"/>
      <w:divBdr>
        <w:top w:val="none" w:sz="0" w:space="0" w:color="auto"/>
        <w:left w:val="none" w:sz="0" w:space="0" w:color="auto"/>
        <w:bottom w:val="none" w:sz="0" w:space="0" w:color="auto"/>
        <w:right w:val="none" w:sz="0" w:space="0" w:color="auto"/>
      </w:divBdr>
    </w:div>
    <w:div w:id="392435283">
      <w:bodyDiv w:val="1"/>
      <w:marLeft w:val="0"/>
      <w:marRight w:val="0"/>
      <w:marTop w:val="0"/>
      <w:marBottom w:val="0"/>
      <w:divBdr>
        <w:top w:val="none" w:sz="0" w:space="0" w:color="auto"/>
        <w:left w:val="none" w:sz="0" w:space="0" w:color="auto"/>
        <w:bottom w:val="none" w:sz="0" w:space="0" w:color="auto"/>
        <w:right w:val="none" w:sz="0" w:space="0" w:color="auto"/>
      </w:divBdr>
    </w:div>
    <w:div w:id="403647276">
      <w:bodyDiv w:val="1"/>
      <w:marLeft w:val="0"/>
      <w:marRight w:val="0"/>
      <w:marTop w:val="0"/>
      <w:marBottom w:val="0"/>
      <w:divBdr>
        <w:top w:val="none" w:sz="0" w:space="0" w:color="auto"/>
        <w:left w:val="none" w:sz="0" w:space="0" w:color="auto"/>
        <w:bottom w:val="none" w:sz="0" w:space="0" w:color="auto"/>
        <w:right w:val="none" w:sz="0" w:space="0" w:color="auto"/>
      </w:divBdr>
    </w:div>
    <w:div w:id="530265007">
      <w:bodyDiv w:val="1"/>
      <w:marLeft w:val="0"/>
      <w:marRight w:val="0"/>
      <w:marTop w:val="0"/>
      <w:marBottom w:val="0"/>
      <w:divBdr>
        <w:top w:val="none" w:sz="0" w:space="0" w:color="auto"/>
        <w:left w:val="none" w:sz="0" w:space="0" w:color="auto"/>
        <w:bottom w:val="none" w:sz="0" w:space="0" w:color="auto"/>
        <w:right w:val="none" w:sz="0" w:space="0" w:color="auto"/>
      </w:divBdr>
    </w:div>
    <w:div w:id="851068498">
      <w:bodyDiv w:val="1"/>
      <w:marLeft w:val="0"/>
      <w:marRight w:val="0"/>
      <w:marTop w:val="0"/>
      <w:marBottom w:val="0"/>
      <w:divBdr>
        <w:top w:val="none" w:sz="0" w:space="0" w:color="auto"/>
        <w:left w:val="none" w:sz="0" w:space="0" w:color="auto"/>
        <w:bottom w:val="none" w:sz="0" w:space="0" w:color="auto"/>
        <w:right w:val="none" w:sz="0" w:space="0" w:color="auto"/>
      </w:divBdr>
    </w:div>
    <w:div w:id="957416370">
      <w:bodyDiv w:val="1"/>
      <w:marLeft w:val="0"/>
      <w:marRight w:val="0"/>
      <w:marTop w:val="0"/>
      <w:marBottom w:val="0"/>
      <w:divBdr>
        <w:top w:val="none" w:sz="0" w:space="0" w:color="auto"/>
        <w:left w:val="none" w:sz="0" w:space="0" w:color="auto"/>
        <w:bottom w:val="none" w:sz="0" w:space="0" w:color="auto"/>
        <w:right w:val="none" w:sz="0" w:space="0" w:color="auto"/>
      </w:divBdr>
    </w:div>
    <w:div w:id="1026098978">
      <w:bodyDiv w:val="1"/>
      <w:marLeft w:val="0"/>
      <w:marRight w:val="0"/>
      <w:marTop w:val="0"/>
      <w:marBottom w:val="0"/>
      <w:divBdr>
        <w:top w:val="none" w:sz="0" w:space="0" w:color="auto"/>
        <w:left w:val="none" w:sz="0" w:space="0" w:color="auto"/>
        <w:bottom w:val="none" w:sz="0" w:space="0" w:color="auto"/>
        <w:right w:val="none" w:sz="0" w:space="0" w:color="auto"/>
      </w:divBdr>
    </w:div>
    <w:div w:id="1071855538">
      <w:bodyDiv w:val="1"/>
      <w:marLeft w:val="0"/>
      <w:marRight w:val="0"/>
      <w:marTop w:val="0"/>
      <w:marBottom w:val="0"/>
      <w:divBdr>
        <w:top w:val="none" w:sz="0" w:space="0" w:color="auto"/>
        <w:left w:val="none" w:sz="0" w:space="0" w:color="auto"/>
        <w:bottom w:val="none" w:sz="0" w:space="0" w:color="auto"/>
        <w:right w:val="none" w:sz="0" w:space="0" w:color="auto"/>
      </w:divBdr>
    </w:div>
    <w:div w:id="1296371471">
      <w:bodyDiv w:val="1"/>
      <w:marLeft w:val="0"/>
      <w:marRight w:val="0"/>
      <w:marTop w:val="0"/>
      <w:marBottom w:val="0"/>
      <w:divBdr>
        <w:top w:val="none" w:sz="0" w:space="0" w:color="auto"/>
        <w:left w:val="none" w:sz="0" w:space="0" w:color="auto"/>
        <w:bottom w:val="none" w:sz="0" w:space="0" w:color="auto"/>
        <w:right w:val="none" w:sz="0" w:space="0" w:color="auto"/>
      </w:divBdr>
    </w:div>
    <w:div w:id="1349402641">
      <w:bodyDiv w:val="1"/>
      <w:marLeft w:val="0"/>
      <w:marRight w:val="0"/>
      <w:marTop w:val="0"/>
      <w:marBottom w:val="0"/>
      <w:divBdr>
        <w:top w:val="none" w:sz="0" w:space="0" w:color="auto"/>
        <w:left w:val="none" w:sz="0" w:space="0" w:color="auto"/>
        <w:bottom w:val="none" w:sz="0" w:space="0" w:color="auto"/>
        <w:right w:val="none" w:sz="0" w:space="0" w:color="auto"/>
      </w:divBdr>
    </w:div>
    <w:div w:id="1356888013">
      <w:bodyDiv w:val="1"/>
      <w:marLeft w:val="0"/>
      <w:marRight w:val="0"/>
      <w:marTop w:val="0"/>
      <w:marBottom w:val="0"/>
      <w:divBdr>
        <w:top w:val="none" w:sz="0" w:space="0" w:color="auto"/>
        <w:left w:val="none" w:sz="0" w:space="0" w:color="auto"/>
        <w:bottom w:val="none" w:sz="0" w:space="0" w:color="auto"/>
        <w:right w:val="none" w:sz="0" w:space="0" w:color="auto"/>
      </w:divBdr>
    </w:div>
    <w:div w:id="1516109868">
      <w:bodyDiv w:val="1"/>
      <w:marLeft w:val="0"/>
      <w:marRight w:val="0"/>
      <w:marTop w:val="0"/>
      <w:marBottom w:val="0"/>
      <w:divBdr>
        <w:top w:val="none" w:sz="0" w:space="0" w:color="auto"/>
        <w:left w:val="none" w:sz="0" w:space="0" w:color="auto"/>
        <w:bottom w:val="none" w:sz="0" w:space="0" w:color="auto"/>
        <w:right w:val="none" w:sz="0" w:space="0" w:color="auto"/>
      </w:divBdr>
    </w:div>
    <w:div w:id="1636177709">
      <w:bodyDiv w:val="1"/>
      <w:marLeft w:val="0"/>
      <w:marRight w:val="0"/>
      <w:marTop w:val="0"/>
      <w:marBottom w:val="0"/>
      <w:divBdr>
        <w:top w:val="none" w:sz="0" w:space="0" w:color="auto"/>
        <w:left w:val="none" w:sz="0" w:space="0" w:color="auto"/>
        <w:bottom w:val="none" w:sz="0" w:space="0" w:color="auto"/>
        <w:right w:val="none" w:sz="0" w:space="0" w:color="auto"/>
      </w:divBdr>
    </w:div>
    <w:div w:id="1653410932">
      <w:bodyDiv w:val="1"/>
      <w:marLeft w:val="0"/>
      <w:marRight w:val="0"/>
      <w:marTop w:val="0"/>
      <w:marBottom w:val="0"/>
      <w:divBdr>
        <w:top w:val="none" w:sz="0" w:space="0" w:color="auto"/>
        <w:left w:val="none" w:sz="0" w:space="0" w:color="auto"/>
        <w:bottom w:val="none" w:sz="0" w:space="0" w:color="auto"/>
        <w:right w:val="none" w:sz="0" w:space="0" w:color="auto"/>
      </w:divBdr>
    </w:div>
    <w:div w:id="1862553285">
      <w:bodyDiv w:val="1"/>
      <w:marLeft w:val="0"/>
      <w:marRight w:val="0"/>
      <w:marTop w:val="0"/>
      <w:marBottom w:val="0"/>
      <w:divBdr>
        <w:top w:val="none" w:sz="0" w:space="0" w:color="auto"/>
        <w:left w:val="none" w:sz="0" w:space="0" w:color="auto"/>
        <w:bottom w:val="none" w:sz="0" w:space="0" w:color="auto"/>
        <w:right w:val="none" w:sz="0" w:space="0" w:color="auto"/>
      </w:divBdr>
    </w:div>
    <w:div w:id="1914391782">
      <w:bodyDiv w:val="1"/>
      <w:marLeft w:val="0"/>
      <w:marRight w:val="0"/>
      <w:marTop w:val="0"/>
      <w:marBottom w:val="0"/>
      <w:divBdr>
        <w:top w:val="none" w:sz="0" w:space="0" w:color="auto"/>
        <w:left w:val="none" w:sz="0" w:space="0" w:color="auto"/>
        <w:bottom w:val="none" w:sz="0" w:space="0" w:color="auto"/>
        <w:right w:val="none" w:sz="0" w:space="0" w:color="auto"/>
      </w:divBdr>
    </w:div>
    <w:div w:id="2034113779">
      <w:bodyDiv w:val="1"/>
      <w:marLeft w:val="0"/>
      <w:marRight w:val="0"/>
      <w:marTop w:val="0"/>
      <w:marBottom w:val="0"/>
      <w:divBdr>
        <w:top w:val="none" w:sz="0" w:space="0" w:color="auto"/>
        <w:left w:val="none" w:sz="0" w:space="0" w:color="auto"/>
        <w:bottom w:val="none" w:sz="0" w:space="0" w:color="auto"/>
        <w:right w:val="none" w:sz="0" w:space="0" w:color="auto"/>
      </w:divBdr>
    </w:div>
    <w:div w:id="213798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cid:image001.png@01DA2E7F.F21D9440" TargetMode="External"/><Relationship Id="rId26" Type="http://schemas.openxmlformats.org/officeDocument/2006/relationships/image" Target="media/image12.emf"/><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emf"/><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9.emf"/><Relationship Id="rId28" Type="http://schemas.openxmlformats.org/officeDocument/2006/relationships/image" Target="media/image14.emf"/><Relationship Id="rId10" Type="http://schemas.openxmlformats.org/officeDocument/2006/relationships/endnotes" Target="endnotes.xml"/><Relationship Id="rId19" Type="http://schemas.openxmlformats.org/officeDocument/2006/relationships/chart" Target="charts/chart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8.png"/><Relationship Id="rId27" Type="http://schemas.openxmlformats.org/officeDocument/2006/relationships/image" Target="media/image13.emf"/><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horne\Application%20Data\Microsoft\Templates\requirements.dot" TargetMode="Externa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326360695692328"/>
          <c:y val="0.2243689808280436"/>
          <c:w val="0.8749720545582268"/>
          <c:h val="0.54335442102515186"/>
        </c:manualLayout>
      </c:layout>
      <c:lineChart>
        <c:grouping val="standard"/>
        <c:varyColors val="0"/>
        <c:ser>
          <c:idx val="2"/>
          <c:order val="0"/>
          <c:tx>
            <c:strRef>
              <c:f>Sheet1!$T$2</c:f>
              <c:strCache>
                <c:ptCount val="1"/>
                <c:pt idx="0">
                  <c:v>ERS Generator Capacity (Procured)</c:v>
                </c:pt>
              </c:strCache>
            </c:strRef>
          </c:tx>
          <c:marker>
            <c:symbol val="none"/>
          </c:marker>
          <c:cat>
            <c:strRef>
              <c:f>(Sheet1!$Q$10:$Q$33,Sheet1!$Q$35:$Q$41)</c:f>
              <c:strCache>
                <c:ptCount val="31"/>
                <c:pt idx="0">
                  <c:v>JunSep14</c:v>
                </c:pt>
                <c:pt idx="1">
                  <c:v>Oct14Jan15</c:v>
                </c:pt>
                <c:pt idx="2">
                  <c:v>FebMay15</c:v>
                </c:pt>
                <c:pt idx="3">
                  <c:v>JunSep15</c:v>
                </c:pt>
                <c:pt idx="4">
                  <c:v>Oct15Jan16</c:v>
                </c:pt>
                <c:pt idx="5">
                  <c:v>FebMay16</c:v>
                </c:pt>
                <c:pt idx="6">
                  <c:v>JunSep16</c:v>
                </c:pt>
                <c:pt idx="7">
                  <c:v>Oct16Jan17</c:v>
                </c:pt>
                <c:pt idx="8">
                  <c:v>FebMay17</c:v>
                </c:pt>
                <c:pt idx="9">
                  <c:v>JunSep17</c:v>
                </c:pt>
                <c:pt idx="10">
                  <c:v>Oct17Jan18</c:v>
                </c:pt>
                <c:pt idx="11">
                  <c:v>FebMay18</c:v>
                </c:pt>
                <c:pt idx="12">
                  <c:v>JunSep18</c:v>
                </c:pt>
                <c:pt idx="13">
                  <c:v>Oct18Jan19</c:v>
                </c:pt>
                <c:pt idx="14">
                  <c:v>FebMay19</c:v>
                </c:pt>
                <c:pt idx="15">
                  <c:v>JunSep19</c:v>
                </c:pt>
                <c:pt idx="16">
                  <c:v>Oct19Jan20</c:v>
                </c:pt>
                <c:pt idx="17">
                  <c:v>FebMay20</c:v>
                </c:pt>
                <c:pt idx="18">
                  <c:v>JunSep20</c:v>
                </c:pt>
                <c:pt idx="19">
                  <c:v>Oct20Jan21</c:v>
                </c:pt>
                <c:pt idx="20">
                  <c:v>FebMay21</c:v>
                </c:pt>
                <c:pt idx="21">
                  <c:v>FebMay21(R)</c:v>
                </c:pt>
                <c:pt idx="22">
                  <c:v>JunSep21</c:v>
                </c:pt>
                <c:pt idx="23">
                  <c:v>OctNov21</c:v>
                </c:pt>
                <c:pt idx="24">
                  <c:v>AprMay22</c:v>
                </c:pt>
                <c:pt idx="25">
                  <c:v>JunSep22</c:v>
                </c:pt>
                <c:pt idx="26">
                  <c:v>OctNov22</c:v>
                </c:pt>
                <c:pt idx="27">
                  <c:v>Dec22Mar23</c:v>
                </c:pt>
                <c:pt idx="28">
                  <c:v>AprMay23</c:v>
                </c:pt>
                <c:pt idx="29">
                  <c:v>JunSep23</c:v>
                </c:pt>
                <c:pt idx="30">
                  <c:v>OctNov23</c:v>
                </c:pt>
              </c:strCache>
              <c:extLst/>
            </c:strRef>
          </c:cat>
          <c:val>
            <c:numRef>
              <c:f>(Sheet1!$T$9:$T$32,Sheet1!$T$34:$T$40)</c:f>
              <c:numCache>
                <c:formatCode>0</c:formatCode>
                <c:ptCount val="31"/>
                <c:pt idx="0">
                  <c:v>191.79002431399792</c:v>
                </c:pt>
                <c:pt idx="1">
                  <c:v>171.13154371584699</c:v>
                </c:pt>
                <c:pt idx="2">
                  <c:v>223.50313579410772</c:v>
                </c:pt>
                <c:pt idx="3">
                  <c:v>245.2698957971518</c:v>
                </c:pt>
                <c:pt idx="4">
                  <c:v>262.47964754098359</c:v>
                </c:pt>
                <c:pt idx="5">
                  <c:v>287.90054182187606</c:v>
                </c:pt>
                <c:pt idx="6">
                  <c:v>297.10685842232181</c:v>
                </c:pt>
                <c:pt idx="7">
                  <c:v>288.22916393442625</c:v>
                </c:pt>
                <c:pt idx="8">
                  <c:v>308.90582458516758</c:v>
                </c:pt>
                <c:pt idx="9">
                  <c:v>299.72579715178881</c:v>
                </c:pt>
                <c:pt idx="10">
                  <c:v>307.05079234972681</c:v>
                </c:pt>
                <c:pt idx="11">
                  <c:v>282.62868269556384</c:v>
                </c:pt>
                <c:pt idx="12">
                  <c:v>264.65740264138162</c:v>
                </c:pt>
                <c:pt idx="13">
                  <c:v>283.43106557377047</c:v>
                </c:pt>
                <c:pt idx="14">
                  <c:v>298.89742634608876</c:v>
                </c:pt>
                <c:pt idx="15">
                  <c:v>299.49340395970819</c:v>
                </c:pt>
                <c:pt idx="16">
                  <c:v>277.89745901639344</c:v>
                </c:pt>
                <c:pt idx="17">
                  <c:v>274.37196579749406</c:v>
                </c:pt>
                <c:pt idx="18" formatCode="General">
                  <c:v>266</c:v>
                </c:pt>
                <c:pt idx="19" formatCode="General">
                  <c:v>265</c:v>
                </c:pt>
                <c:pt idx="20" formatCode="General">
                  <c:v>289</c:v>
                </c:pt>
                <c:pt idx="21" formatCode="General">
                  <c:v>307</c:v>
                </c:pt>
                <c:pt idx="22" formatCode="General">
                  <c:v>307</c:v>
                </c:pt>
                <c:pt idx="23" formatCode="General">
                  <c:v>248</c:v>
                </c:pt>
                <c:pt idx="24" formatCode="General">
                  <c:v>274</c:v>
                </c:pt>
                <c:pt idx="25" formatCode="General">
                  <c:v>284</c:v>
                </c:pt>
                <c:pt idx="26" formatCode="General">
                  <c:v>240</c:v>
                </c:pt>
                <c:pt idx="27" formatCode="General">
                  <c:v>251</c:v>
                </c:pt>
                <c:pt idx="28">
                  <c:v>335.95625215294524</c:v>
                </c:pt>
                <c:pt idx="29" formatCode="General">
                  <c:v>223</c:v>
                </c:pt>
                <c:pt idx="30">
                  <c:v>325.25580601092895</c:v>
                </c:pt>
              </c:numCache>
              <c:extLst/>
            </c:numRef>
          </c:val>
          <c:smooth val="0"/>
          <c:extLst>
            <c:ext xmlns:c16="http://schemas.microsoft.com/office/drawing/2014/chart" uri="{C3380CC4-5D6E-409C-BE32-E72D297353CC}">
              <c16:uniqueId val="{00000000-DBF4-44EF-BD29-5555DD171DF5}"/>
            </c:ext>
          </c:extLst>
        </c:ser>
        <c:dLbls>
          <c:showLegendKey val="0"/>
          <c:showVal val="0"/>
          <c:showCatName val="0"/>
          <c:showSerName val="0"/>
          <c:showPercent val="0"/>
          <c:showBubbleSize val="0"/>
        </c:dLbls>
        <c:smooth val="0"/>
        <c:axId val="134845928"/>
        <c:axId val="134846320"/>
      </c:lineChart>
      <c:catAx>
        <c:axId val="134845928"/>
        <c:scaling>
          <c:orientation val="minMax"/>
        </c:scaling>
        <c:delete val="0"/>
        <c:axPos val="b"/>
        <c:title>
          <c:tx>
            <c:rich>
              <a:bodyPr/>
              <a:lstStyle/>
              <a:p>
                <a:pPr>
                  <a:defRPr sz="800"/>
                </a:pPr>
                <a:r>
                  <a:rPr lang="en-US" sz="800"/>
                  <a:t>Contract</a:t>
                </a:r>
                <a:r>
                  <a:rPr lang="en-US" sz="800" baseline="0"/>
                  <a:t> Term</a:t>
                </a:r>
                <a:endParaRPr lang="en-US" sz="800"/>
              </a:p>
            </c:rich>
          </c:tx>
          <c:layout>
            <c:manualLayout>
              <c:xMode val="edge"/>
              <c:yMode val="edge"/>
              <c:x val="0.42047689295606616"/>
              <c:y val="0.94054645301863482"/>
            </c:manualLayout>
          </c:layout>
          <c:overlay val="0"/>
        </c:title>
        <c:numFmt formatCode="General" sourceLinked="0"/>
        <c:majorTickMark val="none"/>
        <c:minorTickMark val="none"/>
        <c:tickLblPos val="nextTo"/>
        <c:txPr>
          <a:bodyPr/>
          <a:lstStyle/>
          <a:p>
            <a:pPr>
              <a:defRPr sz="800"/>
            </a:pPr>
            <a:endParaRPr lang="en-US"/>
          </a:p>
        </c:txPr>
        <c:crossAx val="134846320"/>
        <c:crosses val="autoZero"/>
        <c:auto val="1"/>
        <c:lblAlgn val="ctr"/>
        <c:lblOffset val="100"/>
        <c:noMultiLvlLbl val="0"/>
      </c:catAx>
      <c:valAx>
        <c:axId val="134846320"/>
        <c:scaling>
          <c:orientation val="minMax"/>
        </c:scaling>
        <c:delete val="0"/>
        <c:axPos val="l"/>
        <c:majorGridlines/>
        <c:title>
          <c:tx>
            <c:rich>
              <a:bodyPr rot="-5400000" vert="horz"/>
              <a:lstStyle/>
              <a:p>
                <a:pPr>
                  <a:defRPr/>
                </a:pPr>
                <a:r>
                  <a:rPr lang="en-US"/>
                  <a:t>MW Procured</a:t>
                </a:r>
              </a:p>
            </c:rich>
          </c:tx>
          <c:overlay val="0"/>
        </c:title>
        <c:numFmt formatCode="0" sourceLinked="1"/>
        <c:majorTickMark val="none"/>
        <c:minorTickMark val="none"/>
        <c:tickLblPos val="nextTo"/>
        <c:spPr>
          <a:ln w="9525">
            <a:noFill/>
          </a:ln>
        </c:spPr>
        <c:crossAx val="134845928"/>
        <c:crosses val="autoZero"/>
        <c:crossBetween val="between"/>
      </c:valAx>
    </c:plotArea>
    <c:legend>
      <c:legendPos val="b"/>
      <c:legendEntry>
        <c:idx val="0"/>
        <c:txPr>
          <a:bodyPr/>
          <a:lstStyle/>
          <a:p>
            <a:pPr>
              <a:defRPr sz="1400"/>
            </a:pPr>
            <a:endParaRPr lang="en-US"/>
          </a:p>
        </c:txPr>
      </c:legendEntry>
      <c:layout>
        <c:manualLayout>
          <c:xMode val="edge"/>
          <c:yMode val="edge"/>
          <c:x val="0.15810958414534154"/>
          <c:y val="7.5449858743699499E-2"/>
          <c:w val="0.76482595413278254"/>
          <c:h val="5.6931636818335289E-2"/>
        </c:manualLayout>
      </c:layout>
      <c:overlay val="0"/>
    </c:legend>
    <c:plotVisOnly val="1"/>
    <c:dispBlanksAs val="gap"/>
    <c:showDLblsOverMax val="0"/>
  </c:chart>
  <c:externalData r:id="rId2">
    <c:autoUpdate val="0"/>
  </c:externalData>
  <c:userShapes r:id="rId3"/>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1"/>
          <c:order val="1"/>
          <c:tx>
            <c:v>Capacity Procured</c:v>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cat>
            <c:strRef>
              <c:f>Sheet1!$Q$15:$Q$41</c:f>
              <c:strCache>
                <c:ptCount val="27"/>
                <c:pt idx="0">
                  <c:v>FebMay16</c:v>
                </c:pt>
                <c:pt idx="1">
                  <c:v>JunSep16</c:v>
                </c:pt>
                <c:pt idx="2">
                  <c:v>Oct16Jan17</c:v>
                </c:pt>
                <c:pt idx="3">
                  <c:v>FebMay17</c:v>
                </c:pt>
                <c:pt idx="4">
                  <c:v>JunSep17</c:v>
                </c:pt>
                <c:pt idx="5">
                  <c:v>Oct17Jan18</c:v>
                </c:pt>
                <c:pt idx="6">
                  <c:v>FebMay18</c:v>
                </c:pt>
                <c:pt idx="7">
                  <c:v>JunSep18</c:v>
                </c:pt>
                <c:pt idx="8">
                  <c:v>Oct18Jan19</c:v>
                </c:pt>
                <c:pt idx="9">
                  <c:v>FebMay19</c:v>
                </c:pt>
                <c:pt idx="10">
                  <c:v>JunSep19</c:v>
                </c:pt>
                <c:pt idx="11">
                  <c:v>Oct19Jan20</c:v>
                </c:pt>
                <c:pt idx="12">
                  <c:v>FebMay20</c:v>
                </c:pt>
                <c:pt idx="13">
                  <c:v>JunSep20</c:v>
                </c:pt>
                <c:pt idx="14">
                  <c:v>Oct20Jan21</c:v>
                </c:pt>
                <c:pt idx="15">
                  <c:v>FebMay21</c:v>
                </c:pt>
                <c:pt idx="16">
                  <c:v>FebMay21(R)</c:v>
                </c:pt>
                <c:pt idx="17">
                  <c:v>JunSep21</c:v>
                </c:pt>
                <c:pt idx="18">
                  <c:v>OctNov21</c:v>
                </c:pt>
                <c:pt idx="19">
                  <c:v>Dec21Mar22</c:v>
                </c:pt>
                <c:pt idx="20">
                  <c:v>AprMay22</c:v>
                </c:pt>
                <c:pt idx="21">
                  <c:v>JunSep22</c:v>
                </c:pt>
                <c:pt idx="22">
                  <c:v>OctNov22</c:v>
                </c:pt>
                <c:pt idx="23">
                  <c:v>Dec22Mar23</c:v>
                </c:pt>
                <c:pt idx="24">
                  <c:v>AprMay23</c:v>
                </c:pt>
                <c:pt idx="25">
                  <c:v>JunSep23</c:v>
                </c:pt>
                <c:pt idx="26">
                  <c:v>OctNov23</c:v>
                </c:pt>
              </c:strCache>
            </c:strRef>
          </c:cat>
          <c:val>
            <c:numRef>
              <c:f>Sheet1!$S$15:$S$41</c:f>
              <c:numCache>
                <c:formatCode>0</c:formatCode>
                <c:ptCount val="27"/>
                <c:pt idx="0">
                  <c:v>865.37871374440238</c:v>
                </c:pt>
                <c:pt idx="1">
                  <c:v>815.51556693989073</c:v>
                </c:pt>
                <c:pt idx="2">
                  <c:v>806.09547849644434</c:v>
                </c:pt>
                <c:pt idx="3">
                  <c:v>856.31924279263626</c:v>
                </c:pt>
                <c:pt idx="4">
                  <c:v>843.1628825136612</c:v>
                </c:pt>
                <c:pt idx="5">
                  <c:v>807.61584490348798</c:v>
                </c:pt>
                <c:pt idx="6">
                  <c:v>797.10763630206577</c:v>
                </c:pt>
                <c:pt idx="7">
                  <c:v>846.58877049180319</c:v>
                </c:pt>
                <c:pt idx="8">
                  <c:v>843.88087165594311</c:v>
                </c:pt>
                <c:pt idx="9">
                  <c:v>866.88576345953447</c:v>
                </c:pt>
                <c:pt idx="10">
                  <c:v>851.97107377049178</c:v>
                </c:pt>
                <c:pt idx="11">
                  <c:v>883.96143311886215</c:v>
                </c:pt>
                <c:pt idx="12">
                  <c:v>889.11266339315944</c:v>
                </c:pt>
                <c:pt idx="13">
                  <c:v>922.59611649170324</c:v>
                </c:pt>
                <c:pt idx="14">
                  <c:v>941.20928005418227</c:v>
                </c:pt>
                <c:pt idx="15">
                  <c:v>995.37190065995139</c:v>
                </c:pt>
                <c:pt idx="16">
                  <c:v>773.75970992694465</c:v>
                </c:pt>
                <c:pt idx="17">
                  <c:v>962.90064356435653</c:v>
                </c:pt>
                <c:pt idx="18">
                  <c:v>968.78340341296939</c:v>
                </c:pt>
                <c:pt idx="19">
                  <c:v>920.65149121598347</c:v>
                </c:pt>
                <c:pt idx="20">
                  <c:v>938.88274316939896</c:v>
                </c:pt>
                <c:pt idx="21">
                  <c:v>887.13145765027321</c:v>
                </c:pt>
                <c:pt idx="22">
                  <c:v>954.34008122866908</c:v>
                </c:pt>
                <c:pt idx="23">
                  <c:v>939.71576575955919</c:v>
                </c:pt>
                <c:pt idx="24">
                  <c:v>942.73574316939903</c:v>
                </c:pt>
                <c:pt idx="25">
                  <c:v>982.63623702185782</c:v>
                </c:pt>
                <c:pt idx="26">
                  <c:v>933.29903822525603</c:v>
                </c:pt>
              </c:numCache>
            </c:numRef>
          </c:val>
          <c:smooth val="0"/>
          <c:extLst>
            <c:ext xmlns:c16="http://schemas.microsoft.com/office/drawing/2014/chart" uri="{C3380CC4-5D6E-409C-BE32-E72D297353CC}">
              <c16:uniqueId val="{00000001-A306-463F-BD46-08A755383017}"/>
            </c:ext>
          </c:extLst>
        </c:ser>
        <c:dLbls>
          <c:showLegendKey val="0"/>
          <c:showVal val="0"/>
          <c:showCatName val="0"/>
          <c:showSerName val="0"/>
          <c:showPercent val="0"/>
          <c:showBubbleSize val="0"/>
        </c:dLbls>
        <c:marker val="1"/>
        <c:smooth val="0"/>
        <c:axId val="188464456"/>
        <c:axId val="188465632"/>
      </c:lineChart>
      <c:lineChart>
        <c:grouping val="standard"/>
        <c:varyColors val="0"/>
        <c:ser>
          <c:idx val="0"/>
          <c:order val="0"/>
          <c:tx>
            <c:strRef>
              <c:f>Sheet1!$R$2</c:f>
              <c:strCache>
                <c:ptCount val="1"/>
                <c:pt idx="0">
                  <c:v>Unit Cost</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strRef>
              <c:f>Sheet1!$Q$15:$Q$41</c:f>
              <c:strCache>
                <c:ptCount val="27"/>
                <c:pt idx="0">
                  <c:v>FebMay16</c:v>
                </c:pt>
                <c:pt idx="1">
                  <c:v>JunSep16</c:v>
                </c:pt>
                <c:pt idx="2">
                  <c:v>Oct16Jan17</c:v>
                </c:pt>
                <c:pt idx="3">
                  <c:v>FebMay17</c:v>
                </c:pt>
                <c:pt idx="4">
                  <c:v>JunSep17</c:v>
                </c:pt>
                <c:pt idx="5">
                  <c:v>Oct17Jan18</c:v>
                </c:pt>
                <c:pt idx="6">
                  <c:v>FebMay18</c:v>
                </c:pt>
                <c:pt idx="7">
                  <c:v>JunSep18</c:v>
                </c:pt>
                <c:pt idx="8">
                  <c:v>Oct18Jan19</c:v>
                </c:pt>
                <c:pt idx="9">
                  <c:v>FebMay19</c:v>
                </c:pt>
                <c:pt idx="10">
                  <c:v>JunSep19</c:v>
                </c:pt>
                <c:pt idx="11">
                  <c:v>Oct19Jan20</c:v>
                </c:pt>
                <c:pt idx="12">
                  <c:v>FebMay20</c:v>
                </c:pt>
                <c:pt idx="13">
                  <c:v>JunSep20</c:v>
                </c:pt>
                <c:pt idx="14">
                  <c:v>Oct20Jan21</c:v>
                </c:pt>
                <c:pt idx="15">
                  <c:v>FebMay21</c:v>
                </c:pt>
                <c:pt idx="16">
                  <c:v>FebMay21(R)</c:v>
                </c:pt>
                <c:pt idx="17">
                  <c:v>JunSep21</c:v>
                </c:pt>
                <c:pt idx="18">
                  <c:v>OctNov21</c:v>
                </c:pt>
                <c:pt idx="19">
                  <c:v>Dec21Mar22</c:v>
                </c:pt>
                <c:pt idx="20">
                  <c:v>AprMay22</c:v>
                </c:pt>
                <c:pt idx="21">
                  <c:v>JunSep22</c:v>
                </c:pt>
                <c:pt idx="22">
                  <c:v>OctNov22</c:v>
                </c:pt>
                <c:pt idx="23">
                  <c:v>Dec22Mar23</c:v>
                </c:pt>
                <c:pt idx="24">
                  <c:v>AprMay23</c:v>
                </c:pt>
                <c:pt idx="25">
                  <c:v>JunSep23</c:v>
                </c:pt>
                <c:pt idx="26">
                  <c:v>OctNov23</c:v>
                </c:pt>
              </c:strCache>
            </c:strRef>
          </c:cat>
          <c:val>
            <c:numRef>
              <c:f>Sheet1!$R$15:$R$41</c:f>
              <c:numCache>
                <c:formatCode>"$"#,##0.00</c:formatCode>
                <c:ptCount val="27"/>
                <c:pt idx="0">
                  <c:v>7.7079639114521603</c:v>
                </c:pt>
                <c:pt idx="1">
                  <c:v>5.7751169411344678</c:v>
                </c:pt>
                <c:pt idx="2">
                  <c:v>7.0577600558744438</c:v>
                </c:pt>
                <c:pt idx="3">
                  <c:v>7.9244280197754238</c:v>
                </c:pt>
                <c:pt idx="4">
                  <c:v>5.5528234072709868</c:v>
                </c:pt>
                <c:pt idx="5">
                  <c:v>7.1055865231899489</c:v>
                </c:pt>
                <c:pt idx="6">
                  <c:v>8.1712419162262009</c:v>
                </c:pt>
                <c:pt idx="7">
                  <c:v>5.3248182419584298</c:v>
                </c:pt>
                <c:pt idx="8">
                  <c:v>6.7578374199723896</c:v>
                </c:pt>
                <c:pt idx="9">
                  <c:v>7.2010395278890682</c:v>
                </c:pt>
                <c:pt idx="10">
                  <c:v>5.5979076395244221</c:v>
                </c:pt>
                <c:pt idx="11">
                  <c:v>6.2468216224703381</c:v>
                </c:pt>
                <c:pt idx="12">
                  <c:v>4.4384478390152893</c:v>
                </c:pt>
                <c:pt idx="13">
                  <c:v>6.3455409216328169</c:v>
                </c:pt>
                <c:pt idx="14">
                  <c:v>7.312883966577016</c:v>
                </c:pt>
                <c:pt idx="15">
                  <c:v>4.3465028409554485</c:v>
                </c:pt>
                <c:pt idx="16">
                  <c:v>4.2627031076355371</c:v>
                </c:pt>
                <c:pt idx="17">
                  <c:v>5.6143394776116669</c:v>
                </c:pt>
                <c:pt idx="18">
                  <c:v>6.8336384007547952</c:v>
                </c:pt>
                <c:pt idx="19">
                  <c:v>9.6483768169143183</c:v>
                </c:pt>
                <c:pt idx="20">
                  <c:v>1.4995647919907036</c:v>
                </c:pt>
                <c:pt idx="21">
                  <c:v>7.1648830246874784</c:v>
                </c:pt>
                <c:pt idx="22">
                  <c:v>3.1435645183057175</c:v>
                </c:pt>
                <c:pt idx="23">
                  <c:v>7.9658413089067448</c:v>
                </c:pt>
                <c:pt idx="24">
                  <c:v>1.5641802608999118</c:v>
                </c:pt>
                <c:pt idx="25">
                  <c:v>9.8925736462504226</c:v>
                </c:pt>
                <c:pt idx="26">
                  <c:v>3.7511625015773706</c:v>
                </c:pt>
              </c:numCache>
            </c:numRef>
          </c:val>
          <c:smooth val="0"/>
          <c:extLst>
            <c:ext xmlns:c16="http://schemas.microsoft.com/office/drawing/2014/chart" uri="{C3380CC4-5D6E-409C-BE32-E72D297353CC}">
              <c16:uniqueId val="{00000003-A306-463F-BD46-08A755383017}"/>
            </c:ext>
          </c:extLst>
        </c:ser>
        <c:dLbls>
          <c:showLegendKey val="0"/>
          <c:showVal val="0"/>
          <c:showCatName val="0"/>
          <c:showSerName val="0"/>
          <c:showPercent val="0"/>
          <c:showBubbleSize val="0"/>
        </c:dLbls>
        <c:marker val="1"/>
        <c:smooth val="0"/>
        <c:axId val="188466024"/>
        <c:axId val="188468768"/>
      </c:lineChart>
      <c:catAx>
        <c:axId val="188464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465632"/>
        <c:crosses val="autoZero"/>
        <c:auto val="1"/>
        <c:lblAlgn val="ctr"/>
        <c:lblOffset val="100"/>
        <c:noMultiLvlLbl val="0"/>
      </c:catAx>
      <c:valAx>
        <c:axId val="188465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MWs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464456"/>
        <c:crosses val="autoZero"/>
        <c:crossBetween val="between"/>
      </c:valAx>
      <c:valAx>
        <c:axId val="18846876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Unit</a:t>
                </a:r>
                <a:r>
                  <a:rPr lang="en-US" baseline="0"/>
                  <a:t> Cost $/MW/Hr</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466024"/>
        <c:crosses val="max"/>
        <c:crossBetween val="between"/>
      </c:valAx>
      <c:catAx>
        <c:axId val="188466024"/>
        <c:scaling>
          <c:orientation val="minMax"/>
        </c:scaling>
        <c:delete val="1"/>
        <c:axPos val="b"/>
        <c:numFmt formatCode="General" sourceLinked="1"/>
        <c:majorTickMark val="out"/>
        <c:minorTickMark val="none"/>
        <c:tickLblPos val="nextTo"/>
        <c:crossAx val="188468768"/>
        <c:crosses val="autoZero"/>
        <c:auto val="1"/>
        <c:lblAlgn val="ctr"/>
        <c:lblOffset val="100"/>
        <c:noMultiLvlLbl val="0"/>
      </c:catAx>
      <c:spPr>
        <a:noFill/>
        <a:ln>
          <a:noFill/>
        </a:ln>
        <a:effectLst/>
      </c:spPr>
    </c:plotArea>
    <c:legend>
      <c:legendPos val="b"/>
      <c:layout>
        <c:manualLayout>
          <c:xMode val="edge"/>
          <c:yMode val="edge"/>
          <c:x val="0.15604962228480224"/>
          <c:y val="0.91261519393409141"/>
          <c:w val="0.75416893453550105"/>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0.28656</cdr:x>
      <cdr:y>0.07102</cdr:y>
    </cdr:from>
    <cdr:to>
      <cdr:x>0.7439</cdr:x>
      <cdr:y>0.1542</cdr:y>
    </cdr:to>
    <cdr:sp macro="" textlink="">
      <cdr:nvSpPr>
        <cdr:cNvPr id="2" name="TextBox 1"/>
        <cdr:cNvSpPr txBox="1"/>
      </cdr:nvSpPr>
      <cdr:spPr>
        <a:xfrm xmlns:a="http://schemas.openxmlformats.org/drawingml/2006/main">
          <a:off x="1839357" y="271963"/>
          <a:ext cx="2935574" cy="31854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ERCOT Identity">
      <a:dk1>
        <a:sysClr val="windowText" lastClr="000000"/>
      </a:dk1>
      <a:lt1>
        <a:srgbClr val="FFFFFF"/>
      </a:lt1>
      <a:dk2>
        <a:srgbClr val="5B6770"/>
      </a:dk2>
      <a:lt2>
        <a:srgbClr val="FFFFFF"/>
      </a:lt2>
      <a:accent1>
        <a:srgbClr val="00ACC8"/>
      </a:accent1>
      <a:accent2>
        <a:srgbClr val="5B6770"/>
      </a:accent2>
      <a:accent3>
        <a:srgbClr val="00CE7D"/>
      </a:accent3>
      <a:accent4>
        <a:srgbClr val="003764"/>
      </a:accent4>
      <a:accent5>
        <a:srgbClr val="6650B1"/>
      </a:accent5>
      <a:accent6>
        <a:srgbClr val="910258"/>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formation_x0020_Classification xmlns="c34af464-7aa1-4edd-9be4-83dffc1cb926">ERCOT Limited</Information_x0020_Classification>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E2BDB63875B034C8B32518C6496ADD1" ma:contentTypeVersion="0" ma:contentTypeDescription="Create a new document." ma:contentTypeScope="" ma:versionID="2e49056469cb591c67c33c10da96a071">
  <xsd:schema xmlns:xsd="http://www.w3.org/2001/XMLSchema" xmlns:xs="http://www.w3.org/2001/XMLSchema" xmlns:p="http://schemas.microsoft.com/office/2006/metadata/properties" xmlns:ns2="c34af464-7aa1-4edd-9be4-83dffc1cb926" targetNamespace="http://schemas.microsoft.com/office/2006/metadata/properties" ma:root="true" ma:fieldsID="3a653c66fd0ce9b40621f227f901e684" ns2:_="">
    <xsd:import namespace="c34af464-7aa1-4edd-9be4-83dffc1cb926"/>
    <xsd:element name="properties">
      <xsd:complexType>
        <xsd:sequence>
          <xsd:element name="documentManagement">
            <xsd:complexType>
              <xsd:all>
                <xsd:element ref="ns2:Information_x0020_Classification"/>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4af464-7aa1-4edd-9be4-83dffc1cb926" elementFormDefault="qualified">
    <xsd:import namespace="http://schemas.microsoft.com/office/2006/documentManagement/types"/>
    <xsd:import namespace="http://schemas.microsoft.com/office/infopath/2007/PartnerControls"/>
    <xsd:element name="Information_x0020_Classification" ma:index="8" ma:displayName="Information Classification" ma:default="ERCOT Limited" ma:description="ERCOT Information Classification" ma:format="Dropdown" ma:internalName="Information_x0020_Classification">
      <xsd:simpleType>
        <xsd:restriction base="dms:Choice">
          <xsd:enumeration value="Public"/>
          <xsd:enumeration value="ERCOT Limited"/>
          <xsd:enumeration value="ERCOT Confidential"/>
          <xsd:enumeration value="ERCOT Restric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6B531F-D0ED-46B7-A12C-9BE405BC59E6}">
  <ds:schemaRefs>
    <ds:schemaRef ds:uri="http://schemas.openxmlformats.org/officeDocument/2006/bibliography"/>
  </ds:schemaRefs>
</ds:datastoreItem>
</file>

<file path=customXml/itemProps2.xml><?xml version="1.0" encoding="utf-8"?>
<ds:datastoreItem xmlns:ds="http://schemas.openxmlformats.org/officeDocument/2006/customXml" ds:itemID="{2E71517A-4A0F-45A8-A7E4-5693E24E1080}">
  <ds:schemaRefs>
    <ds:schemaRef ds:uri="http://schemas.microsoft.com/sharepoint/v3/contenttype/forms"/>
  </ds:schemaRefs>
</ds:datastoreItem>
</file>

<file path=customXml/itemProps3.xml><?xml version="1.0" encoding="utf-8"?>
<ds:datastoreItem xmlns:ds="http://schemas.openxmlformats.org/officeDocument/2006/customXml" ds:itemID="{DCEC748C-FCAC-48CC-82F0-CD19C70D87E9}">
  <ds:schemaRefs>
    <ds:schemaRef ds:uri="http://schemas.microsoft.com/office/2006/metadata/properties"/>
    <ds:schemaRef ds:uri="http://schemas.microsoft.com/office/infopath/2007/PartnerControls"/>
    <ds:schemaRef ds:uri="c34af464-7aa1-4edd-9be4-83dffc1cb926"/>
  </ds:schemaRefs>
</ds:datastoreItem>
</file>

<file path=customXml/itemProps4.xml><?xml version="1.0" encoding="utf-8"?>
<ds:datastoreItem xmlns:ds="http://schemas.openxmlformats.org/officeDocument/2006/customXml" ds:itemID="{D49BAF6E-E883-467C-9FC2-094927524A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4af464-7aa1-4edd-9be4-83dffc1cb9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requirements</Template>
  <TotalTime>2</TotalTime>
  <Pages>24</Pages>
  <Words>5731</Words>
  <Characters>30520</Characters>
  <Application>Microsoft Office Word</Application>
  <DocSecurity>0</DocSecurity>
  <Lines>254</Lines>
  <Paragraphs>72</Paragraphs>
  <ScaleCrop>false</ScaleCrop>
  <HeadingPairs>
    <vt:vector size="2" baseType="variant">
      <vt:variant>
        <vt:lpstr>Title</vt:lpstr>
      </vt:variant>
      <vt:variant>
        <vt:i4>1</vt:i4>
      </vt:variant>
    </vt:vector>
  </HeadingPairs>
  <TitlesOfParts>
    <vt:vector size="1" baseType="lpstr">
      <vt:lpstr>ERCOT Official Document</vt:lpstr>
    </vt:vector>
  </TitlesOfParts>
  <Company>ERCOT</Company>
  <LinksUpToDate>false</LinksUpToDate>
  <CharactersWithSpaces>36179</CharactersWithSpaces>
  <SharedDoc>false</SharedDoc>
  <HLinks>
    <vt:vector size="18" baseType="variant">
      <vt:variant>
        <vt:i4>1966137</vt:i4>
      </vt:variant>
      <vt:variant>
        <vt:i4>14</vt:i4>
      </vt:variant>
      <vt:variant>
        <vt:i4>0</vt:i4>
      </vt:variant>
      <vt:variant>
        <vt:i4>5</vt:i4>
      </vt:variant>
      <vt:variant>
        <vt:lpwstr/>
      </vt:variant>
      <vt:variant>
        <vt:lpwstr>_Toc129674698</vt:lpwstr>
      </vt:variant>
      <vt:variant>
        <vt:i4>1966137</vt:i4>
      </vt:variant>
      <vt:variant>
        <vt:i4>8</vt:i4>
      </vt:variant>
      <vt:variant>
        <vt:i4>0</vt:i4>
      </vt:variant>
      <vt:variant>
        <vt:i4>5</vt:i4>
      </vt:variant>
      <vt:variant>
        <vt:lpwstr/>
      </vt:variant>
      <vt:variant>
        <vt:lpwstr>_Toc129674697</vt:lpwstr>
      </vt:variant>
      <vt:variant>
        <vt:i4>1966137</vt:i4>
      </vt:variant>
      <vt:variant>
        <vt:i4>2</vt:i4>
      </vt:variant>
      <vt:variant>
        <vt:i4>0</vt:i4>
      </vt:variant>
      <vt:variant>
        <vt:i4>5</vt:i4>
      </vt:variant>
      <vt:variant>
        <vt:lpwstr/>
      </vt:variant>
      <vt:variant>
        <vt:lpwstr>_Toc129674696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ERCOT Official Document</dc:title>
  <dc:subject/>
  <dc:creator>Pysh, Danya</dc:creator>
  <cp:keywords/>
  <cp:lastModifiedBy>Garza, Thelma</cp:lastModifiedBy>
  <cp:revision>3</cp:revision>
  <cp:lastPrinted>2017-03-20T14:56:00Z</cp:lastPrinted>
  <dcterms:created xsi:type="dcterms:W3CDTF">2023-12-27T15:19:00Z</dcterms:created>
  <dcterms:modified xsi:type="dcterms:W3CDTF">2024-01-25T13:48:00Z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{20050107-2159-253E-BADC-2BC2081708B3}</vt:lpwstr>
  </property>
  <property fmtid="{D5CDD505-2E9C-101B-9397-08002B2CF9AE}" pid="3" name="Owner">
    <vt:lpwstr>98</vt:lpwstr>
  </property>
  <property fmtid="{D5CDD505-2E9C-101B-9397-08002B2CF9AE}" pid="4" name="Status">
    <vt:lpwstr>Ready for review</vt:lpwstr>
  </property>
  <property fmtid="{D5CDD505-2E9C-101B-9397-08002B2CF9AE}" pid="5" name="ContentTypeId">
    <vt:lpwstr>0x0101002E2BDB63875B034C8B32518C6496ADD1</vt:lpwstr>
  </property>
  <property fmtid="{D5CDD505-2E9C-101B-9397-08002B2CF9AE}" pid="6" name="MSIP_Label_7084cbda-52b8-46fb-a7b7-cb5bd465ed85_Enabled">
    <vt:lpwstr>true</vt:lpwstr>
  </property>
  <property fmtid="{D5CDD505-2E9C-101B-9397-08002B2CF9AE}" pid="7" name="MSIP_Label_7084cbda-52b8-46fb-a7b7-cb5bd465ed85_SetDate">
    <vt:lpwstr>2023-11-27T21:55:39Z</vt:lpwstr>
  </property>
  <property fmtid="{D5CDD505-2E9C-101B-9397-08002B2CF9AE}" pid="8" name="MSIP_Label_7084cbda-52b8-46fb-a7b7-cb5bd465ed85_Method">
    <vt:lpwstr>Standard</vt:lpwstr>
  </property>
  <property fmtid="{D5CDD505-2E9C-101B-9397-08002B2CF9AE}" pid="9" name="MSIP_Label_7084cbda-52b8-46fb-a7b7-cb5bd465ed85_Name">
    <vt:lpwstr>Internal</vt:lpwstr>
  </property>
  <property fmtid="{D5CDD505-2E9C-101B-9397-08002B2CF9AE}" pid="10" name="MSIP_Label_7084cbda-52b8-46fb-a7b7-cb5bd465ed85_SiteId">
    <vt:lpwstr>0afb747d-bff7-4596-a9fc-950ef9e0ec45</vt:lpwstr>
  </property>
  <property fmtid="{D5CDD505-2E9C-101B-9397-08002B2CF9AE}" pid="11" name="MSIP_Label_7084cbda-52b8-46fb-a7b7-cb5bd465ed85_ActionId">
    <vt:lpwstr>06c6977a-a882-4c45-97a2-3c30e689c340</vt:lpwstr>
  </property>
  <property fmtid="{D5CDD505-2E9C-101B-9397-08002B2CF9AE}" pid="12" name="MSIP_Label_7084cbda-52b8-46fb-a7b7-cb5bd465ed85_ContentBits">
    <vt:lpwstr>0</vt:lpwstr>
  </property>
</Properties>
</file>