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LAUREN GRANT, PhD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1F4E78"/>
          <w:sz w:val="24"/>
          <w:szCs w:val="24"/>
        </w:rPr>
        <w:t xml:space="preserve">Technical Program Manager</w:t>
      </w:r>
    </w:p>
    <w:p>
      <w:pPr>
        <w:spacing w:after="80"/>
        <w:jc w:val="center"/>
      </w:pPr>
      <w:r>
        <w:rPr>
          <w:sz w:val="20"/>
          <w:szCs w:val="20"/>
        </w:rPr>
        <w:t xml:space="preserve">Detroit, MI</w:t>
      </w:r>
    </w:p>
    <w:p>
      <w:pPr>
        <w:spacing w:after="40"/>
        <w:jc w:val="center"/>
      </w:pPr>
      <w:r>
        <w:rPr>
          <w:sz w:val="20"/>
          <w:szCs w:val="20"/>
        </w:rPr>
        <w:t xml:space="preserve">502-797-4094 | lgran731@gmail.com</w:t>
      </w:r>
    </w:p>
    <w:p>
      <w:pPr>
        <w:spacing w:after="100"/>
        <w:jc w:val="center"/>
      </w:pPr>
      <w:r>
        <w:rPr>
          <w:sz w:val="20"/>
          <w:szCs w:val="20"/>
        </w:rPr>
        <w:t xml:space="preserve">linkedin.com/in/lgrant-phd | lgran731.github.io</w:t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PMP | CSM | AWS Solutions Architect (In Progress) | PhD</w:t>
      </w:r>
    </w:p>
    <w:p>
      <w:pPr>
        <w:pStyle w:val="Heading1"/>
      </w:pPr>
      <w:r>
        <w:t xml:space="preserve">PROFESSIONAL SUMMARY</w:t>
      </w:r>
    </w:p>
    <w:p>
      <w:pPr>
        <w:spacing w:after="200"/>
      </w:pPr>
      <w:r>
        <w:rPr>
          <w:sz w:val="22"/>
          <w:szCs w:val="22"/>
        </w:rPr>
        <w:t xml:space="preserve">Technical Program Manager with 3+ years leading complex, high-risk technical programs and 7+ years managing cross-functional initiatives across defense, healthcare, and applied research environments. Owned end-to-end delivery of 4 production ML/analytics platforms from 0→1 in 2 years ($4M combined budget), reducing development cycle time 30% and establishing reusable architecture across organizations. Known for operating in ambiguity, recovering failed initiatives, and aligning engineering, research, and operations teams around measurable delivery gates in regulated, high-reliability systems. PMP and CSM certified with a PhD in Cognitive Neuroscience.</w:t>
      </w:r>
    </w:p>
    <w:p>
      <w:pPr>
        <w:pStyle w:val="Heading1"/>
      </w:pPr>
      <w:r>
        <w:t xml:space="preserve">CORE COMPETENCIES</w:t>
      </w:r>
    </w:p>
    <w:p>
      <w:pPr>
        <w:spacing w:after="200"/>
      </w:pPr>
      <w:r>
        <w:rPr>
          <w:sz w:val="22"/>
          <w:szCs w:val="22"/>
        </w:rPr>
        <w:t xml:space="preserve">0→1 Platform Delivery • End-to-End Program Ownership • ML/Analytics Platforms • Cross-Organizational Leadership • Technical Roadmapping • Dependency &amp; Risk Management • Vendor &amp; Contract Oversight • Budget Management ($1M–$4M) • Metrics-Driven Execution • Executive Communication • Agile/Scrum</w:t>
      </w:r>
    </w:p>
    <w:p>
      <w:pPr>
        <w:pStyle w:val="Heading1"/>
      </w:pPr>
      <w:r>
        <w:t xml:space="preserve">PROFESSIONAL EXPERIENCE</w:t>
      </w:r>
    </w:p>
    <w:p>
      <w:pPr>
        <w:spacing w:after="20" w:before="100"/>
      </w:pPr>
      <w:r>
        <w:rPr>
          <w:b/>
          <w:bCs/>
          <w:sz w:val="24"/>
          <w:szCs w:val="24"/>
        </w:rPr>
        <w:t xml:space="preserve">Technical Program Manager</w:t>
      </w:r>
    </w:p>
    <w:p>
      <w:pPr>
        <w:spacing w:after="80"/>
      </w:pPr>
      <w:r>
        <w:rPr>
          <w:sz w:val="22"/>
          <w:szCs w:val="22"/>
        </w:rPr>
        <w:t xml:space="preserve">DCS Corporation — Detroit, MI  |  </w:t>
      </w:r>
      <w:r>
        <w:rPr>
          <w:i/>
          <w:iCs/>
          <w:sz w:val="22"/>
          <w:szCs w:val="22"/>
        </w:rPr>
        <w:t xml:space="preserve">Mar 2023 – Present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Advanced to lead Technical Program Manager role (Feb 2024) after successfully launching a systems integration laboratory and establishing platform architecture; recognized with accelerated pay band progression and compensation increase based on delivery impact.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Owned end-to-end delivery of 4 production ML/analytics platforms from 0→1 ($4M combined budget), including roadmap definition, architecture alignment, delivery gating, and release readiness for real-time inference and simulation workflows. Platforms were mandated as reusable architecture standards across 3 organizations.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Led cross-organizational alignment across engineering, research, and operations teams (10–14 engineers), resolving dependency conflicts and driving execution against shared milestones.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Launched a systems integration laboratory after two prior failed attempts, establishing validation workflows and integration standards that unblocked downstream ML and simulation programs and expanded support from 1 to 3 government experiments.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Reduced development cycle time 30% by introducing structured planning cadences, dependency tracking, and milestone-based delivery gates across platform teams.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Served as single-threaded owner for a real-time analytics platform, building Kafka-based infrastructure (7 pipelines, 40 topics, millisecond-latency). Resolved a critical three-organization architectural conflict, unblocking deployment and enabling four evaluation events.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Scaled an ML inference platform from failed prototype to production supporting 18 camera streams at 40 FPS (&lt;70 ms latency). Drove Python→C++ migration, improving model accuracy 30%→75% and doubling throughput.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Owned a voice AI assistant platform across transcription, command, and assistant phases; established &lt;300 ms latency and 75%+ accuracy delivery gates validated with 21 users. Terminated a misaligned vendor following technical and delivery assessment to protect platform integrity.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Recognized for sustained delivery impact through multiple performance-based awards and an equity incentive following primary technical authorship of advanced analytics and technology evaluation components for a winning $70.7M Army simulation contract (GVSL).</w:t>
      </w:r>
    </w:p>
    <w:p>
      <w:pPr>
        <w:spacing w:after="20" w:before="80"/>
      </w:pPr>
      <w:r>
        <w:rPr>
          <w:b/>
          <w:bCs/>
          <w:sz w:val="22"/>
          <w:szCs w:val="22"/>
        </w:rPr>
        <w:t xml:space="preserve">Earlier Scope (Mar 2023 – Jan 2024): Systems Engineering (within DCS)</w:t>
      </w:r>
    </w:p>
    <w:p>
      <w:pPr>
        <w:pStyle w:val="ListParagraph"/>
        <w:numPr>
          <w:ilvl w:val="0"/>
          <w:numId w:val="2"/>
        </w:numPr>
        <w:spacing w:after="200"/>
      </w:pPr>
      <w:r>
        <w:t xml:space="preserve">Led laboratory development from concept to launch in 5 months, recovering from prior failures and reducing experiment cycle time 50% (6 months → 3 months). Authored a winning $300K proposal securing additional funding.</w:t>
      </w:r>
    </w:p>
    <w:p>
      <w:pPr>
        <w:pStyle w:val="Heading1"/>
      </w:pPr>
      <w:r>
        <w:t xml:space="preserve">PRIOR EXPERIENCE</w:t>
      </w:r>
    </w:p>
    <w:p>
      <w:pPr>
        <w:spacing w:after="20" w:before="100"/>
      </w:pPr>
      <w:r>
        <w:rPr>
          <w:b/>
          <w:bCs/>
          <w:sz w:val="24"/>
          <w:szCs w:val="24"/>
        </w:rPr>
        <w:t xml:space="preserve">Postdoctoral Research Fellow</w:t>
      </w:r>
    </w:p>
    <w:p>
      <w:pPr>
        <w:spacing w:after="80"/>
      </w:pPr>
      <w:r>
        <w:rPr>
          <w:sz w:val="22"/>
          <w:szCs w:val="22"/>
        </w:rPr>
        <w:t xml:space="preserve">Washington University in St. Louis — St. Louis, MO  |  </w:t>
      </w:r>
      <w:r>
        <w:rPr>
          <w:i/>
          <w:iCs/>
          <w:sz w:val="22"/>
          <w:szCs w:val="22"/>
        </w:rPr>
        <w:t xml:space="preserve">Jul 2021 – Mar 2023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Led a multi-site cognitive research program coordinating a 7-person cross-functional team across three hospital systems ($1M budget).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Built and operationalized statistical analysis pipelines for 100+ participant datasets using linear mixed-effects and Bayesian modeling.</w:t>
      </w:r>
    </w:p>
    <w:p>
      <w:pPr>
        <w:pStyle w:val="ListParagraph"/>
        <w:numPr>
          <w:ilvl w:val="0"/>
          <w:numId w:val="2"/>
        </w:numPr>
        <w:spacing w:after="200"/>
      </w:pPr>
      <w:r>
        <w:t xml:space="preserve">Secured NIH funding and pivoted the program to remote data collection during COVID-19 while maintaining delivery milestones.</w:t>
      </w:r>
    </w:p>
    <w:p>
      <w:pPr>
        <w:spacing w:after="20"/>
      </w:pPr>
      <w:r>
        <w:rPr>
          <w:b/>
          <w:bCs/>
          <w:sz w:val="24"/>
          <w:szCs w:val="24"/>
        </w:rPr>
        <w:t xml:space="preserve">Graduate Researcher &amp; Program Lead</w:t>
      </w:r>
    </w:p>
    <w:p>
      <w:pPr>
        <w:spacing w:after="80"/>
      </w:pPr>
      <w:r>
        <w:rPr>
          <w:sz w:val="22"/>
          <w:szCs w:val="22"/>
        </w:rPr>
        <w:t xml:space="preserve">University of Michigan — Ann Arbor, MI  |  </w:t>
      </w:r>
      <w:r>
        <w:rPr>
          <w:i/>
          <w:iCs/>
          <w:sz w:val="22"/>
          <w:szCs w:val="22"/>
        </w:rPr>
        <w:t xml:space="preserve">2015 – 2021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Led a multi-institutional medical device and software program coordinating hospitals, universities, and IT departments; delivered a cognitive assessment platform deployed nationwide for intraoperative brain mapping.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Owned full product lifecycle from usability testing through 2-year longitudinal validation, aligning clinical, technical, and operational stakeholders.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Executed emergency platform migration to cloud in a 3-week sprint during COVID-19, delivering full-stack web applications enabling continuity for critical patient testing and international research collaboration.</w:t>
      </w:r>
    </w:p>
    <w:p>
      <w:pPr>
        <w:pStyle w:val="ListParagraph"/>
        <w:numPr>
          <w:ilvl w:val="0"/>
          <w:numId w:val="2"/>
        </w:numPr>
        <w:spacing w:after="200"/>
      </w:pPr>
      <w:r>
        <w:t xml:space="preserve">Awarded a highly competitive NSF Graduate Research Fellowship (GRFP); independently authored the proposal and managed a multi-year research program, publishing peer-reviewed work and presenting findings at national conferences.</w:t>
      </w:r>
    </w:p>
    <w:p>
      <w:pPr>
        <w:pStyle w:val="Heading1"/>
      </w:pPr>
      <w:r>
        <w:t xml:space="preserve">TECHNICAL SKILLS</w:t>
      </w:r>
    </w:p>
    <w:p>
      <w:pPr>
        <w:spacing w:after="80"/>
      </w:pPr>
      <w:r>
        <w:rPr>
          <w:b/>
          <w:bCs/>
        </w:rPr>
        <w:t xml:space="preserve">Technical: </w:t>
      </w:r>
      <w:r>
        <w:t xml:space="preserve">Python, C++, C#, JavaScript, HTML/CSS, MATLAB, R, SQL | Kafka, PostgreSQL, ETL | AWS, Cloud Architecture | Real-time &amp; distributed systems</w:t>
      </w:r>
    </w:p>
    <w:p>
      <w:pPr>
        <w:spacing w:after="80"/>
      </w:pPr>
      <w:r>
        <w:rPr>
          <w:b/>
          <w:bCs/>
        </w:rPr>
        <w:t xml:space="preserve">ML &amp; Platforms: </w:t>
      </w:r>
      <w:r>
        <w:t xml:space="preserve">ML/analytics platforms, real-time inference, model integration, client-server architecture, performance tuning, data architecture, evaluation frameworks</w:t>
      </w:r>
    </w:p>
    <w:p>
      <w:pPr>
        <w:spacing w:after="200"/>
      </w:pPr>
      <w:r>
        <w:rPr>
          <w:b/>
          <w:bCs/>
        </w:rPr>
        <w:t xml:space="preserve">Program Management: </w:t>
      </w:r>
      <w:r>
        <w:t xml:space="preserve">Agile/Scrum, roadmap ownership, dependency management, risk mitigation, vendor management, budget oversight, OKRs/KPIs, executive reporting</w:t>
      </w:r>
    </w:p>
    <w:p>
      <w:pPr>
        <w:pStyle w:val="Heading1"/>
      </w:pPr>
      <w:r>
        <w:t xml:space="preserve">EDUCATION &amp; CERTIFICATIONS</w:t>
      </w:r>
    </w:p>
    <w:p>
      <w:pPr>
        <w:spacing w:after="80"/>
      </w:pPr>
      <w:r>
        <w:rPr>
          <w:b/>
          <w:bCs/>
        </w:rPr>
        <w:t xml:space="preserve">PhD, Cognitive Neuroscience</w:t>
      </w:r>
      <w:r>
        <w:t xml:space="preserve"> — University of Michigan, 2021</w:t>
      </w:r>
    </w:p>
    <w:p>
      <w:pPr>
        <w:spacing w:after="80"/>
      </w:pPr>
      <w:r>
        <w:rPr>
          <w:b/>
          <w:bCs/>
        </w:rPr>
        <w:t xml:space="preserve">Project Management Professional (PMP)</w:t>
      </w:r>
      <w:r>
        <w:t xml:space="preserve"> — PMI, Jan 2026</w:t>
      </w:r>
    </w:p>
    <w:p>
      <w:pPr>
        <w:spacing w:after="80"/>
      </w:pPr>
      <w:r>
        <w:rPr>
          <w:b/>
          <w:bCs/>
        </w:rPr>
        <w:t xml:space="preserve">Certified ScrumMaster (CSM)</w:t>
      </w:r>
      <w:r>
        <w:t xml:space="preserve"> — Scrum Alliance, Nov 2025</w:t>
      </w:r>
    </w:p>
    <w:p>
      <w:r>
        <w:rPr>
          <w:b/>
          <w:bCs/>
        </w:rPr>
        <w:t xml:space="preserve">AWS Solutions Architect</w:t>
      </w:r>
      <w:r>
        <w:t xml:space="preserve"> — In Progress (Expected May 2026)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pBdr>
        <w:bottom w:val="single" w:color="1F4E78" w:sz="8" w:space="1"/>
      </w:pBdr>
      <w:spacing w:before="240" w:after="120"/>
    </w:pPr>
    <w:rPr>
      <w:rFonts w:ascii="Calibri" w:cs="Calibri" w:eastAsia="Calibri" w:hAnsi="Calibri"/>
      <w:b/>
      <w:bCs/>
      <w:color w:val="1F4E78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2026-02-01T19:28:52.727Z</dcterms:created>
  <dcterms:modified xsi:type="dcterms:W3CDTF">2026-02-01T19:28:52.728Z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