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EPC成套设备仪表统一规定</w:t>
      </w:r>
    </w:p>
    <w:p>
      <w:pPr>
        <w:spacing w:line="240"/>
        <w:jc w:val="center"/>
      </w:pPr>
      <w:r>
        <w:rPr>
          <w:sz w:val="28"/>
          <w:b w:val="1"/>
          <w:shd w:val="clear" w:color="auto" w:fill="00FF00"/>
        </w:rPr>
        <w:t xml:space="preserve"> EPC成套设备仪表统一规定</w:t>
      </w:r>
    </w:p>
    <w:p>
      <w:pPr>
        <w:numPr>
          <w:ilvl w:val="0"/>
          <w:numId w:val="1"/>
        </w:numPr>
      </w:pPr>
      <w:r>
        <w:rPr>
          <w:sz w:val="32"/>
          <w:b w:val="1"/>
        </w:rPr>
        <w:t xml:space="preserve">自控仪表采用标准</w:t>
      </w:r>
    </w:p>
    <w:p>
      <w:pPr/>
      <w:r>
        <w:rPr>
          <w:sz w:val="28"/>
        </w:rPr>
        <w:t xml:space="preserve">GB2625         《过程检测和控制流程图用图形符号和文字代号》 </w:t>
      </w:r>
    </w:p>
    <w:p>
      <w:pPr/>
      <w:r>
        <w:rPr>
          <w:sz w:val="28"/>
        </w:rPr>
        <w:t xml:space="preserve">GB50217        《电力工程电缆设计规范》</w:t>
      </w:r>
    </w:p>
    <w:p>
      <w:pPr/>
      <w:r>
        <w:rPr>
          <w:sz w:val="28"/>
        </w:rPr>
        <w:t xml:space="preserve">GB50093        《自动化仪表工程施工及验收规范》</w:t>
      </w:r>
    </w:p>
    <w:p>
      <w:pPr/>
      <w:r>
        <w:rPr>
          <w:sz w:val="28"/>
        </w:rPr>
        <w:t xml:space="preserve">GB50493        《石油化工可燃气体和有毒气体检测报警设计标准》</w:t>
      </w:r>
    </w:p>
    <w:p>
      <w:pPr/>
      <w:r>
        <w:rPr>
          <w:sz w:val="28"/>
        </w:rPr>
        <w:t xml:space="preserve">GB50058        《爆炸和火灾危险环境电气装置设计规范》</w:t>
      </w:r>
    </w:p>
    <w:p>
      <w:pPr/>
      <w:r>
        <w:rPr>
          <w:sz w:val="28"/>
        </w:rPr>
        <w:t xml:space="preserve">HG/T20505      《过程检测和控制仪表的功能标志及图形符号》 </w:t>
      </w:r>
    </w:p>
    <w:p>
      <w:pPr/>
      <w:r>
        <w:rPr>
          <w:sz w:val="28"/>
        </w:rPr>
        <w:t xml:space="preserve">HG/T20507      《自动化仪表选型设计规定》</w:t>
      </w:r>
    </w:p>
    <w:p>
      <w:pPr/>
      <w:r>
        <w:rPr>
          <w:sz w:val="28"/>
        </w:rPr>
        <w:t xml:space="preserve">HG/T20508      《控制室设计规定》</w:t>
      </w:r>
    </w:p>
    <w:p>
      <w:pPr/>
      <w:r>
        <w:rPr>
          <w:sz w:val="28"/>
        </w:rPr>
        <w:t xml:space="preserve">HG/T20509      《仪表供电设计规定》</w:t>
      </w:r>
    </w:p>
    <w:p>
      <w:pPr/>
      <w:r>
        <w:rPr>
          <w:sz w:val="28"/>
        </w:rPr>
        <w:t xml:space="preserve">HG/T20510      《仪表供气设计规定》</w:t>
      </w:r>
    </w:p>
    <w:p>
      <w:pPr/>
      <w:r>
        <w:rPr>
          <w:sz w:val="28"/>
        </w:rPr>
        <w:t xml:space="preserve">HG/T20511      《信号报警、安全联锁系统设计规定》</w:t>
      </w:r>
    </w:p>
    <w:p>
      <w:pPr/>
      <w:r>
        <w:rPr>
          <w:sz w:val="28"/>
        </w:rPr>
        <w:t xml:space="preserve">HG/T20512      《仪表配管配线设计规定》</w:t>
      </w:r>
    </w:p>
    <w:p>
      <w:pPr/>
      <w:r>
        <w:rPr>
          <w:sz w:val="28"/>
        </w:rPr>
        <w:t xml:space="preserve">HG/T20513      《仪表系统接地设计规定》</w:t>
      </w:r>
    </w:p>
    <w:p>
      <w:pPr/>
      <w:r>
        <w:rPr>
          <w:sz w:val="28"/>
        </w:rPr>
        <w:t xml:space="preserve">HG/T20514      《仪表及管线伴热和绝热保温设计规定》</w:t>
      </w:r>
    </w:p>
    <w:p>
      <w:pPr/>
      <w:r>
        <w:rPr>
          <w:sz w:val="28"/>
        </w:rPr>
        <w:t xml:space="preserve">HG/T20516      《自动分析器室设计规定》</w:t>
      </w:r>
    </w:p>
    <w:p>
      <w:pPr/>
      <w:r>
        <w:rPr>
          <w:sz w:val="28"/>
        </w:rPr>
        <w:t xml:space="preserve">HG/T20573      《分散型控制系统工程设计规定》</w:t>
      </w:r>
    </w:p>
    <w:p>
      <w:pPr/>
      <w:r>
        <w:rPr>
          <w:sz w:val="28"/>
        </w:rPr>
        <w:t xml:space="preserve">HG/T20688      《化工工厂初步设计文件内容深度规定》</w:t>
      </w:r>
    </w:p>
    <w:p>
      <w:pPr/>
      <w:r>
        <w:rPr>
          <w:sz w:val="28"/>
        </w:rPr>
        <w:t xml:space="preserve">HG/T20638      《自控专业工程设计文件深度的规定》</w:t>
      </w:r>
    </w:p>
    <w:p>
      <w:pPr/>
      <w:r>
        <w:rPr>
          <w:sz w:val="28"/>
        </w:rPr>
        <w:t xml:space="preserve">HG/T21581      《自控安装图册》</w:t>
      </w:r>
    </w:p>
    <w:p>
      <w:pPr>
        <w:spacing w:line="240"/>
      </w:pPr>
      <w:r>
        <w:rPr>
          <w:sz w:val="28"/>
          <w:shd w:val="clear" w:color="auto" w:fill="00FF00"/>
        </w:rPr>
        <w:t xml:space="preserve">以上标准全部采用已正式颁布的最新版本；</w:t>
      </w:r>
    </w:p>
    <w:p>
      <w:pPr/>
      <w:r>
        <w:rPr>
          <w:sz w:val="28"/>
          <w:b w:val="1"/>
        </w:rPr>
        <w:t xml:space="preserve">六、报警器系统</w:t>
      </w:r>
    </w:p>
    <w:p>
      <w:pPr/>
      <w:r>
        <w:rPr>
          <w:sz w:val="28"/>
        </w:rPr>
        <w:t xml:space="preserve">    1、报警器采集系统指定采用DCS系统，指定型号为浙江中控ECS-700，DCS系统技术要求见本文件第二条；</w:t>
      </w:r>
    </w:p>
    <w:p>
      <w:pPr/>
      <w:r>
        <w:rPr>
          <w:sz w:val="28"/>
        </w:rPr>
        <w:t xml:space="preserve">    2、在易发生可燃、有毒气体泄漏或聚积的场所，设置可燃、有毒气体检测报警器。检测信号接至专用的DCS系统，同时在现场、控制室分别进行集中声光报警显示。</w:t>
      </w:r>
    </w:p>
    <w:p>
      <w:pPr>
        <w:ind w:firstLine="560"/>
      </w:pPr>
      <w:r>
        <w:rPr>
          <w:sz w:val="28"/>
        </w:rPr>
        <w:t xml:space="preserve">3、现场报警器首选甲方框架品牌内产品，框架单位见附件；</w:t>
      </w:r>
    </w:p>
    <w:p>
      <w:pPr>
        <w:ind w:firstLine="560"/>
      </w:pPr>
      <w:r>
        <w:rPr>
          <w:sz w:val="28"/>
        </w:rPr>
        <w:t xml:space="preserve">4、报警器要求现场带声光报警、带现场显示；</w:t>
      </w:r>
    </w:p>
    <w:p>
      <w:pPr>
        <w:ind w:firstLine="560"/>
      </w:pPr>
      <w:r>
        <w:rPr>
          <w:sz w:val="28"/>
        </w:rPr>
        <w:t xml:space="preserve">5、报警器系统除了遵守以上条款外，还应符合GB50493-2019《石油化工可燃气体和有毒气体检测报警设计标准》的要求；</w:t>
      </w:r>
    </w:p>
    <w:p>
      <w:pPr>
        <w:ind w:firstLine="560"/>
      </w:pPr>
      <w:r>
        <w:rPr>
          <w:sz w:val="28"/>
        </w:rPr>
        <w:t xml:space="preserve">6、报警器系统机柜与生产控制用DCS机柜放置相同机柜间，敷设电缆最长约420米。</w:t>
      </w:r>
    </w:p>
    <w:p>
      <w:pPr>
        <w:ind w:firstLine="560"/>
      </w:pPr>
      <w:r>
        <w:rPr>
          <w:sz w:val="28"/>
          <w:b w:val="1"/>
        </w:rPr>
        <w:t xml:space="preserve">七、现场仪表</w:t>
      </w:r>
    </w:p>
    <w:p>
      <w:pPr>
        <w:ind w:firstLine="560"/>
      </w:pPr>
      <w:r>
        <w:rPr>
          <w:sz w:val="28"/>
        </w:rPr>
        <w:t xml:space="preserve">1、整体选型要求</w:t>
      </w:r>
    </w:p>
    <w:p>
      <w:pPr/>
      <w:r>
        <w:rPr>
          <w:sz w:val="28"/>
        </w:rPr>
        <w:t xml:space="preserve">    1）仪表及自控设备选型应根据装置的生产规模、流程特点、操作要求和自动控制水平，选择技术先进、性能可靠、价格合理、售后服务和技术支持良好的仪表和自控设备；</w:t>
      </w:r>
    </w:p>
    <w:p>
      <w:pPr/>
      <w:r>
        <w:rPr>
          <w:sz w:val="28"/>
        </w:rPr>
        <w:t xml:space="preserve">    2）现场仪表应选业主框架品牌内厂家，确有需要更换品牌的须征得招标方同意。减少备件采购、备件可替换难度，框架品牌见附件；</w:t>
      </w:r>
    </w:p>
    <w:p>
      <w:pPr>
        <w:ind w:firstLine="560"/>
      </w:pPr>
      <w:r>
        <w:rPr>
          <w:sz w:val="28"/>
        </w:rPr>
        <w:t xml:space="preserve">3）现场仪表原则上选用电子式，变送器和阀门定位器选用智能型。采用4~20mA DC标准信号叠加HART协议；</w:t>
      </w:r>
    </w:p>
    <w:p>
      <w:pPr>
        <w:ind w:firstLine="560"/>
      </w:pPr>
      <w:r>
        <w:rPr>
          <w:sz w:val="28"/>
        </w:rPr>
        <w:t xml:space="preserve">4）现场安装的变送器带输出信号指示。室外安装的电子式仪表及自控阀门应至少满足IP66的防护等级。现场仪表的材质满足工艺介质和现场环境条件的要求，仪表的选型要注意气候条件，尽量减少仪表伴热点；</w:t>
      </w:r>
    </w:p>
    <w:p>
      <w:pPr>
        <w:ind w:firstLine="560"/>
      </w:pPr>
      <w:r>
        <w:rPr>
          <w:sz w:val="28"/>
        </w:rPr>
        <w:t xml:space="preserve">5）现场安装的仪表应根据危险区域的等级划分，选用符合IEC60079标准或GB3836标准；</w:t>
      </w:r>
    </w:p>
    <w:p>
      <w:pPr>
        <w:ind w:firstLine="560"/>
      </w:pPr>
      <w:r>
        <w:rPr>
          <w:sz w:val="28"/>
        </w:rPr>
        <w:t xml:space="preserve">6）所有现场仪表、自控阀门电气接口指定为M20*1.5，不用的电气接口应采用防爆金属堵头封堵牢固；</w:t>
      </w:r>
    </w:p>
    <w:p>
      <w:pPr>
        <w:ind w:firstLine="560"/>
      </w:pPr>
      <w:r>
        <w:rPr>
          <w:sz w:val="28"/>
        </w:rPr>
        <w:t xml:space="preserve">7）仪表、自控阀门选型除了遵守以上条款外，还应符合HG/T20507《自动化仪表选型设计规定》的要求。</w:t>
      </w:r>
    </w:p>
    <w:p>
      <w:pPr>
        <w:ind w:firstLine="560"/>
      </w:pPr>
      <w:r>
        <w:rPr>
          <w:sz w:val="28"/>
        </w:rPr>
        <w:t xml:space="preserve">8）所有仪表接液材质应根据工艺情况确定，原则上与安装管道和设备一致。</w:t>
      </w:r>
    </w:p>
    <w:p>
      <w:pPr/>
      <w:r>
        <w:rPr>
          <w:sz w:val="28"/>
        </w:rPr>
        <w:t xml:space="preserve">    2、压力仪表</w:t>
      </w:r>
    </w:p>
    <w:p>
      <w:pPr>
        <w:ind w:firstLine="560"/>
      </w:pPr>
      <w:r>
        <w:rPr>
          <w:sz w:val="28"/>
        </w:rPr>
        <w:t xml:space="preserve">1）就地压力指示一般选用Ф100mm弹簧管压力表，小量程及绝对压力测量选用膜盒压力表；有腐蚀或易堵介质压力测量选用膜片隔离式压力表；泵出口、震动场合应选用耐震压力表；压力表精度最低要求为±1.6%；</w:t>
      </w:r>
    </w:p>
    <w:p>
      <w:pPr>
        <w:ind w:firstLine="560"/>
      </w:pPr>
      <w:r>
        <w:rPr>
          <w:sz w:val="28"/>
        </w:rPr>
        <w:t xml:space="preserve">2）压力表选用不锈钢压力表，接液材质应按照管道/设备材质进行选择，至少为304不锈钢；</w:t>
      </w:r>
    </w:p>
    <w:p>
      <w:pPr>
        <w:ind w:firstLine="560"/>
      </w:pPr>
      <w:r>
        <w:rPr>
          <w:sz w:val="28"/>
        </w:rPr>
        <w:t xml:space="preserve">3）压力表应选择三针式压力表，除了压力表指针外，应带有压力表上下限指针（分别涂为红色、绿色）；</w:t>
      </w:r>
    </w:p>
    <w:p>
      <w:pPr>
        <w:ind w:firstLine="560"/>
      </w:pPr>
      <w:r>
        <w:rPr>
          <w:sz w:val="28"/>
        </w:rPr>
        <w:t xml:space="preserve">4）压力远传选用压力变送器，</w:t>
      </w:r>
      <w:r>
        <w:rPr>
          <w:sz w:val="28"/>
          <w:color w:val="1A17A9"/>
        </w:rPr>
        <w:t xml:space="preserve">测量压差或微压力选用差压变送器</w:t>
      </w:r>
      <w:r>
        <w:rPr>
          <w:sz w:val="28"/>
        </w:rPr>
        <w:t xml:space="preserve">，测量腐蚀性、结晶等工况的压力选用隔膜密封式法兰压力变送器，过程接口统一要求为DN50法兰，测量精度无法满足要求时应选择M20*1.5。</w:t>
      </w:r>
    </w:p>
    <w:p>
      <w:pPr>
        <w:ind w:firstLine="560"/>
      </w:pPr>
      <w:r>
        <w:rPr>
          <w:sz w:val="28"/>
        </w:rPr>
        <w:t xml:space="preserve">5）室外等易结冰物质的压力测量应选用隔膜密封式法兰压力变送器；</w:t>
      </w:r>
    </w:p>
    <w:p>
      <w:pPr>
        <w:ind w:firstLine="560"/>
      </w:pPr>
      <w:r>
        <w:rPr>
          <w:sz w:val="28"/>
        </w:rPr>
        <w:t xml:space="preserve">6）变送器为智能型，可显示表头，变送器的安装支架、螺栓螺母等部件的材质均要求为304材质。</w:t>
      </w:r>
    </w:p>
    <w:p>
      <w:pPr>
        <w:ind w:firstLine="560"/>
      </w:pPr>
      <w:r>
        <w:rPr>
          <w:sz w:val="28"/>
        </w:rPr>
        <w:t xml:space="preserve">7）</w:t>
      </w:r>
      <w:r>
        <w:rPr>
          <w:sz w:val="28"/>
          <w:color w:val="1A17A9"/>
        </w:rPr>
        <w:t xml:space="preserve">测量微小压力、微小负压场合，宜选用差压变送器</w:t>
      </w:r>
    </w:p>
    <w:p>
      <w:pPr>
        <w:ind w:firstLine="560"/>
      </w:pPr>
      <w:r>
        <w:rPr>
          <w:sz w:val="28"/>
        </w:rPr>
        <w:t xml:space="preserve">8）根据需要设置保温或保护箱，对水、蒸汽等仪表及管路进行伴热保温。</w:t>
      </w:r>
    </w:p>
    <w:p>
      <w:pPr>
        <w:ind w:firstLine="560"/>
      </w:pPr>
      <w:r>
        <w:rPr>
          <w:sz w:val="28"/>
        </w:rPr>
        <w:t xml:space="preserve">9）工况需要测量压差/压力作为联锁信号时，采用差压/压力变送器，不接受差压/压力开关。</w:t>
      </w:r>
    </w:p>
    <w:p>
      <w:pPr/>
      <w:r>
        <w:rPr>
          <w:sz w:val="28"/>
        </w:rPr>
        <w:t xml:space="preserve">    3、温度仪表</w:t>
      </w:r>
    </w:p>
    <w:p>
      <w:pPr>
        <w:ind w:firstLine="560"/>
      </w:pPr>
      <w:r>
        <w:rPr>
          <w:sz w:val="28"/>
        </w:rPr>
        <w:t xml:space="preserve">1）就地温度指示选用Ф100mm不锈钢万向型双金属温度计，精确度等级不低于1.5级；若安装地点不易通行或观察时，或测量低温介质时，可选用毛细管充填式温度计，毛细管长度不宜超过6米；</w:t>
      </w:r>
    </w:p>
    <w:p>
      <w:pPr>
        <w:ind w:firstLine="560"/>
      </w:pPr>
      <w:r>
        <w:rPr>
          <w:sz w:val="28"/>
        </w:rPr>
        <w:t xml:space="preserve">2）测量低温时，应选择一体化温度变送器（PT100加温变模块），要求带HART协议；</w:t>
      </w:r>
    </w:p>
    <w:p>
      <w:pPr>
        <w:ind w:firstLine="560"/>
      </w:pPr>
      <w:r>
        <w:rPr>
          <w:sz w:val="28"/>
        </w:rPr>
        <w:t xml:space="preserve">3）测量高温时，应选择一体化温度变送器（优先选用K型热电偶加温变模块），要求带HART协议；</w:t>
      </w:r>
    </w:p>
    <w:p>
      <w:pPr>
        <w:ind w:firstLine="560"/>
      </w:pPr>
      <w:r>
        <w:rPr>
          <w:sz w:val="28"/>
        </w:rPr>
        <w:t xml:space="preserve">4）除特殊情况外，所有温度元件应有整体钻孔保护套管、法兰连接（除特殊要求外，法兰尺寸为DN40），保护管材质最低为316SS，具体要求以技术规格书为准。</w:t>
      </w:r>
    </w:p>
    <w:p>
      <w:pPr>
        <w:ind w:firstLine="560"/>
      </w:pPr>
      <w:r>
        <w:rPr>
          <w:sz w:val="28"/>
        </w:rPr>
        <w:t xml:space="preserve">4、物位仪表</w:t>
      </w:r>
    </w:p>
    <w:p>
      <w:pPr>
        <w:ind w:firstLine="560"/>
      </w:pPr>
      <w:r>
        <w:rPr>
          <w:sz w:val="28"/>
        </w:rPr>
        <w:t xml:space="preserve">1）就地液位指示选用磁性翻板液位计，带上下线指示，排污阀，下接线方式；需要测量界面，但无合适仪表测量时，宜选用玻璃板液位计；</w:t>
      </w:r>
    </w:p>
    <w:p>
      <w:pPr>
        <w:ind w:firstLine="560"/>
      </w:pPr>
      <w:r>
        <w:rPr>
          <w:sz w:val="28"/>
        </w:rPr>
        <w:t xml:space="preserve">2）远传液位仪表测量优先选用雷达液位计（雷达过程接口宜选择DN80）；双法兰式差压式液位仪表（双法兰过程接口宜选择DN80）；</w:t>
      </w:r>
    </w:p>
    <w:p>
      <w:pPr>
        <w:ind w:firstLine="560"/>
      </w:pPr>
      <w:r>
        <w:rPr>
          <w:sz w:val="28"/>
        </w:rPr>
        <w:t xml:space="preserve">3）储罐内物料堆音叉无粘连的液位报警及联锁，宜选用音叉物位开关</w:t>
      </w:r>
    </w:p>
    <w:p>
      <w:pPr>
        <w:ind w:firstLine="560"/>
      </w:pPr>
      <w:r>
        <w:rPr>
          <w:sz w:val="28"/>
        </w:rPr>
        <w:t xml:space="preserve">4）差压液位计变送器根据测量介质的特性，选择平法兰或插入式法兰，表头为智能型，带现场显示；变送器的安装支架、螺栓螺母等部件的材质均要求为304材质，根据需要设置保温或保护箱，对水、蒸汽等仪表及管路进行伴热保温。</w:t>
      </w:r>
    </w:p>
    <w:p>
      <w:pPr>
        <w:ind w:firstLine="560"/>
      </w:pPr>
      <w:r>
        <w:rPr>
          <w:sz w:val="28"/>
        </w:rPr>
        <w:t xml:space="preserve">5、流量仪表</w:t>
      </w:r>
    </w:p>
    <w:p>
      <w:pPr>
        <w:ind w:firstLine="560"/>
      </w:pPr>
      <w:r>
        <w:rPr>
          <w:sz w:val="28"/>
        </w:rPr>
        <w:t xml:space="preserve">1）液体流量测量首选电磁流量计，若电磁流量计无法测量时，选择涡街或其他流量计；</w:t>
      </w:r>
    </w:p>
    <w:p>
      <w:pPr>
        <w:ind w:firstLine="560"/>
      </w:pPr>
      <w:r>
        <w:rPr>
          <w:sz w:val="28"/>
        </w:rPr>
        <w:t xml:space="preserve">2）气体流量测量首选涡街流量计，若涡街流量计无法测量时，可选择其他形式流量计；气体流量应配套压力变送器、温度变送器进行流量补偿。</w:t>
      </w:r>
    </w:p>
    <w:p>
      <w:pPr>
        <w:ind w:firstLine="560"/>
      </w:pPr>
      <w:r>
        <w:rPr>
          <w:sz w:val="28"/>
        </w:rPr>
        <w:t xml:space="preserve">3）孔板流量计所配差压变送器应为智能型，带现场显示；变送器的安装支架、螺栓螺母等部件的材质均要求为304材质，根据需要设置保温或保护箱，对水、蒸汽等仪表及管路进行伴热保温。</w:t>
      </w:r>
    </w:p>
    <w:p>
      <w:pPr>
        <w:ind w:firstLine="560"/>
      </w:pPr>
      <w:r>
        <w:rPr>
          <w:sz w:val="28"/>
        </w:rPr>
        <w:t xml:space="preserve">6、自控阀门</w:t>
      </w:r>
    </w:p>
    <w:p>
      <w:pPr>
        <w:ind w:firstLine="560"/>
      </w:pPr>
      <w:r>
        <w:rPr>
          <w:sz w:val="28"/>
        </w:rPr>
        <w:t xml:space="preserve">1）自控阀门设计时应充分考虑工况设计压力、设计温度、介质特性等，满足工况使用条件；要求自控阀门按照长周期使用进行设计，使用寿命应达到10年以上；</w:t>
      </w:r>
    </w:p>
    <w:p>
      <w:pPr>
        <w:ind w:firstLine="560"/>
      </w:pPr>
      <w:r>
        <w:rPr>
          <w:sz w:val="28"/>
        </w:rPr>
        <w:t xml:space="preserve">2）自控阀门外表面、连接螺栓等构件应根据现场条件进行防腐蚀处理，提高耐大气、耐介质腐蚀能力；</w:t>
      </w:r>
    </w:p>
    <w:p>
      <w:pPr>
        <w:ind w:firstLine="560"/>
      </w:pPr>
      <w:r>
        <w:rPr>
          <w:sz w:val="28"/>
        </w:rPr>
        <w:t xml:space="preserve">3）用于联锁控制和关键工艺控制的自控阀门应选择进口品牌，主要选择品牌为：Fisher、萨姆森、梅索尼兰；其余自控阀门应选用甲方框架品牌产品；</w:t>
      </w:r>
    </w:p>
    <w:p>
      <w:pPr>
        <w:ind w:firstLine="560"/>
      </w:pPr>
      <w:r>
        <w:rPr>
          <w:sz w:val="28"/>
        </w:rPr>
        <w:t xml:space="preserve">4）自控阀阀体、阀内件材质不低于工艺管道的材料等级，一般为法兰连接，法兰等级和连接面与工艺管道规格相匹配；</w:t>
      </w:r>
    </w:p>
    <w:p>
      <w:pPr>
        <w:ind w:firstLine="560"/>
      </w:pPr>
      <w:r>
        <w:rPr>
          <w:sz w:val="28"/>
        </w:rPr>
        <w:t xml:space="preserve">5）阀门附件要求：</w:t>
      </w:r>
    </w:p>
    <w:p>
      <w:pPr>
        <w:ind w:firstLine="560"/>
      </w:pPr>
      <w:r>
        <w:t xml:space="preserve">①</w:t>
      </w:r>
      <w:r>
        <w:rPr>
          <w:sz w:val="28"/>
        </w:rPr>
        <w:t xml:space="preserve">电磁阀选用低功耗，供电DC24V；品牌指定为ASCO、NORGREN；阀体和接线盒材质为不锈钢；</w:t>
      </w:r>
    </w:p>
    <w:p>
      <w:pPr>
        <w:ind w:firstLine="560"/>
      </w:pPr>
      <w:r>
        <w:t xml:space="preserve">②</w:t>
      </w:r>
      <w:r>
        <w:rPr>
          <w:sz w:val="28"/>
        </w:rPr>
        <w:t xml:space="preserve">阀门定位器选用智能定位器，采用4~20mADC+HART协议二线制信号；品牌指定为SAMSON、Fisher、西门子、山武</w:t>
      </w:r>
    </w:p>
    <w:p>
      <w:pPr>
        <w:ind w:firstLine="560"/>
      </w:pPr>
      <w:r>
        <w:t xml:space="preserve">③</w:t>
      </w:r>
      <w:r>
        <w:rPr>
          <w:sz w:val="28"/>
        </w:rPr>
        <w:t xml:space="preserve">阀位反馈开关为干接点类型信号，指定品牌为TOPWORX，WESTLOCK，韩国APL系列；</w:t>
      </w:r>
    </w:p>
    <w:p>
      <w:pPr>
        <w:ind w:firstLine="560"/>
      </w:pPr>
      <w:r>
        <w:t xml:space="preserve">④</w:t>
      </w:r>
      <w:r>
        <w:rPr>
          <w:sz w:val="28"/>
        </w:rPr>
        <w:t xml:space="preserve">空气过滤减压器（带现场压力指示表），指定品牌为SMC、NORGREN、ASCO；</w:t>
      </w:r>
    </w:p>
    <w:p>
      <w:pPr>
        <w:ind w:firstLine="560"/>
      </w:pPr>
      <w:r>
        <w:t xml:space="preserve">⑤</w:t>
      </w:r>
      <w:r>
        <w:rPr>
          <w:sz w:val="28"/>
        </w:rPr>
        <w:t xml:space="preserve">调节阀不锈钢（304）铭牌上打印阀门产地、位号、量程、口径、流通能力（Cv值）、阀体压力等级、材质、FC/FO、防爆防护等级等内容，并永久牢固地固定在阀门上，每个阀体上应有永久性的流体流向标识。</w:t>
      </w:r>
    </w:p>
    <w:p>
      <w:pPr>
        <w:ind w:firstLine="560"/>
      </w:pPr>
      <w:r>
        <w:t xml:space="preserve">⑥</w:t>
      </w:r>
      <w:r>
        <w:rPr>
          <w:sz w:val="28"/>
        </w:rPr>
        <w:t xml:space="preserve">要求自控阀门气源接头及气源管使用304不锈钢材质，气源接口一般为1/4 NPT-φ8，大口径阀门按照厂家规定；</w:t>
      </w:r>
    </w:p>
    <w:p>
      <w:pPr>
        <w:ind w:firstLine="560"/>
      </w:pPr>
      <w:r>
        <w:rPr>
          <w:sz w:val="28"/>
        </w:rPr>
        <w:t xml:space="preserve">⑦电动阀门执行机构应选用智能型控制器，蝶阀阀体选用三偏心硬密封；</w:t>
      </w:r>
    </w:p>
    <w:p>
      <w:pPr>
        <w:ind w:firstLine="560"/>
      </w:pPr>
      <w:r>
        <w:rPr>
          <w:sz w:val="28"/>
        </w:rPr>
        <w:t xml:space="preserve">7、分析仪</w:t>
      </w:r>
    </w:p>
    <w:p>
      <w:pPr>
        <w:ind w:firstLine="560"/>
      </w:pPr>
      <w:r>
        <w:rPr>
          <w:sz w:val="28"/>
        </w:rPr>
        <w:t xml:space="preserve">1）通用要求：</w:t>
      </w:r>
    </w:p>
    <w:p>
      <w:pPr>
        <w:ind w:firstLine="560"/>
      </w:pPr>
      <w:r>
        <w:rPr>
          <w:sz w:val="28"/>
        </w:rPr>
        <w:t xml:space="preserve">①分析柜外墙及顶部采用不锈钢板，厚度不小于3.0mm，保温层不小于25mm；</w:t>
      </w:r>
    </w:p>
    <w:p>
      <w:pPr>
        <w:ind w:firstLine="560"/>
      </w:pPr>
      <w:r>
        <w:rPr>
          <w:sz w:val="28"/>
        </w:rPr>
        <w:t xml:space="preserve">②分析柜密闭、防雨、防尘、防腐、隔热，并设有防雨檐；</w:t>
      </w:r>
    </w:p>
    <w:p>
      <w:pPr>
        <w:ind w:firstLine="560"/>
      </w:pPr>
      <w:r>
        <w:rPr>
          <w:sz w:val="28"/>
        </w:rPr>
        <w:t xml:space="preserve">③ 分析柜顶带有起重用的吊耳，外面设有气瓶固定支架；</w:t>
      </w:r>
    </w:p>
    <w:p>
      <w:pPr>
        <w:ind w:firstLine="560"/>
      </w:pPr>
      <w:r>
        <w:rPr>
          <w:sz w:val="28"/>
        </w:rPr>
        <w:t xml:space="preserve">④在线分析仪和采样系统的所有工艺侧接液材质都应该满足采样介质的要求；</w:t>
      </w:r>
    </w:p>
    <w:p>
      <w:pPr>
        <w:ind w:firstLine="560"/>
      </w:pPr>
      <w:r>
        <w:rPr>
          <w:sz w:val="28"/>
        </w:rPr>
        <w:t xml:space="preserve">⑤在线分析仪必须包含足够的输入输出卡板，以满足与各控制系统的硬线连接。具体如下：输出： 2个4-20mA模拟量隔离信号，2 个干接点（继电器）;</w:t>
      </w:r>
    </w:p>
    <w:p>
      <w:pPr>
        <w:ind w:firstLine="560"/>
      </w:pPr>
      <w:r>
        <w:rPr>
          <w:sz w:val="28"/>
        </w:rPr>
        <w:t xml:space="preserve">⑥在线分析仪所有测量数据应通过4-20mA模拟量信号、ModBus协议或OPC协议传入DCS系统；</w:t>
      </w:r>
    </w:p>
    <w:p>
      <w:pPr>
        <w:ind w:firstLine="560"/>
      </w:pPr>
      <w:r>
        <w:t xml:space="preserve">⑦</w:t>
      </w:r>
      <w:r>
        <w:rPr>
          <w:sz w:val="28"/>
        </w:rPr>
        <w:t xml:space="preserve">在线分析仪应符合防爆区域等级要求；</w:t>
      </w:r>
    </w:p>
    <w:p>
      <w:pPr>
        <w:ind w:firstLine="560"/>
      </w:pPr>
      <w:r>
        <w:rPr>
          <w:sz w:val="28"/>
        </w:rPr>
        <w:t xml:space="preserve">8、电缆</w:t>
      </w:r>
    </w:p>
    <w:p>
      <w:pPr>
        <w:ind w:firstLine="560"/>
      </w:pPr>
      <w:r>
        <w:rPr>
          <w:sz w:val="28"/>
        </w:rPr>
        <w:t xml:space="preserve">1）电缆品牌：万马、正泰；</w:t>
      </w:r>
    </w:p>
    <w:p>
      <w:pPr>
        <w:ind w:firstLine="560"/>
      </w:pPr>
      <w:r>
        <w:rPr>
          <w:sz w:val="28"/>
        </w:rPr>
        <w:t xml:space="preserve">2）材质：铜芯聚乙烯绝缘铜丝编制屏蔽氯乙烯护套阻燃型计算机电缆或控制电缆；</w:t>
      </w:r>
    </w:p>
    <w:p>
      <w:pPr>
        <w:ind w:firstLine="560"/>
      </w:pPr>
      <w:r>
        <w:rPr>
          <w:sz w:val="28"/>
        </w:rPr>
        <w:t xml:space="preserve">3）类型：弯曲半径小、易于敷设、耐化学腐蚀，防腐、耐高温的软电缆；</w:t>
      </w:r>
    </w:p>
    <w:p>
      <w:pPr>
        <w:ind w:firstLine="560"/>
      </w:pPr>
      <w:r>
        <w:rPr>
          <w:sz w:val="28"/>
        </w:rPr>
        <w:t xml:space="preserve">4）截面积为1.5m2，本项目电缆要求为2芯、3芯、4芯、6芯。</w:t>
      </w:r>
    </w:p>
    <w:p>
      <w:pPr>
        <w:ind w:firstLine="560"/>
      </w:pPr>
      <w:r>
        <w:rPr>
          <w:sz w:val="28"/>
        </w:rPr>
        <w:t xml:space="preserve">5）电缆分屏蔽层纳入仪表工作接地，在机柜侧做单端接地;</w:t>
      </w:r>
    </w:p>
    <w:p>
      <w:pPr>
        <w:ind w:firstLine="560"/>
      </w:pPr>
      <w:r>
        <w:rPr>
          <w:sz w:val="28"/>
        </w:rPr>
        <w:t xml:space="preserve">9、报警器</w:t>
      </w:r>
    </w:p>
    <w:p>
      <w:pPr>
        <w:ind w:firstLine="560"/>
      </w:pPr>
      <w:r>
        <w:rPr>
          <w:sz w:val="28"/>
        </w:rPr>
        <w:t xml:space="preserve">1、在易发生可燃、有毒气体泄漏或聚积的场所，设置可燃、有毒气体检测报警器。检测信号接至专用的DCS系统，同时在现场、控制室分别进行集中声光报警显示。</w:t>
      </w:r>
    </w:p>
    <w:p>
      <w:pPr>
        <w:ind w:firstLine="560"/>
      </w:pPr>
      <w:r>
        <w:rPr>
          <w:sz w:val="28"/>
        </w:rPr>
        <w:t xml:space="preserve">2、现场报警器首选甲方框架品牌内产品，框架单位见附件；</w:t>
      </w:r>
    </w:p>
    <w:p>
      <w:pPr>
        <w:ind w:firstLine="560"/>
      </w:pPr>
      <w:r>
        <w:rPr>
          <w:sz w:val="28"/>
        </w:rPr>
        <w:t xml:space="preserve">3、报警器要求现场带声光报警、带现场显示；</w:t>
      </w:r>
    </w:p>
    <w:p>
      <w:pPr>
        <w:ind w:firstLine="560"/>
      </w:pPr>
      <w:r>
        <w:rPr>
          <w:sz w:val="28"/>
        </w:rPr>
        <w:t xml:space="preserve">4、报警器系统除了遵守以上条款外，还应符合GB50493-2019《石油化工可燃气体和有毒气体检测报警设计标准》的要求；</w:t>
      </w:r>
    </w:p>
    <w:p>
      <w:pPr>
        <w:ind w:firstLine="562.0000000000001"/>
      </w:pPr>
      <w:r>
        <w:rPr>
          <w:sz w:val="28"/>
          <w:b w:val="1"/>
        </w:rPr>
        <w:t xml:space="preserve">八、施工验收</w:t>
      </w:r>
    </w:p>
    <w:p>
      <w:pPr/>
      <w:r>
        <w:rPr>
          <w:sz w:val="28"/>
          <w:b w:val="1"/>
        </w:rPr>
        <w:t xml:space="preserve">    </w:t>
      </w:r>
      <w:r>
        <w:rPr>
          <w:sz w:val="28"/>
        </w:rPr>
        <w:t xml:space="preserve">1）仪表安装工程需符合《GB 50093-2013 自动化仪表工程施工及质量验收规范》的要求。</w:t>
      </w:r>
    </w:p>
    <w:p>
      <w:pPr>
        <w:ind w:firstLine="560"/>
      </w:pPr>
      <w:r>
        <w:rPr>
          <w:sz w:val="28"/>
        </w:rPr>
        <w:t xml:space="preserve">2）中标方需主导负责仪表专业的设计、采购、运输、施工、安装、单机试车、性能测试、交付调试、保运、开车验收、现场技术服务、文件编制（运转、管理、技术等）、现场技术服务、培训和售后服务等工作。</w:t>
      </w:r>
    </w:p>
    <w:p>
      <w:pPr>
        <w:ind w:firstLine="560"/>
      </w:pPr>
      <w:r>
        <w:rPr>
          <w:sz w:val="28"/>
        </w:rPr>
        <w:t xml:space="preserve">3）中标方应主导完成单机调试、回路调试和联调试车，并提供详细的调试确认记录。例如储罐调试，液位计必须做到满罐调试等。</w:t>
      </w:r>
    </w:p>
    <w:p>
      <w:pPr>
        <w:ind w:firstLine="560"/>
      </w:pPr>
      <w:r>
        <w:rPr>
          <w:sz w:val="28"/>
        </w:rPr>
        <w:t xml:space="preserve">4）中标方应为用户编制详细的运行操作规程、符合安全仪表系统要求的周期检验测试计划和规程、检维修指导手册，规程和手册务必要分步骤编制，要把自控语言通俗化，让操作工易学易懂，让操作工能快速排除异常。</w:t>
      </w:r>
    </w:p>
    <w:p>
      <w:pPr>
        <w:ind w:firstLine="562.0000000000001"/>
      </w:pPr>
      <w:r>
        <w:rPr>
          <w:sz w:val="28"/>
          <w:b w:val="1"/>
        </w:rPr>
        <w:t xml:space="preserve">九、交工资料</w:t>
      </w:r>
    </w:p>
    <w:p>
      <w:pPr>
        <w:ind w:firstLine="560"/>
      </w:pPr>
      <w:r>
        <w:rPr>
          <w:sz w:val="28"/>
        </w:rPr>
        <w:t xml:space="preserve">1） 仪表设备台帐；</w:t>
      </w:r>
    </w:p>
    <w:p>
      <w:pPr>
        <w:ind w:firstLine="560"/>
      </w:pPr>
      <w:r>
        <w:rPr>
          <w:sz w:val="28"/>
        </w:rPr>
        <w:t xml:space="preserve">2)  联锁台账；</w:t>
      </w:r>
    </w:p>
    <w:p>
      <w:pPr>
        <w:ind w:firstLine="560"/>
      </w:pPr>
      <w:r>
        <w:rPr>
          <w:sz w:val="28"/>
        </w:rPr>
        <w:t xml:space="preserve">3)  联锁逻辑图；</w:t>
      </w:r>
    </w:p>
    <w:p>
      <w:pPr>
        <w:ind w:firstLine="560"/>
      </w:pPr>
      <w:r>
        <w:rPr>
          <w:sz w:val="28"/>
        </w:rPr>
        <w:t xml:space="preserve">4)  仪表设备操作使用说明；</w:t>
      </w:r>
    </w:p>
    <w:p>
      <w:pPr>
        <w:ind w:firstLine="560"/>
      </w:pPr>
      <w:r>
        <w:rPr>
          <w:sz w:val="28"/>
        </w:rPr>
        <w:t xml:space="preserve">5） 自控方案；</w:t>
      </w:r>
    </w:p>
    <w:p>
      <w:pPr>
        <w:ind w:firstLine="560"/>
      </w:pPr>
      <w:r>
        <w:rPr>
          <w:sz w:val="28"/>
        </w:rPr>
        <w:t xml:space="preserve">6） 开车备件；</w:t>
      </w:r>
    </w:p>
    <w:p>
      <w:pPr>
        <w:ind w:firstLine="560"/>
      </w:pPr>
      <w:r>
        <w:rPr>
          <w:sz w:val="28"/>
        </w:rPr>
        <w:t xml:space="preserve">7） 电气图纸、P&amp;ID图纸、安装软件及授权、带注释的程序备份、程序密码等；</w:t>
      </w:r>
    </w:p>
    <w:p>
      <w:pPr>
        <w:ind w:firstLine="560"/>
      </w:pPr>
      <w:r>
        <w:rPr>
          <w:sz w:val="28"/>
        </w:rPr>
        <w:t xml:space="preserve">8） 维护手册。</w:t>
      </w:r>
    </w:p>
    <w:p>
      <w:pPr/>
      <w:r>
        <w:rPr>
          <w:sz w:val="28"/>
          <w:b w:val="1"/>
        </w:rPr>
        <w:t xml:space="preserve">附件：仪表框架品牌要求</w:t>
      </w:r>
    </w:p>
    <w:tbl>
      <w:tblPr>
        <w:tblStyle w:val="TableGrid"/>
        <w:tblW w:w="0" w:type="auto"/>
      </w:tblPr>
      <w:tblGrid>
        <w:gridCol w:w="1830"/>
        <w:gridCol w:w="1830"/>
        <w:gridCol w:w="5670"/>
      </w:tblGrid>
      <w:tr>
        <w:trPr>
          <w:trHeight w:val="444"/>
        </w:trPr>
        <w:tc>
          <w:tcPr>
            <w:tcW w:w="1830" w:type="dxa"/>
            <w:tcBorders>
              <w:bottom w:val="single" w:sz="6" w:space="0" w:color="000000"/>
              <w:top w:val="single" w:sz="6" w:space="0" w:color="000000"/>
              <w:right w:val="single" w:sz="6" w:space="0" w:color="000000"/>
              <w:left w:val="single" w:sz="6" w:space="0" w:color="000000"/>
            </w:tcBorders>
          </w:tcPr>
          <w:p>
            <w:pPr>
              <w:spacing w:line="276"/>
              <w:jc w:val="center"/>
            </w:pPr>
            <w:r>
              <w:t xml:space="preserve">类别</w:t>
            </w:r>
          </w:p>
        </w:tc>
        <w:tc>
          <w:tcPr>
            <w:tcW w:w="1830" w:type="dxa"/>
            <w:tcBorders>
              <w:bottom w:val="single" w:sz="6" w:space="0" w:color="000000"/>
              <w:top w:val="single" w:sz="6" w:space="0" w:color="000000"/>
              <w:right w:val="single" w:sz="6" w:space="0" w:color="000000"/>
            </w:tcBorders>
          </w:tcPr>
          <w:p>
            <w:pPr>
              <w:spacing w:line="276"/>
              <w:jc w:val="center"/>
            </w:pPr>
            <w:r>
              <w:t xml:space="preserve">类型</w:t>
            </w:r>
          </w:p>
        </w:tc>
        <w:tc>
          <w:tcPr>
            <w:tcW w:w="5670" w:type="dxa"/>
            <w:tcBorders>
              <w:bottom w:val="single" w:sz="6" w:space="0" w:color="000000"/>
              <w:top w:val="single" w:sz="6" w:space="0" w:color="000000"/>
              <w:right w:val="single" w:sz="6" w:space="0" w:color="000000"/>
            </w:tcBorders>
          </w:tcPr>
          <w:p>
            <w:pPr>
              <w:spacing w:line="276"/>
              <w:jc w:val="center"/>
            </w:pPr>
            <w:r>
              <w:t xml:space="preserve">品牌</w:t>
            </w:r>
          </w:p>
        </w:tc>
      </w:tr>
      <w:tr>
        <w:trPr>
          <w:trHeight w:val="444"/>
        </w:trPr>
        <w:tc>
          <w:tcPr>
            <w:tcW w:w="1830" w:type="dxa"/>
            <w:vMerge w:val="restart"/>
            <w:tcBorders>
              <w:bottom w:val="single" w:sz="6" w:space="0" w:color="000000"/>
              <w:right w:val="single" w:sz="6" w:space="0" w:color="000000"/>
              <w:left w:val="single" w:sz="6" w:space="0" w:color="000000"/>
            </w:tcBorders>
          </w:tcPr>
          <w:p>
            <w:pPr>
              <w:spacing w:line="276"/>
              <w:jc w:val="center"/>
            </w:pPr>
            <w:r>
              <w:t xml:space="preserve">温度类</w:t>
            </w:r>
          </w:p>
        </w:tc>
        <w:tc>
          <w:tcPr>
            <w:tcW w:w="1830" w:type="dxa"/>
            <w:tcBorders>
              <w:bottom w:val="single" w:sz="6" w:space="0" w:color="000000"/>
              <w:right w:val="single" w:sz="6" w:space="0" w:color="000000"/>
            </w:tcBorders>
          </w:tcPr>
          <w:p>
            <w:pPr>
              <w:spacing w:line="276"/>
              <w:jc w:val="center"/>
            </w:pPr>
            <w:r>
              <w:t xml:space="preserve">双金属</w:t>
            </w:r>
          </w:p>
        </w:tc>
        <w:tc>
          <w:tcPr>
            <w:tcW w:w="5670" w:type="dxa"/>
            <w:tcBorders>
              <w:bottom w:val="single" w:sz="6" w:space="0" w:color="000000"/>
              <w:right w:val="single" w:sz="6" w:space="0" w:color="000000"/>
            </w:tcBorders>
          </w:tcPr>
          <w:p>
            <w:pPr>
              <w:spacing w:line="276"/>
              <w:jc w:val="center"/>
            </w:pPr>
            <w:r>
              <w:t xml:space="preserve">天津中环、重庆川仪（十一厂）</w:t>
            </w:r>
          </w:p>
        </w:tc>
      </w:tr>
      <w:tr>
        <w:trPr>
          <w:trHeight w:val="444"/>
        </w:trPr>
        <w:tc>
          <w:tcPr>
            <w:vMerge w:val="continue"/>
          </w:tcPr>
          <w:p>
            <w:pPr/>
            <w:r/>
          </w:p>
        </w:tc>
        <w:tc>
          <w:tcPr>
            <w:tcW w:w="1830" w:type="dxa"/>
            <w:tcBorders>
              <w:bottom w:val="single" w:sz="6" w:space="0" w:color="000000"/>
              <w:right w:val="single" w:sz="6" w:space="0" w:color="000000"/>
            </w:tcBorders>
          </w:tcPr>
          <w:p>
            <w:pPr>
              <w:spacing w:line="276"/>
              <w:jc w:val="center"/>
            </w:pPr>
            <w:r>
              <w:t xml:space="preserve">铂电阻</w:t>
            </w:r>
          </w:p>
        </w:tc>
        <w:tc>
          <w:tcPr>
            <w:tcW w:w="5670" w:type="dxa"/>
            <w:tcBorders>
              <w:bottom w:val="single" w:sz="6" w:space="0" w:color="000000"/>
              <w:right w:val="single" w:sz="6" w:space="0" w:color="000000"/>
            </w:tcBorders>
          </w:tcPr>
          <w:p>
            <w:pPr>
              <w:spacing w:line="276"/>
              <w:jc w:val="center"/>
            </w:pPr>
            <w:r>
              <w:t xml:space="preserve">天津中环、重庆川仪（十一厂）</w:t>
            </w:r>
          </w:p>
        </w:tc>
      </w:tr>
      <w:tr>
        <w:trPr>
          <w:trHeight w:val="444"/>
        </w:trPr>
        <w:tc>
          <w:tcPr>
            <w:vMerge w:val="continue"/>
          </w:tcPr>
          <w:p>
            <w:pPr/>
            <w:r/>
          </w:p>
        </w:tc>
        <w:tc>
          <w:tcPr>
            <w:tcW w:w="1830" w:type="dxa"/>
            <w:tcBorders>
              <w:bottom w:val="single" w:sz="6" w:space="0" w:color="000000"/>
              <w:right w:val="single" w:sz="6" w:space="0" w:color="000000"/>
            </w:tcBorders>
          </w:tcPr>
          <w:p>
            <w:pPr>
              <w:spacing w:line="276"/>
              <w:jc w:val="center"/>
            </w:pPr>
            <w:r>
              <w:t xml:space="preserve">热电偶</w:t>
            </w:r>
          </w:p>
        </w:tc>
        <w:tc>
          <w:tcPr>
            <w:tcW w:w="5670" w:type="dxa"/>
            <w:tcBorders>
              <w:bottom w:val="single" w:sz="6" w:space="0" w:color="000000"/>
              <w:right w:val="single" w:sz="6" w:space="0" w:color="000000"/>
            </w:tcBorders>
          </w:tcPr>
          <w:p>
            <w:pPr>
              <w:spacing w:line="276"/>
              <w:jc w:val="center"/>
            </w:pPr>
            <w:r>
              <w:t xml:space="preserve">天津中环、重庆川仪（十一厂）</w:t>
            </w:r>
          </w:p>
        </w:tc>
      </w:tr>
      <w:tr>
        <w:trPr>
          <w:trHeight w:val="444"/>
        </w:trPr>
        <w:tc>
          <w:tcPr>
            <w:vMerge w:val="continue"/>
          </w:tcPr>
          <w:p>
            <w:pPr/>
            <w:r/>
          </w:p>
        </w:tc>
        <w:tc>
          <w:tcPr>
            <w:tcW w:w="1830" w:type="dxa"/>
            <w:tcBorders>
              <w:bottom w:val="single" w:sz="6" w:space="0" w:color="000000"/>
              <w:right w:val="single" w:sz="6" w:space="0" w:color="000000"/>
            </w:tcBorders>
          </w:tcPr>
          <w:p>
            <w:pPr>
              <w:spacing w:line="276"/>
              <w:jc w:val="center"/>
            </w:pPr>
            <w:r>
              <w:rPr>
                <w:color w:val="1A17A9"/>
              </w:rPr>
              <w:t xml:space="preserve">温变</w:t>
            </w:r>
          </w:p>
        </w:tc>
        <w:tc>
          <w:tcPr>
            <w:tcW w:w="5670" w:type="dxa"/>
            <w:tcBorders>
              <w:bottom w:val="single" w:sz="6" w:space="0" w:color="000000"/>
              <w:right w:val="single" w:sz="6" w:space="0" w:color="000000"/>
            </w:tcBorders>
          </w:tcPr>
          <w:p>
            <w:pPr>
              <w:spacing w:line="276"/>
              <w:jc w:val="center"/>
            </w:pPr>
            <w:r>
              <w:t xml:space="preserve">天津中环、重庆川仪（十一厂）</w:t>
            </w:r>
          </w:p>
        </w:tc>
      </w:tr>
      <w:tr>
        <w:trPr>
          <w:trHeight w:val="444"/>
        </w:trPr>
        <w:tc>
          <w:tcPr>
            <w:tcW w:w="1830" w:type="dxa"/>
            <w:vMerge w:val="restart"/>
            <w:tcBorders>
              <w:bottom w:val="single" w:sz="6" w:space="0" w:color="000000"/>
              <w:right w:val="single" w:sz="6" w:space="0" w:color="000000"/>
              <w:left w:val="single" w:sz="6" w:space="0" w:color="000000"/>
            </w:tcBorders>
          </w:tcPr>
          <w:p>
            <w:pPr>
              <w:spacing w:line="276"/>
              <w:jc w:val="center"/>
            </w:pPr>
            <w:r>
              <w:t xml:space="preserve">压力类</w:t>
            </w:r>
          </w:p>
        </w:tc>
        <w:tc>
          <w:tcPr>
            <w:tcW w:w="1830" w:type="dxa"/>
            <w:tcBorders>
              <w:bottom w:val="single" w:sz="6" w:space="0" w:color="000000"/>
              <w:right w:val="single" w:sz="6" w:space="0" w:color="000000"/>
            </w:tcBorders>
          </w:tcPr>
          <w:p>
            <w:pPr>
              <w:spacing w:line="276"/>
              <w:jc w:val="center"/>
            </w:pPr>
            <w:r>
              <w:t xml:space="preserve">压力表</w:t>
            </w:r>
          </w:p>
        </w:tc>
        <w:tc>
          <w:tcPr>
            <w:tcW w:w="5670" w:type="dxa"/>
            <w:tcBorders>
              <w:bottom w:val="single" w:sz="6" w:space="0" w:color="000000"/>
              <w:right w:val="single" w:sz="6" w:space="0" w:color="000000"/>
            </w:tcBorders>
          </w:tcPr>
          <w:p>
            <w:pPr>
              <w:spacing w:line="276"/>
              <w:jc w:val="center"/>
            </w:pPr>
            <w:r>
              <w:t xml:space="preserve">北京布莱迪、巨化</w:t>
            </w:r>
          </w:p>
        </w:tc>
      </w:tr>
      <w:tr>
        <w:trPr>
          <w:trHeight w:val="444"/>
        </w:trPr>
        <w:tc>
          <w:tcPr>
            <w:vMerge w:val="continue"/>
          </w:tcPr>
          <w:p>
            <w:pPr/>
            <w:r/>
          </w:p>
        </w:tc>
        <w:tc>
          <w:tcPr>
            <w:tcW w:w="1830" w:type="dxa"/>
            <w:tcBorders>
              <w:bottom w:val="single" w:sz="6" w:space="0" w:color="000000"/>
              <w:right w:val="single" w:sz="6" w:space="0" w:color="000000"/>
            </w:tcBorders>
          </w:tcPr>
          <w:p>
            <w:pPr>
              <w:spacing w:line="276"/>
              <w:jc w:val="center"/>
            </w:pPr>
            <w:r>
              <w:t xml:space="preserve">压变/差压</w:t>
            </w:r>
          </w:p>
        </w:tc>
        <w:tc>
          <w:tcPr>
            <w:tcW w:w="5670" w:type="dxa"/>
            <w:tcBorders>
              <w:bottom w:val="single" w:sz="6" w:space="0" w:color="000000"/>
              <w:right w:val="single" w:sz="6" w:space="0" w:color="000000"/>
            </w:tcBorders>
          </w:tcPr>
          <w:p>
            <w:pPr>
              <w:spacing w:line="276"/>
              <w:jc w:val="center"/>
            </w:pPr>
            <w:r>
              <w:t xml:space="preserve">横河EJA、罗斯蒙特3051S</w:t>
            </w:r>
          </w:p>
        </w:tc>
      </w:tr>
      <w:tr>
        <w:trPr>
          <w:trHeight w:val="444"/>
        </w:trPr>
        <w:tc>
          <w:tcPr>
            <w:vMerge w:val="continue"/>
          </w:tcPr>
          <w:p>
            <w:pPr/>
            <w:r/>
          </w:p>
        </w:tc>
        <w:tc>
          <w:tcPr>
            <w:tcW w:w="1830" w:type="dxa"/>
            <w:tcBorders>
              <w:bottom w:val="single" w:sz="6" w:space="0" w:color="000000"/>
              <w:right w:val="single" w:sz="6" w:space="0" w:color="000000"/>
            </w:tcBorders>
          </w:tcPr>
          <w:p>
            <w:pPr>
              <w:spacing w:line="276"/>
              <w:jc w:val="center"/>
            </w:pPr>
            <w:r>
              <w:t xml:space="preserve">压力开关</w:t>
            </w:r>
          </w:p>
        </w:tc>
        <w:tc>
          <w:tcPr>
            <w:tcW w:w="5670" w:type="dxa"/>
            <w:tcBorders>
              <w:bottom w:val="single" w:sz="6" w:space="0" w:color="000000"/>
              <w:right w:val="single" w:sz="6" w:space="0" w:color="000000"/>
            </w:tcBorders>
          </w:tcPr>
          <w:p>
            <w:pPr>
              <w:spacing w:line="276"/>
              <w:jc w:val="center"/>
            </w:pPr>
            <w:r>
              <w:t xml:space="preserve">UE</w:t>
            </w:r>
          </w:p>
        </w:tc>
      </w:tr>
      <w:tr>
        <w:trPr>
          <w:trHeight w:val="444"/>
        </w:trPr>
        <w:tc>
          <w:tcPr>
            <w:tcW w:w="1830" w:type="dxa"/>
            <w:vMerge w:val="restart"/>
            <w:tcBorders>
              <w:bottom w:val="single" w:sz="6" w:space="0" w:color="000000"/>
              <w:right w:val="single" w:sz="6" w:space="0" w:color="000000"/>
              <w:left w:val="single" w:sz="6" w:space="0" w:color="000000"/>
            </w:tcBorders>
          </w:tcPr>
          <w:p>
            <w:pPr>
              <w:spacing w:line="276"/>
              <w:jc w:val="center"/>
            </w:pPr>
            <w:r>
              <w:t xml:space="preserve">流量类</w:t>
            </w:r>
          </w:p>
        </w:tc>
        <w:tc>
          <w:tcPr>
            <w:tcW w:w="1830" w:type="dxa"/>
            <w:tcBorders>
              <w:bottom w:val="single" w:sz="6" w:space="0" w:color="000000"/>
              <w:right w:val="single" w:sz="6" w:space="0" w:color="000000"/>
            </w:tcBorders>
          </w:tcPr>
          <w:p>
            <w:pPr>
              <w:spacing w:line="276"/>
              <w:jc w:val="center"/>
            </w:pPr>
            <w:r>
              <w:t xml:space="preserve">金转</w:t>
            </w:r>
          </w:p>
        </w:tc>
        <w:tc>
          <w:tcPr>
            <w:tcW w:w="5670" w:type="dxa"/>
            <w:tcBorders>
              <w:bottom w:val="single" w:sz="6" w:space="0" w:color="000000"/>
              <w:right w:val="single" w:sz="6" w:space="0" w:color="000000"/>
            </w:tcBorders>
          </w:tcPr>
          <w:p>
            <w:pPr>
              <w:spacing w:line="276"/>
              <w:jc w:val="center"/>
            </w:pPr>
            <w:r>
              <w:t xml:space="preserve">科隆</w:t>
            </w:r>
          </w:p>
        </w:tc>
      </w:tr>
      <w:tr>
        <w:trPr>
          <w:trHeight w:val="444"/>
        </w:trPr>
        <w:tc>
          <w:tcPr>
            <w:vMerge w:val="continue"/>
          </w:tcPr>
          <w:p>
            <w:pPr/>
            <w:r/>
          </w:p>
        </w:tc>
        <w:tc>
          <w:tcPr>
            <w:tcW w:w="1830" w:type="dxa"/>
            <w:tcBorders>
              <w:bottom w:val="single" w:sz="6" w:space="0" w:color="000000"/>
              <w:right w:val="single" w:sz="6" w:space="0" w:color="000000"/>
            </w:tcBorders>
          </w:tcPr>
          <w:p>
            <w:pPr>
              <w:spacing w:line="276"/>
              <w:jc w:val="center"/>
            </w:pPr>
            <w:r>
              <w:t xml:space="preserve">涡街</w:t>
            </w:r>
          </w:p>
        </w:tc>
        <w:tc>
          <w:tcPr>
            <w:tcW w:w="5670" w:type="dxa"/>
            <w:tcBorders>
              <w:bottom w:val="single" w:sz="6" w:space="0" w:color="000000"/>
              <w:right w:val="single" w:sz="6" w:space="0" w:color="000000"/>
            </w:tcBorders>
          </w:tcPr>
          <w:p>
            <w:pPr>
              <w:spacing w:line="276"/>
              <w:jc w:val="center"/>
            </w:pPr>
            <w:r>
              <w:t xml:space="preserve">横河、罗斯蒙特</w:t>
            </w:r>
          </w:p>
        </w:tc>
      </w:tr>
      <w:tr>
        <w:trPr>
          <w:trHeight w:val="444"/>
        </w:trPr>
        <w:tc>
          <w:tcPr>
            <w:vMerge w:val="continue"/>
          </w:tcPr>
          <w:p>
            <w:pPr/>
            <w:r/>
          </w:p>
        </w:tc>
        <w:tc>
          <w:tcPr>
            <w:tcW w:w="1830" w:type="dxa"/>
            <w:tcBorders>
              <w:bottom w:val="single" w:sz="6" w:space="0" w:color="000000"/>
              <w:right w:val="single" w:sz="6" w:space="0" w:color="000000"/>
            </w:tcBorders>
          </w:tcPr>
          <w:p>
            <w:pPr>
              <w:spacing w:line="276"/>
              <w:jc w:val="center"/>
            </w:pPr>
            <w:r>
              <w:t xml:space="preserve">质量</w:t>
            </w:r>
          </w:p>
        </w:tc>
        <w:tc>
          <w:tcPr>
            <w:tcW w:w="5670" w:type="dxa"/>
            <w:tcBorders>
              <w:bottom w:val="single" w:sz="6" w:space="0" w:color="000000"/>
              <w:right w:val="single" w:sz="6" w:space="0" w:color="000000"/>
            </w:tcBorders>
          </w:tcPr>
          <w:p>
            <w:pPr>
              <w:spacing w:line="276"/>
              <w:jc w:val="center"/>
            </w:pPr>
            <w:r>
              <w:t xml:space="preserve">横河、罗斯蒙特</w:t>
            </w:r>
          </w:p>
        </w:tc>
      </w:tr>
      <w:tr>
        <w:trPr>
          <w:trHeight w:val="444"/>
        </w:trPr>
        <w:tc>
          <w:tcPr>
            <w:vMerge w:val="continue"/>
          </w:tcPr>
          <w:p>
            <w:pPr/>
            <w:r/>
          </w:p>
        </w:tc>
        <w:tc>
          <w:tcPr>
            <w:tcW w:w="1830" w:type="dxa"/>
            <w:tcBorders>
              <w:bottom w:val="single" w:sz="6" w:space="0" w:color="000000"/>
              <w:right w:val="single" w:sz="6" w:space="0" w:color="000000"/>
            </w:tcBorders>
          </w:tcPr>
          <w:p>
            <w:pPr>
              <w:spacing w:line="276"/>
              <w:jc w:val="center"/>
            </w:pPr>
            <w:r>
              <w:t xml:space="preserve">电磁</w:t>
            </w:r>
          </w:p>
        </w:tc>
        <w:tc>
          <w:tcPr>
            <w:tcW w:w="5670" w:type="dxa"/>
            <w:tcBorders>
              <w:bottom w:val="single" w:sz="6" w:space="0" w:color="000000"/>
              <w:right w:val="single" w:sz="6" w:space="0" w:color="000000"/>
            </w:tcBorders>
          </w:tcPr>
          <w:p>
            <w:pPr>
              <w:spacing w:line="276"/>
              <w:jc w:val="center"/>
            </w:pPr>
            <w:r>
              <w:t xml:space="preserve">横河、罗斯蒙特</w:t>
            </w:r>
          </w:p>
        </w:tc>
      </w:tr>
      <w:tr>
        <w:trPr>
          <w:trHeight w:val="527"/>
        </w:trPr>
        <w:tc>
          <w:tcPr>
            <w:tcW w:w="1830" w:type="dxa"/>
            <w:vMerge w:val="restart"/>
            <w:tcBorders>
              <w:bottom w:val="single" w:sz="6" w:space="0" w:color="000000"/>
              <w:right w:val="single" w:sz="6" w:space="0" w:color="000000"/>
              <w:left w:val="single" w:sz="6" w:space="0" w:color="000000"/>
            </w:tcBorders>
          </w:tcPr>
          <w:p>
            <w:pPr>
              <w:spacing w:line="276"/>
              <w:jc w:val="center"/>
            </w:pPr>
            <w:r>
              <w:t xml:space="preserve">液位类</w:t>
            </w:r>
          </w:p>
        </w:tc>
        <w:tc>
          <w:tcPr>
            <w:tcW w:w="1830" w:type="dxa"/>
            <w:tcBorders>
              <w:bottom w:val="single" w:sz="6" w:space="0" w:color="000000"/>
              <w:right w:val="single" w:sz="6" w:space="0" w:color="000000"/>
            </w:tcBorders>
          </w:tcPr>
          <w:p>
            <w:pPr>
              <w:spacing w:line="276"/>
              <w:jc w:val="center"/>
            </w:pPr>
            <w:r>
              <w:t xml:space="preserve">雷达</w:t>
            </w:r>
          </w:p>
        </w:tc>
        <w:tc>
          <w:tcPr>
            <w:tcW w:w="5670" w:type="dxa"/>
            <w:tcBorders>
              <w:bottom w:val="single" w:sz="6" w:space="0" w:color="000000"/>
              <w:right w:val="single" w:sz="6" w:space="0" w:color="000000"/>
            </w:tcBorders>
          </w:tcPr>
          <w:p>
            <w:pPr>
              <w:spacing w:line="276"/>
              <w:jc w:val="center"/>
            </w:pPr>
            <w:r>
              <w:t xml:space="preserve">VEGA</w:t>
            </w:r>
          </w:p>
        </w:tc>
      </w:tr>
      <w:tr>
        <w:trPr>
          <w:trHeight w:val="444"/>
        </w:trPr>
        <w:tc>
          <w:tcPr>
            <w:vMerge w:val="continue"/>
          </w:tcPr>
          <w:p>
            <w:pPr/>
            <w:r/>
          </w:p>
        </w:tc>
        <w:tc>
          <w:tcPr>
            <w:tcW w:w="1830" w:type="dxa"/>
            <w:tcBorders>
              <w:bottom w:val="single" w:sz="6" w:space="0" w:color="000000"/>
              <w:right w:val="single" w:sz="6" w:space="0" w:color="000000"/>
            </w:tcBorders>
          </w:tcPr>
          <w:p>
            <w:pPr>
              <w:spacing w:line="276"/>
              <w:jc w:val="center"/>
            </w:pPr>
            <w:r>
              <w:rPr>
                <w:color w:val="1A17A9"/>
              </w:rPr>
              <w:t xml:space="preserve">磁浮子</w:t>
            </w:r>
          </w:p>
        </w:tc>
        <w:tc>
          <w:tcPr>
            <w:tcW w:w="5670" w:type="dxa"/>
            <w:tcBorders>
              <w:bottom w:val="single" w:sz="6" w:space="0" w:color="000000"/>
              <w:right w:val="single" w:sz="6" w:space="0" w:color="000000"/>
            </w:tcBorders>
          </w:tcPr>
          <w:p>
            <w:pPr>
              <w:spacing w:line="276"/>
              <w:jc w:val="center"/>
            </w:pPr>
            <w:r>
              <w:t xml:space="preserve">星申</w:t>
            </w:r>
          </w:p>
        </w:tc>
      </w:tr>
      <w:tr>
        <w:trPr>
          <w:trHeight w:val="444"/>
        </w:trPr>
        <w:tc>
          <w:tcPr>
            <w:vMerge w:val="continue"/>
          </w:tcPr>
          <w:p>
            <w:pPr/>
            <w:r/>
          </w:p>
        </w:tc>
        <w:tc>
          <w:tcPr>
            <w:tcW w:w="1830" w:type="dxa"/>
            <w:tcBorders>
              <w:bottom w:val="single" w:sz="6" w:space="0" w:color="000000"/>
              <w:right w:val="single" w:sz="6" w:space="0" w:color="000000"/>
            </w:tcBorders>
          </w:tcPr>
          <w:p>
            <w:pPr>
              <w:spacing w:line="276"/>
              <w:jc w:val="center"/>
            </w:pPr>
            <w:r>
              <w:t xml:space="preserve">音叉</w:t>
            </w:r>
          </w:p>
        </w:tc>
        <w:tc>
          <w:tcPr>
            <w:tcW w:w="5670" w:type="dxa"/>
            <w:tcBorders>
              <w:bottom w:val="single" w:sz="6" w:space="0" w:color="000000"/>
              <w:right w:val="single" w:sz="6" w:space="0" w:color="000000"/>
            </w:tcBorders>
          </w:tcPr>
          <w:p>
            <w:pPr>
              <w:spacing w:line="276"/>
              <w:jc w:val="center"/>
            </w:pPr>
            <w:r>
              <w:t xml:space="preserve">VEGA</w:t>
            </w:r>
          </w:p>
        </w:tc>
      </w:tr>
      <w:tr>
        <w:trPr>
          <w:trHeight w:val="444"/>
        </w:trPr>
        <w:tc>
          <w:tcPr>
            <w:tcW w:w="1830" w:type="dxa"/>
            <w:vMerge w:val="restart"/>
            <w:tcBorders>
              <w:right w:val="single" w:sz="6" w:space="0" w:color="000000"/>
              <w:left w:val="single" w:sz="6" w:space="0" w:color="000000"/>
            </w:tcBorders>
          </w:tcPr>
          <w:p>
            <w:pPr>
              <w:spacing w:line="276"/>
              <w:jc w:val="center"/>
            </w:pPr>
            <w:r>
              <w:t xml:space="preserve">分析仪表</w:t>
            </w:r>
          </w:p>
        </w:tc>
        <w:tc>
          <w:tcPr>
            <w:tcW w:w="1830" w:type="dxa"/>
            <w:tcBorders>
              <w:bottom w:val="single" w:sz="6" w:space="0" w:color="000000"/>
              <w:right w:val="single" w:sz="6" w:space="0" w:color="000000"/>
            </w:tcBorders>
          </w:tcPr>
          <w:p>
            <w:pPr>
              <w:spacing w:line="276"/>
              <w:jc w:val="center"/>
            </w:pPr>
            <w:r>
              <w:t xml:space="preserve">报警器</w:t>
            </w:r>
          </w:p>
        </w:tc>
        <w:tc>
          <w:tcPr>
            <w:tcW w:w="5670" w:type="dxa"/>
            <w:tcBorders>
              <w:bottom w:val="single" w:sz="6" w:space="0" w:color="000000"/>
              <w:right w:val="single" w:sz="6" w:space="0" w:color="000000"/>
            </w:tcBorders>
          </w:tcPr>
          <w:p>
            <w:pPr>
              <w:spacing w:line="276"/>
              <w:jc w:val="center"/>
            </w:pPr>
            <w:r>
              <w:t xml:space="preserve">诺安</w:t>
            </w:r>
          </w:p>
        </w:tc>
      </w:tr>
      <w:tr>
        <w:trPr>
          <w:trHeight w:val="444"/>
        </w:trPr>
        <w:tc>
          <w:tcPr>
            <w:vMerge w:val="continue"/>
          </w:tcPr>
          <w:p>
            <w:pPr/>
            <w:r/>
          </w:p>
        </w:tc>
        <w:tc>
          <w:tcPr>
            <w:tcW w:w="1830" w:type="dxa"/>
            <w:tcBorders>
              <w:bottom w:val="single" w:sz="6" w:space="0" w:color="000000"/>
              <w:right w:val="single" w:sz="6" w:space="0" w:color="000000"/>
            </w:tcBorders>
          </w:tcPr>
          <w:p>
            <w:pPr>
              <w:spacing w:line="276"/>
              <w:jc w:val="center"/>
            </w:pPr>
            <w:r>
              <w:t xml:space="preserve">激光分析仪</w:t>
            </w:r>
          </w:p>
        </w:tc>
        <w:tc>
          <w:tcPr>
            <w:tcW w:w="5670" w:type="dxa"/>
            <w:tcBorders>
              <w:bottom w:val="single" w:sz="6" w:space="0" w:color="000000"/>
              <w:right w:val="single" w:sz="6" w:space="0" w:color="000000"/>
            </w:tcBorders>
          </w:tcPr>
          <w:p>
            <w:pPr>
              <w:spacing w:line="276"/>
              <w:jc w:val="center"/>
            </w:pPr>
            <w:r>
              <w:t xml:space="preserve">梅特勒</w:t>
            </w:r>
          </w:p>
        </w:tc>
      </w:tr>
      <w:tr>
        <w:trPr>
          <w:trHeight w:val="444"/>
        </w:trPr>
        <w:tc>
          <w:tcPr>
            <w:vMerge w:val="continue"/>
          </w:tcPr>
          <w:p>
            <w:pPr/>
            <w:r/>
          </w:p>
        </w:tc>
        <w:tc>
          <w:tcPr>
            <w:tcW w:w="1830" w:type="dxa"/>
            <w:tcBorders>
              <w:bottom w:val="single" w:sz="6" w:space="0" w:color="000000"/>
              <w:right w:val="single" w:sz="6" w:space="0" w:color="000000"/>
            </w:tcBorders>
          </w:tcPr>
          <w:p>
            <w:pPr>
              <w:spacing w:line="276"/>
              <w:jc w:val="center"/>
            </w:pPr>
            <w:r>
              <w:t xml:space="preserve">PH</w:t>
            </w:r>
          </w:p>
        </w:tc>
        <w:tc>
          <w:tcPr>
            <w:tcW w:w="5670" w:type="dxa"/>
            <w:tcBorders>
              <w:bottom w:val="single" w:sz="6" w:space="0" w:color="000000"/>
              <w:right w:val="single" w:sz="6" w:space="0" w:color="000000"/>
            </w:tcBorders>
          </w:tcPr>
          <w:p>
            <w:pPr>
              <w:spacing w:line="276"/>
              <w:jc w:val="center"/>
            </w:pPr>
            <w:r>
              <w:t xml:space="preserve">梅特勒、托利多</w:t>
            </w:r>
          </w:p>
        </w:tc>
      </w:tr>
      <w:tr>
        <w:trPr>
          <w:trHeight w:val="444"/>
        </w:trPr>
        <w:tc>
          <w:tcPr>
            <w:vMerge w:val="continue"/>
          </w:tcPr>
          <w:p>
            <w:pPr/>
            <w:r/>
          </w:p>
        </w:tc>
        <w:tc>
          <w:tcPr>
            <w:tcW w:w="1830" w:type="dxa"/>
            <w:tcBorders>
              <w:bottom w:val="single" w:sz="6" w:space="0" w:color="000000"/>
              <w:right w:val="single" w:sz="6" w:space="0" w:color="000000"/>
            </w:tcBorders>
          </w:tcPr>
          <w:p>
            <w:pPr>
              <w:spacing w:line="276"/>
              <w:jc w:val="center"/>
            </w:pPr>
            <w:r>
              <w:t xml:space="preserve">电导</w:t>
            </w:r>
          </w:p>
        </w:tc>
        <w:tc>
          <w:tcPr>
            <w:tcW w:w="5670" w:type="dxa"/>
            <w:tcBorders>
              <w:bottom w:val="single" w:sz="6" w:space="0" w:color="000000"/>
              <w:right w:val="single" w:sz="6" w:space="0" w:color="000000"/>
            </w:tcBorders>
          </w:tcPr>
          <w:p>
            <w:pPr>
              <w:spacing w:line="276"/>
              <w:jc w:val="center"/>
            </w:pPr>
            <w:r>
              <w:t xml:space="preserve">梅特勒、托利多</w:t>
            </w:r>
          </w:p>
        </w:tc>
      </w:tr>
      <w:tr>
        <w:trPr>
          <w:trHeight w:val="444"/>
        </w:trPr>
        <w:tc>
          <w:tcPr>
            <w:vMerge w:val="continue"/>
          </w:tcPr>
          <w:p>
            <w:pPr/>
            <w:r/>
          </w:p>
        </w:tc>
        <w:tc>
          <w:tcPr>
            <w:tcW w:w="1830" w:type="dxa"/>
            <w:tcBorders>
              <w:bottom w:val="single" w:sz="6" w:space="0" w:color="000000"/>
              <w:right w:val="single" w:sz="6" w:space="0" w:color="000000"/>
            </w:tcBorders>
          </w:tcPr>
          <w:p>
            <w:pPr>
              <w:spacing w:line="276"/>
              <w:jc w:val="center"/>
            </w:pPr>
            <w:r>
              <w:t xml:space="preserve">催化燃烧</w:t>
            </w:r>
          </w:p>
        </w:tc>
        <w:tc>
          <w:tcPr>
            <w:tcW w:w="5670" w:type="dxa"/>
            <w:vMerge w:val="restart"/>
            <w:tcBorders>
              <w:bottom w:val="single" w:sz="6" w:space="0" w:color="000000"/>
              <w:right w:val="single" w:sz="6" w:space="0" w:color="000000"/>
            </w:tcBorders>
          </w:tcPr>
          <w:p>
            <w:pPr>
              <w:spacing w:line="276"/>
              <w:jc w:val="center"/>
            </w:pPr>
            <w:r>
              <w:t xml:space="preserve">诺安</w:t>
            </w:r>
          </w:p>
        </w:tc>
      </w:tr>
      <w:tr>
        <w:trPr>
          <w:trHeight w:val="444"/>
        </w:trPr>
        <w:tc>
          <w:tcPr>
            <w:vMerge w:val="continue"/>
          </w:tcPr>
          <w:p>
            <w:pPr/>
            <w:r/>
          </w:p>
        </w:tc>
        <w:tc>
          <w:tcPr>
            <w:tcW w:w="1830" w:type="dxa"/>
            <w:tcBorders>
              <w:bottom w:val="single" w:sz="6" w:space="0" w:color="000000"/>
              <w:right w:val="single" w:sz="6" w:space="0" w:color="000000"/>
            </w:tcBorders>
          </w:tcPr>
          <w:p>
            <w:pPr>
              <w:spacing w:line="276"/>
              <w:jc w:val="center"/>
            </w:pPr>
            <w:r>
              <w:t xml:space="preserve">电化学</w:t>
            </w:r>
          </w:p>
        </w:tc>
        <w:tc>
          <w:tcPr>
            <w:vMerge w:val="continue"/>
          </w:tcPr>
          <w:p>
            <w:pPr/>
            <w:r/>
          </w:p>
        </w:tc>
      </w:tr>
      <w:tr>
        <w:trPr>
          <w:trHeight w:val="444"/>
        </w:trPr>
        <w:tc>
          <w:tcPr>
            <w:vMerge w:val="continue"/>
            <w:tcBorders>
              <w:bottom w:val="single" w:sz="6" w:space="0" w:color="000000"/>
            </w:tcBorders>
          </w:tcPr>
          <w:p>
            <w:pPr/>
            <w:r/>
          </w:p>
        </w:tc>
        <w:tc>
          <w:tcPr>
            <w:tcW w:w="1830" w:type="dxa"/>
            <w:tcBorders>
              <w:bottom w:val="single" w:sz="6" w:space="0" w:color="000000"/>
              <w:right w:val="single" w:sz="6" w:space="0" w:color="000000"/>
            </w:tcBorders>
          </w:tcPr>
          <w:p>
            <w:pPr>
              <w:spacing w:line="276"/>
              <w:jc w:val="center"/>
            </w:pPr>
            <w:r>
              <w:t xml:space="preserve">PID</w:t>
            </w:r>
          </w:p>
        </w:tc>
        <w:tc>
          <w:tcPr>
            <w:vMerge w:val="continue"/>
          </w:tcPr>
          <w:p>
            <w:pPr/>
            <w:r/>
          </w:p>
        </w:tc>
      </w:tr>
      <w:tr>
        <w:trPr>
          <w:trHeight w:val="444"/>
        </w:trPr>
        <w:tc>
          <w:tcPr>
            <w:tcW w:w="1830" w:type="dxa"/>
            <w:tcBorders>
              <w:bottom w:val="single" w:sz="6" w:space="0" w:color="000000"/>
              <w:top w:val="single" w:sz="6" w:space="0" w:color="000000"/>
              <w:right w:val="single" w:sz="6" w:space="0" w:color="000000"/>
              <w:left w:val="single" w:sz="6" w:space="0" w:color="000000"/>
            </w:tcBorders>
          </w:tcPr>
          <w:p>
            <w:pPr>
              <w:spacing w:line="276"/>
              <w:jc w:val="center"/>
            </w:pPr>
            <w:r>
              <w:t xml:space="preserve">称重仪表</w:t>
            </w:r>
          </w:p>
        </w:tc>
        <w:tc>
          <w:tcPr>
            <w:tcW w:w="1830" w:type="dxa"/>
            <w:tcBorders>
              <w:bottom w:val="single" w:sz="6" w:space="0" w:color="000000"/>
              <w:right w:val="single" w:sz="6" w:space="0" w:color="000000"/>
            </w:tcBorders>
          </w:tcPr>
          <w:p>
            <w:pPr>
              <w:spacing w:line="276"/>
              <w:jc w:val="center"/>
            </w:pPr>
            <w:r>
              <w:t xml:space="preserve">称重仪表</w:t>
            </w:r>
          </w:p>
        </w:tc>
        <w:tc>
          <w:tcPr>
            <w:tcW w:w="5670" w:type="dxa"/>
            <w:tcBorders>
              <w:bottom w:val="single" w:sz="6" w:space="0" w:color="000000"/>
              <w:right w:val="single" w:sz="6" w:space="0" w:color="000000"/>
            </w:tcBorders>
          </w:tcPr>
          <w:p>
            <w:pPr>
              <w:spacing w:line="276"/>
              <w:jc w:val="center"/>
            </w:pPr>
            <w:r>
              <w:t xml:space="preserve">梅特勒、托利多</w:t>
            </w:r>
          </w:p>
        </w:tc>
      </w:tr>
      <w:tr>
        <w:trPr>
          <w:trHeight w:val="444"/>
        </w:trPr>
        <w:tc>
          <w:tcPr>
            <w:tcW w:w="1830" w:type="dxa"/>
            <w:vMerge w:val="restart"/>
            <w:tcBorders>
              <w:right w:val="single" w:sz="6" w:space="0" w:color="000000"/>
              <w:left w:val="single" w:sz="6" w:space="0" w:color="000000"/>
            </w:tcBorders>
          </w:tcPr>
          <w:p>
            <w:pPr>
              <w:spacing w:line="276"/>
              <w:jc w:val="center"/>
            </w:pPr>
            <w:r>
              <w:t xml:space="preserve">自控阀门</w:t>
            </w:r>
          </w:p>
        </w:tc>
        <w:tc>
          <w:tcPr>
            <w:tcW w:w="1830" w:type="dxa"/>
            <w:tcBorders>
              <w:bottom w:val="single" w:sz="6" w:space="0" w:color="000000"/>
              <w:right w:val="single" w:sz="6" w:space="0" w:color="000000"/>
            </w:tcBorders>
          </w:tcPr>
          <w:p>
            <w:pPr>
              <w:spacing w:line="276"/>
              <w:jc w:val="center"/>
            </w:pPr>
            <w:r>
              <w:t xml:space="preserve">调节阀</w:t>
            </w:r>
          </w:p>
        </w:tc>
        <w:tc>
          <w:tcPr>
            <w:tcW w:w="5670" w:type="dxa"/>
            <w:tcBorders>
              <w:bottom w:val="single" w:sz="6" w:space="0" w:color="000000"/>
              <w:right w:val="single" w:sz="6" w:space="0" w:color="000000"/>
            </w:tcBorders>
          </w:tcPr>
          <w:p>
            <w:pPr>
              <w:spacing w:line="276"/>
              <w:jc w:val="center"/>
            </w:pPr>
            <w:r>
              <w:t xml:space="preserve">吴忠、川仪</w:t>
            </w:r>
          </w:p>
        </w:tc>
      </w:tr>
      <w:tr>
        <w:trPr>
          <w:trHeight w:val="444"/>
        </w:trPr>
        <w:tc>
          <w:tcPr>
            <w:vMerge w:val="continue"/>
            <w:tcBorders>
              <w:bottom w:val="single" w:sz="6" w:space="0" w:color="000000"/>
            </w:tcBorders>
          </w:tcPr>
          <w:p>
            <w:pPr/>
            <w:r/>
          </w:p>
        </w:tc>
        <w:tc>
          <w:tcPr>
            <w:tcW w:w="1830" w:type="dxa"/>
            <w:tcBorders>
              <w:bottom w:val="single" w:sz="6" w:space="0" w:color="000000"/>
              <w:right w:val="single" w:sz="6" w:space="0" w:color="000000"/>
            </w:tcBorders>
          </w:tcPr>
          <w:p>
            <w:pPr>
              <w:spacing w:line="276"/>
              <w:jc w:val="center"/>
            </w:pPr>
            <w:r>
              <w:t xml:space="preserve">切断阀</w:t>
            </w:r>
          </w:p>
        </w:tc>
        <w:tc>
          <w:tcPr>
            <w:tcW w:w="5670" w:type="dxa"/>
            <w:tcBorders>
              <w:bottom w:val="single" w:sz="6" w:space="0" w:color="000000"/>
              <w:right w:val="single" w:sz="6" w:space="0" w:color="000000"/>
            </w:tcBorders>
          </w:tcPr>
          <w:p>
            <w:pPr>
              <w:spacing w:line="276"/>
              <w:jc w:val="center"/>
            </w:pPr>
            <w:r>
              <w:t xml:space="preserve">吴忠、川仪</w:t>
            </w:r>
          </w:p>
        </w:tc>
      </w:tr>
      <w:tr>
        <w:trPr>
          <w:trHeight w:val="444"/>
        </w:trPr>
        <w:tc>
          <w:tcPr>
            <w:tcW w:w="1830" w:type="dxa"/>
            <w:vMerge w:val="restart"/>
            <w:tcBorders>
              <w:bottom w:val="single" w:sz="6" w:space="0" w:color="000000"/>
              <w:top w:val="single" w:sz="6" w:space="0" w:color="000000"/>
              <w:right w:val="single" w:sz="6" w:space="0" w:color="000000"/>
              <w:left w:val="single" w:sz="6" w:space="0" w:color="000000"/>
            </w:tcBorders>
          </w:tcPr>
          <w:p>
            <w:pPr>
              <w:spacing w:line="276"/>
              <w:jc w:val="center"/>
            </w:pPr>
            <w:r>
              <w:t xml:space="preserve">自控阀附件</w:t>
            </w:r>
          </w:p>
        </w:tc>
        <w:tc>
          <w:tcPr>
            <w:tcW w:w="1830" w:type="dxa"/>
            <w:tcBorders>
              <w:bottom w:val="single" w:sz="6" w:space="0" w:color="000000"/>
              <w:right w:val="single" w:sz="6" w:space="0" w:color="000000"/>
            </w:tcBorders>
          </w:tcPr>
          <w:p>
            <w:pPr>
              <w:spacing w:line="276"/>
              <w:jc w:val="center"/>
            </w:pPr>
            <w:r>
              <w:t xml:space="preserve">电动执行器</w:t>
            </w:r>
          </w:p>
        </w:tc>
        <w:tc>
          <w:tcPr>
            <w:tcW w:w="5670" w:type="dxa"/>
            <w:tcBorders>
              <w:bottom w:val="single" w:sz="6" w:space="0" w:color="000000"/>
              <w:right w:val="single" w:sz="6" w:space="0" w:color="000000"/>
            </w:tcBorders>
          </w:tcPr>
          <w:p>
            <w:pPr>
              <w:spacing w:line="276"/>
              <w:jc w:val="center"/>
            </w:pPr>
            <w:r>
              <w:t xml:space="preserve">川仪</w:t>
            </w:r>
          </w:p>
        </w:tc>
      </w:tr>
      <w:tr>
        <w:trPr>
          <w:trHeight w:val="444"/>
        </w:trPr>
        <w:tc>
          <w:tcPr>
            <w:vMerge w:val="continue"/>
          </w:tcPr>
          <w:p>
            <w:pPr/>
            <w:r/>
          </w:p>
        </w:tc>
        <w:tc>
          <w:tcPr>
            <w:tcW w:w="1830" w:type="dxa"/>
            <w:tcBorders>
              <w:bottom w:val="single" w:sz="6" w:space="0" w:color="000000"/>
              <w:right w:val="single" w:sz="6" w:space="0" w:color="000000"/>
            </w:tcBorders>
          </w:tcPr>
          <w:p>
            <w:pPr>
              <w:spacing w:line="276"/>
              <w:jc w:val="center"/>
            </w:pPr>
            <w:r>
              <w:t xml:space="preserve">电磁阀</w:t>
            </w:r>
          </w:p>
        </w:tc>
        <w:tc>
          <w:tcPr>
            <w:tcW w:w="5670" w:type="dxa"/>
            <w:tcBorders>
              <w:bottom w:val="single" w:sz="6" w:space="0" w:color="000000"/>
              <w:right w:val="single" w:sz="6" w:space="0" w:color="000000"/>
            </w:tcBorders>
          </w:tcPr>
          <w:p>
            <w:pPr>
              <w:spacing w:line="276"/>
              <w:jc w:val="center"/>
            </w:pPr>
            <w:r>
              <w:t xml:space="preserve">ASCO、NORGREN</w:t>
            </w:r>
          </w:p>
        </w:tc>
      </w:tr>
      <w:tr>
        <w:trPr>
          <w:trHeight w:val="444"/>
        </w:trPr>
        <w:tc>
          <w:tcPr>
            <w:vMerge w:val="continue"/>
          </w:tcPr>
          <w:p>
            <w:pPr/>
            <w:r/>
          </w:p>
        </w:tc>
        <w:tc>
          <w:tcPr>
            <w:tcW w:w="1830" w:type="dxa"/>
            <w:tcBorders>
              <w:bottom w:val="single" w:sz="6" w:space="0" w:color="000000"/>
              <w:right w:val="single" w:sz="6" w:space="0" w:color="000000"/>
            </w:tcBorders>
          </w:tcPr>
          <w:p>
            <w:pPr>
              <w:spacing w:line="276"/>
              <w:jc w:val="center"/>
            </w:pPr>
            <w:r>
              <w:t xml:space="preserve">定位器</w:t>
            </w:r>
          </w:p>
        </w:tc>
        <w:tc>
          <w:tcPr>
            <w:tcW w:w="5670" w:type="dxa"/>
            <w:tcBorders>
              <w:bottom w:val="single" w:sz="6" w:space="0" w:color="000000"/>
              <w:right w:val="single" w:sz="6" w:space="0" w:color="000000"/>
            </w:tcBorders>
          </w:tcPr>
          <w:p>
            <w:pPr>
              <w:spacing w:line="276"/>
              <w:jc w:val="center"/>
            </w:pPr>
            <w:r>
              <w:t xml:space="preserve">SAMSON、Fisher、山武</w:t>
            </w:r>
          </w:p>
        </w:tc>
      </w:tr>
      <w:tr>
        <w:trPr>
          <w:trHeight w:val="444"/>
        </w:trPr>
        <w:tc>
          <w:tcPr>
            <w:vMerge w:val="continue"/>
          </w:tcPr>
          <w:p>
            <w:pPr/>
            <w:r/>
          </w:p>
        </w:tc>
        <w:tc>
          <w:tcPr>
            <w:tcW w:w="1830" w:type="dxa"/>
            <w:tcBorders>
              <w:bottom w:val="single" w:sz="6" w:space="0" w:color="000000"/>
              <w:right w:val="single" w:sz="6" w:space="0" w:color="000000"/>
            </w:tcBorders>
          </w:tcPr>
          <w:p>
            <w:pPr>
              <w:spacing w:line="276"/>
              <w:jc w:val="center"/>
            </w:pPr>
            <w:r>
              <w:t xml:space="preserve">反馈开关</w:t>
            </w:r>
          </w:p>
        </w:tc>
        <w:tc>
          <w:tcPr>
            <w:tcW w:w="5670" w:type="dxa"/>
            <w:tcBorders>
              <w:bottom w:val="single" w:sz="6" w:space="0" w:color="000000"/>
              <w:right w:val="single" w:sz="6" w:space="0" w:color="000000"/>
            </w:tcBorders>
          </w:tcPr>
          <w:p>
            <w:pPr>
              <w:spacing w:line="276"/>
              <w:jc w:val="center"/>
            </w:pPr>
            <w:r>
              <w:t xml:space="preserve">TOPWORK、WESTLOCK、韩国APL</w:t>
            </w:r>
          </w:p>
        </w:tc>
      </w:tr>
      <w:tr>
        <w:trPr>
          <w:trHeight w:val="334"/>
        </w:trPr>
        <w:tc>
          <w:tcPr>
            <w:vMerge w:val="continue"/>
          </w:tcPr>
          <w:p>
            <w:pPr/>
            <w:r/>
          </w:p>
        </w:tc>
        <w:tc>
          <w:tcPr>
            <w:tcW w:w="1830" w:type="dxa"/>
            <w:tcBorders>
              <w:bottom w:val="single" w:sz="6" w:space="0" w:color="000000"/>
              <w:right w:val="single" w:sz="6" w:space="0" w:color="000000"/>
            </w:tcBorders>
          </w:tcPr>
          <w:p>
            <w:pPr>
              <w:spacing w:line="276"/>
              <w:jc w:val="center"/>
            </w:pPr>
            <w:r>
              <w:t xml:space="preserve">减压过滤器</w:t>
            </w:r>
          </w:p>
        </w:tc>
        <w:tc>
          <w:tcPr>
            <w:tcW w:w="5670" w:type="dxa"/>
            <w:tcBorders>
              <w:bottom w:val="single" w:sz="6" w:space="0" w:color="000000"/>
              <w:right w:val="single" w:sz="6" w:space="0" w:color="000000"/>
            </w:tcBorders>
          </w:tcPr>
          <w:p>
            <w:pPr>
              <w:spacing w:line="276"/>
              <w:jc w:val="center"/>
            </w:pPr>
            <w:r>
              <w:t xml:space="preserve">SMC、NORGREN、ASCO</w:t>
            </w:r>
          </w:p>
        </w:tc>
      </w:tr>
    </w:tbl>
    <w:p>
      <w:pPr>
        <w:spacing w:line="276"/>
      </w:pPr>
      <w:r>
        <w:rPr>
          <w:sz w:val="24"/>
          <w:b w:val="1"/>
        </w:rPr>
        <w:t xml:space="preserve"> </w:t>
      </w:r>
    </w:p>
    <w:sectPr>
      <w:pgSz w:w="13380" w:h="16905"/>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lvl w:ilvl="0">
      <w:start w:val="1"/>
      <w:numFmt w:val="chineseCountingThousand"/>
      <w:lvlText w:val="%1、"/>
      <w:lvlJc w:val="left"/>
      <w:pPr>
        <w:ind w:left="420" w:hanging="420"/>
      </w:pPr>
      <w:r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1" w:styleId="docDefaults">
    <w:name w:val="dingdocnormal"/>
    <w:tcPr/>
    <w:pPr>
      <w:spacing/>
    </w:pPr>
    <w:rPr>
      <w:sz w:val="24"/>
    </w:rPr>
  </w:style>
</w:styles>
</file>

<file path=word/_rels/document.xml.rels><?xml version="1.0" encoding="UTF-8"?>
<Relationships xmlns="http://schemas.openxmlformats.org/package/2006/relationships">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