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5.png" ContentType="image/png"/>
  <Override PartName="/word/media/rId36.png" ContentType="image/png"/>
  <Override PartName="/word/media/rId37.png" ContentType="image/png"/>
  <Override PartName="/word/media/rId38.png" ContentType="image/png"/>
  <Override PartName="/word/media/rId3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FirstParagraph"/>
      </w:pPr>
      <w:r>
        <w:t xml:space="preserve">A major aim of evolutionary biology is to understand why patterns of genetic variation difffer within genomes, and among populations and species. Widespread continental species are interesting models for studying how evolution shapes patterns of genomic divergence, as they are associated with recent and rapid colonisations, large population sizes and high levels of gene flow. We studied patterns of genomic variation among 28 great tit (</w:t>
      </w:r>
      <w:r>
        <w:rPr>
          <w:i/>
        </w:rPr>
        <w:t xml:space="preserve">Parus major</w:t>
      </w:r>
      <w:r>
        <w:t xml:space="preserve">) in Europe. We found that genome-wide variation was consistent with a recent colonisation across Europe from a single refugium in the Balkans and/or Turkey. The highest levels of genome-wide structure were found between island populations in Crete, Sardinia and Corsica, most likely as a resut of mild bottlenecks and reduced gene flow among these populations. We then found that the landscape of genomic differentiation was highly heterogeneous, with clear "islands of divergence" among both closely related and structured great tit populations.</w:t>
      </w:r>
    </w:p>
    <w:p>
      <w:pPr>
        <w:pStyle w:val="Heading2"/>
      </w:pPr>
      <w:bookmarkStart w:id="24" w:name="introduction"/>
      <w:bookmarkEnd w:id="24"/>
      <w:r>
        <w:t xml:space="preserve">Introduction</w:t>
      </w:r>
    </w:p>
    <w:p>
      <w:pPr>
        <w:pStyle w:val="FirstParagraph"/>
      </w:pPr>
      <w:r>
        <w:t xml:space="preserve">Since the first studies of allozyme variation in humans</w:t>
      </w:r>
      <w:r>
        <w:t xml:space="preserve"> </w:t>
      </w:r>
      <w:r>
        <w:t xml:space="preserve">(Harris 1966)</w:t>
      </w:r>
      <w:r>
        <w:t xml:space="preserve"> </w:t>
      </w:r>
      <w:r>
        <w:t xml:space="preserve">and Drosophila</w:t>
      </w:r>
      <w:r>
        <w:t xml:space="preserve"> </w:t>
      </w:r>
      <w:r>
        <w:t xml:space="preserve">(Hubby &amp; Lewontin 1966; Lewontin &amp; Hubby 1966)</w:t>
      </w:r>
      <w:r>
        <w:t xml:space="preserve">, there has been great interest in explaining how evolutionary and ecological processes shape the patterns of genetic variation observed within and among natural populations. One focus of research and debate in this area has been on quantifying the roles of adaptive and neutral processes in explaining observed levels of genetic variation. However, adaptation does not occur in isolation, but against a background of recombination, gene flow, and genetic drift. More recently there has been increased effort in understanding how these fundamental evolutionary forces operate in concert to generate and maintain the levels of genetic diversity commonly observed in natural populations.</w:t>
      </w:r>
    </w:p>
    <w:p>
      <w:pPr>
        <w:pStyle w:val="BodyText"/>
      </w:pPr>
      <w:r>
        <w:t xml:space="preserve">The arrival of high-throughput sequencing and subsequent characterisation of genome-wide variation across large numbers of individuals has revealed that at the genetic level, patterns of variation and divergence among natural populations and species are highly heterogeneous. A feature of these "genomic landscapes" of differentiaiton that has received particular attention is the presence of so-called "islands of divergence"; outlier regions of the genome with high levels of divergence estimated from statistics such as</w:t>
      </w:r>
      <w:r>
        <w:t xml:space="preserve"> </w:t>
      </w:r>
      <m:oMath>
        <m:sSub>
          <m:e>
            <m:r>
              <m:t>F</m:t>
            </m:r>
          </m:e>
          <m:sub>
            <m:r>
              <m:t>S</m:t>
            </m:r>
            <m:r>
              <m:t>T</m:t>
            </m:r>
          </m:sub>
        </m:sSub>
      </m:oMath>
      <w:r>
        <w:t xml:space="preserve"> </w:t>
      </w:r>
      <w:r>
        <w:t xml:space="preserve">or</w:t>
      </w:r>
      <w:r>
        <w:t xml:space="preserve"> </w:t>
      </w:r>
      <m:oMath>
        <m:sSub>
          <m:e>
            <m:r>
              <m:t>d</m:t>
            </m:r>
          </m:e>
          <m:sub>
            <m:r>
              <m:t>x</m:t>
            </m:r>
            <m:r>
              <m:t>y</m:t>
            </m:r>
          </m:sub>
        </m:sSub>
      </m:oMath>
      <w:r>
        <w:t xml:space="preserve"> </w:t>
      </w:r>
      <w:r>
        <w:t xml:space="preserve">(e.g. Turner</w:t>
      </w:r>
      <w:r>
        <w:t xml:space="preserve"> </w:t>
      </w:r>
      <w:r>
        <w:rPr>
          <w:i/>
        </w:rPr>
        <w:t xml:space="preserve">et al.</w:t>
      </w:r>
      <w:r>
        <w:t xml:space="preserve"> </w:t>
      </w:r>
      <w:r>
        <w:t xml:space="preserve">2005; Nadeau</w:t>
      </w:r>
      <w:r>
        <w:t xml:space="preserve"> </w:t>
      </w:r>
      <w:r>
        <w:rPr>
          <w:i/>
        </w:rPr>
        <w:t xml:space="preserve">et al.</w:t>
      </w:r>
      <w:r>
        <w:t xml:space="preserve"> </w:t>
      </w:r>
      <w:r>
        <w:t xml:space="preserve">2011; Renaut</w:t>
      </w:r>
      <w:r>
        <w:t xml:space="preserve"> </w:t>
      </w:r>
      <w:r>
        <w:rPr>
          <w:i/>
        </w:rPr>
        <w:t xml:space="preserve">et al.</w:t>
      </w:r>
      <w:r>
        <w:t xml:space="preserve"> </w:t>
      </w:r>
      <w:r>
        <w:t xml:space="preserve">2013; Poelstra</w:t>
      </w:r>
      <w:r>
        <w:t xml:space="preserve"> </w:t>
      </w:r>
      <w:r>
        <w:rPr>
          <w:i/>
        </w:rPr>
        <w:t xml:space="preserve">et al.</w:t>
      </w:r>
      <w:r>
        <w:t xml:space="preserve"> </w:t>
      </w:r>
      <w:r>
        <w:t xml:space="preserve">2014)</w:t>
      </w:r>
      <w:r>
        <w:t xml:space="preserve">. Initially these regions were termed "islands of speciation", and were thought to arise as a result of reduced gene flow in genomic regions associated with reproductive isolation</w:t>
      </w:r>
      <w:r>
        <w:t xml:space="preserve"> </w:t>
      </w:r>
      <w:r>
        <w:t xml:space="preserve">(Turner</w:t>
      </w:r>
      <w:r>
        <w:t xml:space="preserve"> </w:t>
      </w:r>
      <w:r>
        <w:rPr>
          <w:i/>
        </w:rPr>
        <w:t xml:space="preserve">et al.</w:t>
      </w:r>
      <w:r>
        <w:t xml:space="preserve"> </w:t>
      </w:r>
      <w:r>
        <w:t xml:space="preserve">2005)</w:t>
      </w:r>
      <w:r>
        <w:t xml:space="preserve">. Subsequent modelling and analysis revealed that highly heterogeneous patterns of genomic divergence in the complete absence of gene flow, as a result of linked selection on beneficial or deleterious mutations</w:t>
      </w:r>
      <w:r>
        <w:t xml:space="preserve"> </w:t>
      </w:r>
      <w:r>
        <w:t xml:space="preserve">(Noor &amp; Bennett 2009; Cruickshank &amp; Hahn 2014)</w:t>
      </w:r>
      <w:r>
        <w:t xml:space="preserve">.</w:t>
      </w:r>
    </w:p>
    <w:p>
      <w:pPr>
        <w:pStyle w:val="BodyText"/>
      </w:pPr>
      <w:r>
        <w:t xml:space="preserve">Comparing patterns of genomic differentiation among sets of populations and/or species at different stages of the speciation continuum is a powerful way of disentangling the forces that shape variation among populations. Martin et al.</w:t>
      </w:r>
      <w:r>
        <w:t xml:space="preserve"> </w:t>
      </w:r>
      <w:r>
        <w:t xml:space="preserve">(</w:t>
      </w:r>
      <w:r>
        <w:rPr>
          <w:b/>
        </w:rPr>
        <w:t xml:space="preserve">???</w:t>
      </w:r>
      <w:r>
        <w:t xml:space="preserve">)</w:t>
      </w:r>
      <w:r>
        <w:t xml:space="preserve"> </w:t>
      </w:r>
      <w:r>
        <w:t xml:space="preserve">showed that, across multiple</w:t>
      </w:r>
      <w:r>
        <w:t xml:space="preserve"> </w:t>
      </w:r>
      <w:r>
        <w:rPr>
          <w:i/>
        </w:rPr>
        <w:t xml:space="preserve">Heliconius</w:t>
      </w:r>
      <w:r>
        <w:t xml:space="preserve"> </w:t>
      </w:r>
      <w:r>
        <w:t xml:space="preserve">butterfly populations and species, patterns of genomic variation were shaped by a combination gene flow and selection, particularly genomic regions harbouring genes involved in wing patterning. In contrast, Renaut et al.</w:t>
      </w:r>
      <w:r>
        <w:t xml:space="preserve"> </w:t>
      </w:r>
      <w:r>
        <w:t xml:space="preserve">(2013)</w:t>
      </w:r>
      <w:r>
        <w:t xml:space="preserve"> </w:t>
      </w:r>
      <w:r>
        <w:t xml:space="preserve">showed that in</w:t>
      </w:r>
      <w:r>
        <w:t xml:space="preserve"> </w:t>
      </w:r>
      <w:r>
        <w:rPr>
          <w:i/>
        </w:rPr>
        <w:t xml:space="preserve">Helianthus</w:t>
      </w:r>
      <w:r>
        <w:t xml:space="preserve"> </w:t>
      </w:r>
      <w:r>
        <w:t xml:space="preserve">sunflowers, genomic architecture was the main driver of genomic differentiation across sets of populations. Similarly, recent research in birds has revealed that differentiation landscapes are conserved across populations, species and even across avian families</w:t>
      </w:r>
      <w:r>
        <w:t xml:space="preserve"> </w:t>
      </w:r>
      <w:r>
        <w:t xml:space="preserve">(Burri</w:t>
      </w:r>
      <w:r>
        <w:t xml:space="preserve"> </w:t>
      </w:r>
      <w:r>
        <w:rPr>
          <w:i/>
        </w:rPr>
        <w:t xml:space="preserve">et al.</w:t>
      </w:r>
      <w:r>
        <w:t xml:space="preserve"> </w:t>
      </w:r>
      <w:r>
        <w:t xml:space="preserve">2015; Van Doren</w:t>
      </w:r>
      <w:r>
        <w:t xml:space="preserve"> </w:t>
      </w:r>
      <w:r>
        <w:rPr>
          <w:i/>
        </w:rPr>
        <w:t xml:space="preserve">et al.</w:t>
      </w:r>
      <w:r>
        <w:t xml:space="preserve"> </w:t>
      </w:r>
      <w:r>
        <w:t xml:space="preserve">2017; Vijay</w:t>
      </w:r>
      <w:r>
        <w:t xml:space="preserve"> </w:t>
      </w:r>
      <w:r>
        <w:rPr>
          <w:i/>
        </w:rPr>
        <w:t xml:space="preserve">et al.</w:t>
      </w:r>
      <w:r>
        <w:t xml:space="preserve"> </w:t>
      </w:r>
      <w:r>
        <w:t xml:space="preserve">2017)</w:t>
      </w:r>
      <w:r>
        <w:t xml:space="preserve">. This latter pattern appearts to have arisen, at least in part, as a result of a highly conserved recombination landscape in birds.</w:t>
      </w:r>
    </w:p>
    <w:p>
      <w:pPr>
        <w:pStyle w:val="BodyText"/>
      </w:pPr>
      <w:r>
        <w:t xml:space="preserve">It is now clear that the recombination landscape is a key driver of genomic variation, but we are only just beginning to understand how this recombination rate variation interacts with other evolutionary forces to shape patterns of differentiation across natural populations and species</w:t>
      </w:r>
      <w:r>
        <w:t xml:space="preserve"> </w:t>
      </w:r>
      <w:r>
        <w:t xml:space="preserve">(</w:t>
      </w:r>
      <w:r>
        <w:rPr>
          <w:b/>
        </w:rPr>
        <w:t xml:space="preserve">???</w:t>
      </w:r>
      <w:r>
        <w:t xml:space="preserve">)</w:t>
      </w:r>
      <w:r>
        <w:t xml:space="preserve">. A recent, large-scale analysis in sticklebacks showed that, like in many other studies, islands of differentiation were most likely to be found in regions of low recombination, but by looking this relationship across many pairs of populations they showed that outlier genomic regions were more likely to arise in low recombination regions when gene flow occurred between populations. There is also a significant impact of how recently separated populations are, and it is expected that in very recently separated populations the differentiation landscape is most likely to reflect selective sweeps, then as divergence accumulates, genomic architecture plays an increasingly important role</w:t>
      </w:r>
      <w:r>
        <w:t xml:space="preserve"> </w:t>
      </w:r>
      <w:r>
        <w:t xml:space="preserve">(</w:t>
      </w:r>
      <w:r>
        <w:rPr>
          <w:b/>
        </w:rPr>
        <w:t xml:space="preserve">???</w:t>
      </w:r>
      <w:r>
        <w:t xml:space="preserve">)</w:t>
      </w:r>
      <w:r>
        <w:t xml:space="preserve">. More studies of genomic differentiation across very recently separated populations are now required to examine i) how rapidly divergence can accumulate in low recombining regions, and ii) how selection, gene flow and genomic architecture interact to shape genomic divergence in the early stages of the differentiation process.</w:t>
      </w:r>
    </w:p>
    <w:p>
      <w:pPr>
        <w:pStyle w:val="BodyText"/>
      </w:pPr>
      <w:r>
        <w:t xml:space="preserve">The European great tit (</w:t>
      </w:r>
      <w:r>
        <w:rPr>
          <w:i/>
        </w:rPr>
        <w:t xml:space="preserve">Parus major major</w:t>
      </w:r>
      <w:r>
        <w:t xml:space="preserve">) is an excellent model for ecological and evolutionary study. Phyleogeographic research using mitochondrial and microsatellite loci suggests that this species has has recently expanded across its European range, possible from a single refugium in the Balkans. Contemporary populations are characterised by large effective population sizes and high levels of gene flow among populations, resulting in low levels of genetic differentiation. The genome of the great tit has recently been sequences, and a high density (650K) panel of SNP markers has been developed. A recent study of two European populations using this marker panel suggests that rapid adaptation has occurred at the genomic and phenotypic levels</w:t>
      </w:r>
      <w:r>
        <w:t xml:space="preserve"> </w:t>
      </w:r>
      <w:r>
        <w:t xml:space="preserve">(</w:t>
      </w:r>
      <w:r>
        <w:rPr>
          <w:b/>
        </w:rPr>
        <w:t xml:space="preserve">???</w:t>
      </w:r>
      <w:r>
        <w:t xml:space="preserve">)</w:t>
      </w:r>
      <w:r>
        <w:t xml:space="preserve">. A wealth of ecological data also exists acros multiple great tit populations, enabling us to generate informed hypotheses about selection in this system.</w:t>
      </w:r>
    </w:p>
    <w:p>
      <w:pPr>
        <w:pStyle w:val="BodyText"/>
      </w:pPr>
      <w:r>
        <w:t xml:space="preserve">In this study we examined how selection, gene flow and population history have shaped patterns of genomic variation across recently colonised European great tit populations. Using a large SNP panel typed across 28 European populations, we first characterise variation within and among populations, in order to infer patterns of population history. We then examine how variation is partitioned across the genome, and test the hypothesis that highly divergent genomic regions have arisen as a result of variation in recombination rate across the genome. Finally, we examine how the relationship between genomic divergence and recombination varies according to geography, with the aim of inferring how gene flow and drift interact with selection to shape genomic landscapes in natural populations.</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es"/>
      <w:bookmarkEnd w:id="27"/>
      <w:r>
        <w:t xml:space="preserve">Analyses</w:t>
      </w:r>
    </w:p>
    <w:p>
      <w:pPr>
        <w:pStyle w:val="FirstParagraph"/>
      </w:pPr>
      <w:r>
        <w:t xml:space="preserve">Unless stated otherwise, all population genetic statistics were calculated in PLINK version 1.9</w:t>
      </w:r>
      <w:r>
        <w:t xml:space="preserve"> </w:t>
      </w:r>
      <w:r>
        <w:t xml:space="preserve">(Purcell</w:t>
      </w:r>
      <w:r>
        <w:t xml:space="preserve"> </w:t>
      </w:r>
      <w:r>
        <w:rPr>
          <w:i/>
        </w:rPr>
        <w:t xml:space="preserve">et al.</w:t>
      </w:r>
      <w:r>
        <w:t xml:space="preserve"> </w:t>
      </w:r>
      <w:r>
        <w:t xml:space="preserve">2007)</w:t>
      </w:r>
      <w:r>
        <w:t xml:space="preserve">, and downstream analysis and plotting was carried out in R version 3.3</w:t>
      </w:r>
      <w:r>
        <w:t xml:space="preserve"> </w:t>
      </w:r>
      <w:r>
        <w:t xml:space="preserve">(R Development Core Team 2011)</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then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mean</w:t>
      </w:r>
      <w:r>
        <w:t xml:space="preserve"> </w:t>
      </w:r>
      <m:oMath>
        <m:sSub>
          <m:e>
            <m:r>
              <m:t>F</m:t>
            </m:r>
          </m:e>
          <m:sub>
            <m:r>
              <m:t>S</m:t>
            </m:r>
            <m:r>
              <m:t>T</m:t>
            </m:r>
          </m:sub>
        </m:sSub>
      </m:oMath>
      <w:r>
        <w:t xml:space="preserve"> </w:t>
      </w:r>
      <w:r>
        <w:t xml:space="preserve">for all loci 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(Pickrell &amp; Pritchard 2012)</w:t>
      </w:r>
      <w:r>
        <w:t xml:space="preserve">. We rooted the tree using a sample of</w:t>
      </w:r>
      <w:r>
        <w:t xml:space="preserve"> </w:t>
      </w:r>
      <w:r>
        <w:rPr>
          <w:i/>
        </w:rPr>
        <w:t xml:space="preserve">P. minor</w:t>
      </w:r>
      <w:r>
        <w:t xml:space="preserve"> </w:t>
      </w:r>
      <w:r>
        <w:t xml:space="preserve">individuals sampled from Amur, Russia. We fitted models allowing for range of migration events (0-10), and used a window size of 500 SNPs</w:t>
      </w:r>
      <w:r>
        <w:t xml:space="preserve"> </w:t>
      </w:r>
      <w:r>
        <w:t xml:space="preserve">(Pickrell &amp; Pritchard 2012)</w:t>
      </w:r>
      <w:r>
        <w:t xml:space="preserve">. To assess model fit, we calculated the proportion of variance relatedness between populations explained by each model, using the equation 30 in Pickrell</w:t>
      </w:r>
      <w:r>
        <w:t xml:space="preserve"> </w:t>
      </w:r>
      <w:r>
        <w:rPr>
          <w:i/>
        </w:rPr>
        <w:t xml:space="preserve">et al.</w:t>
      </w:r>
      <w:r>
        <w:t xml:space="preserve"> </w:t>
      </w:r>
      <w:r>
        <w:t xml:space="preserve">(2012)</w:t>
      </w:r>
      <w:r>
        <w:t xml:space="preserve">.</w:t>
      </w:r>
    </w:p>
    <w:p>
      <w:pPr>
        <w:pStyle w:val="BodyText"/>
      </w:pPr>
      <w:r>
        <w:t xml:space="preserve">We examined the genomic landscape of differentiation across European great tit populations by calculating marker-based</w:t>
      </w:r>
      <w:r>
        <w:t xml:space="preserve"> </w:t>
      </w:r>
      <m:oMath>
        <m:sSub>
          <m:e>
            <m:r>
              <m:t>F</m:t>
            </m:r>
          </m:e>
          <m:sub>
            <m:r>
              <m:t>S</m:t>
            </m:r>
            <m:r>
              <m:t>T</m:t>
            </m:r>
          </m:sub>
        </m:sSub>
      </m:oMath>
      <w:r>
        <w:t xml:space="preserve"> </w:t>
      </w:r>
      <w:r>
        <w:t xml:space="preserve">in Plink. For plotting and analysis, we calculted mean</w:t>
      </w:r>
      <w:r>
        <w:t xml:space="preserve"> </w:t>
      </w:r>
      <m:oMath>
        <m:sSub>
          <m:e>
            <m:r>
              <m:t>F</m:t>
            </m:r>
          </m:e>
          <m:sub>
            <m:r>
              <m:t>S</m:t>
            </m:r>
            <m:r>
              <m:t>T</m:t>
            </m:r>
          </m:sub>
        </m:sSub>
      </m:oMath>
      <w:r>
        <w:t xml:space="preserve"> </w:t>
      </w:r>
      <w:r>
        <w:t xml:space="preserve">values in 200kb bins, using custom R and python scripts. We first calculated windowed</w:t>
      </w:r>
      <w:r>
        <w:t xml:space="preserve"> </w:t>
      </w:r>
      <m:oMath>
        <m:sSub>
          <m:e>
            <m:r>
              <m:t>F</m:t>
            </m:r>
          </m:e>
          <m:sub>
            <m:r>
              <m:t>S</m:t>
            </m:r>
            <m:r>
              <m:t>T</m:t>
            </m:r>
          </m:sub>
        </m:sSub>
      </m:oMath>
      <w:r>
        <w:t xml:space="preserve"> </w:t>
      </w:r>
      <w:r>
        <w:t xml:space="preserve">between the most structured populations, as defined by Admixture analysis (hereafter "marginal populations"), and between populations within a panmictic cluster in central Europe (hereafter "central European populations"). We tested whether the same regions of the genome were highly structured among these different sets of populations by comaparing windowed</w:t>
      </w:r>
      <w:r>
        <w:t xml:space="preserve"> </w:t>
      </w:r>
      <m:oMath>
        <m:sSub>
          <m:e>
            <m:r>
              <m:t>F</m:t>
            </m:r>
          </m:e>
          <m:sub>
            <m:r>
              <m:t>S</m:t>
            </m:r>
            <m:r>
              <m:t>T</m:t>
            </m:r>
          </m:sub>
        </m:sSub>
      </m:oMath>
      <w:r>
        <w:t xml:space="preserve"> </w:t>
      </w:r>
      <w:r>
        <w:t xml:space="preserve">values, using Pearson correlations.</w:t>
      </w:r>
    </w:p>
    <w:p>
      <w:pPr>
        <w:pStyle w:val="BodyText"/>
      </w:pPr>
      <w:r>
        <w:t xml:space="preserve">Numerous studies have shown that the genomic landscape of diffentiation is related to recombination rate variation (REFS). We tested whether this was the case using a recombination map preivously developed for the great tit using a 10K SNP chip</w:t>
      </w:r>
      <w:r>
        <w:t xml:space="preserve"> </w:t>
      </w:r>
      <w:r>
        <w:t xml:space="preserve">(</w:t>
      </w:r>
      <w:r>
        <w:rPr>
          <w:b/>
        </w:rPr>
        <w:t xml:space="preserve">???</w:t>
      </w:r>
      <w:r>
        <w:t xml:space="preserve">)</w:t>
      </w:r>
      <w:r>
        <w:t xml:space="preserve">. We imputed recombination rates for all SNPs in our dataset based on genetic distance to markers with known recombination rates, and from this calculated mean recombination rates in 200kb non-overlapping windows. We then compared 200kb averaged recombination rates with 20kkb averaged</w:t>
      </w:r>
      <w:r>
        <w:t xml:space="preserve"> </w:t>
      </w:r>
      <m:oMath>
        <m:sSub>
          <m:e>
            <m:r>
              <m:t>F</m:t>
            </m:r>
          </m:e>
          <m:sub>
            <m:r>
              <m:t>S</m:t>
            </m:r>
            <m:r>
              <m:t>T</m:t>
            </m:r>
          </m:sub>
        </m:sSub>
      </m:oMath>
      <w:r>
        <w:t xml:space="preserve"> </w:t>
      </w:r>
      <w:r>
        <w:t xml:space="preserve">values, using linear regression. We also specifically tested whether</w:t>
      </w:r>
      <w:r>
        <w:t xml:space="preserve"> </w:t>
      </w:r>
      <m:oMath>
        <m:sSub>
          <m:e>
            <m:r>
              <m:t>F</m:t>
            </m:r>
          </m:e>
          <m:sub>
            <m:r>
              <m:t>S</m:t>
            </m:r>
            <m:r>
              <m:t>T</m:t>
            </m:r>
          </m:sub>
        </m:sSub>
      </m:oMath>
      <w:r>
        <w:t xml:space="preserve"> </w:t>
      </w:r>
      <w:r>
        <w:t xml:space="preserve">outliers were more likely to occur in regions of low recombination; we defined outlier regions as 200kb bins with mean</w:t>
      </w:r>
      <w:r>
        <w:t xml:space="preserve"> </w:t>
      </w:r>
      <m:oMath>
        <m:sSub>
          <m:e>
            <m:r>
              <m:t>F</m:t>
            </m:r>
          </m:e>
          <m:sub>
            <m:r>
              <m:t>S</m:t>
            </m:r>
            <m:r>
              <m:t>T</m:t>
            </m:r>
          </m:sub>
        </m:sSub>
      </m:oMath>
      <w:r>
        <w:t xml:space="preserve"> </w:t>
      </w:r>
      <w:r>
        <w:t xml:space="preserve">values greater than the 95th percentile, and tested whether outlier presence/absence was related to recombination rate, using logistic regression.</w:t>
      </w:r>
    </w:p>
    <w:p>
      <w:pPr>
        <w:pStyle w:val="BodyText"/>
      </w:pPr>
      <w:r>
        <w:t xml:space="preserve">Finally, we explored how the relationship between genomic differentiation and recombination rate variation was related to geography. We calculated genome-wide differentiation in 200kb bins for all 378 population pairs, and identified</w:t>
      </w:r>
      <w:r>
        <w:t xml:space="preserve"> </w:t>
      </w:r>
      <m:oMath>
        <m:sSub>
          <m:e>
            <m:r>
              <m:t>F</m:t>
            </m:r>
          </m:e>
          <m:sub>
            <m:r>
              <m:t>S</m:t>
            </m:r>
            <m:r>
              <m:t>T</m:t>
            </m:r>
          </m:sub>
        </m:sSub>
      </m:oMath>
      <w:r>
        <w:t xml:space="preserve"> </w:t>
      </w:r>
      <w:r>
        <w:t xml:space="preserve">outlier regions as above. Then for every pair of populations we performed linear and logistic regressions of</w:t>
      </w:r>
      <m:oMath>
        <m:sSub>
          <m:e>
            <m:r>
              <m:t>F</m:t>
            </m:r>
          </m:e>
          <m:sub>
            <m:r>
              <m:t>S</m:t>
            </m:r>
            <m:r>
              <m:t>T</m:t>
            </m:r>
          </m:sub>
        </m:sSub>
      </m:oMath>
      <w:r>
        <w:t xml:space="preserve"> </w:t>
      </w:r>
      <w:r>
        <w:t xml:space="preserve">and outlier presence/absence, respectively, against recombination rate, and extracted the slope of these models. We tested whether variation in these slopes were related to pairwise geographic distance between populations, using a Mantel test. We also tested whether the relationships between divergence and recombination were greater in pairwise comparisons involving island populations, were gene flow is assumed to be reduced, using a randomisation test.</w:t>
      </w:r>
    </w:p>
    <w:p>
      <w:pPr>
        <w:pStyle w:val="Heading2"/>
      </w:pPr>
      <w:bookmarkStart w:id="28" w:name="results"/>
      <w:bookmarkEnd w:id="28"/>
      <w:r>
        <w:t xml:space="preserve">Results</w:t>
      </w:r>
    </w:p>
    <w:p>
      <w:pPr>
        <w:pStyle w:val="Heading4"/>
      </w:pPr>
      <w:bookmarkStart w:id="29" w:name="genetic-diversity-and-population-history"/>
      <w:bookmarkEnd w:id="29"/>
      <w:r>
        <w:t xml:space="preserve">Genetic diversity and population history</w:t>
      </w:r>
    </w:p>
    <w:p>
      <w:pPr>
        <w:pStyle w:val="FirstParagraph"/>
      </w:pPr>
      <w:r>
        <w:t xml:space="preserve">Sampling locations and sample sizes for each population are given in Table 1. For ease of presentation, we grouped populations into "regions" for plots and analyses (see Table 1 for details).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0.17). Instead, the highest levels of</w:t>
      </w:r>
      <w:r>
        <w:t xml:space="preserve"> </w:t>
      </w:r>
      <m:oMath>
        <m:sSub>
          <m:e>
            <m:r>
              <m:t>F</m:t>
            </m:r>
          </m:e>
          <m:sub>
            <m:r>
              <m:t>S</m:t>
            </m:r>
            <m:r>
              <m:t>T</m:t>
            </m:r>
          </m:sub>
        </m:sSub>
      </m:oMath>
      <w:r>
        <w:t xml:space="preserve"> </w:t>
      </w:r>
      <w:r>
        <w:t xml:space="preserve">were found in comparisons involving island the populations of Corsica, Sardinia and Crete (Fig. 2A).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0.17, p = 0.14).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2B), but not to distance from Spain (r = 0.08, p = 0.71), or from Italy (r = 0.14, p = 0.55).</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and were populations from Turkey and the Balkans, and populations from England and Scotland (Fig. 3). The two fitted migration edges both involved Sardinia, involving migration from eastern Europe, and to Corsica (Fig. 3).</w:t>
      </w:r>
    </w:p>
    <w:p>
      <w:pPr>
        <w:pStyle w:val="Heading4"/>
      </w:pPr>
      <w:bookmarkStart w:id="30" w:name="genomic-landscapes-of-differentiation"/>
      <w:bookmarkEnd w:id="30"/>
      <w:r>
        <w:t xml:space="preserve">Genomic landscapes of differentiation</w:t>
      </w:r>
    </w:p>
    <w:p>
      <w:pPr>
        <w:pStyle w:val="FirstParagraph"/>
      </w:pPr>
      <w:r>
        <w:t xml:space="preserve">We found that</w:t>
      </w:r>
      <w:r>
        <w:t xml:space="preserve"> </w:t>
      </w:r>
      <m:oMath>
        <m:sSub>
          <m:e>
            <m:r>
              <m:t>F</m:t>
            </m:r>
          </m:e>
          <m:sub>
            <m:r>
              <m:t>S</m:t>
            </m:r>
            <m:r>
              <m:t>T</m:t>
            </m:r>
          </m:sub>
        </m:sSub>
      </m:oMath>
      <w:r>
        <w:t xml:space="preserve"> </w:t>
      </w:r>
      <w:r>
        <w:t xml:space="preserve">varied markedly across the genome, regardless of whether we considered marginal populations across which structure was higher or across central European populations with very low structure (Fig. 4A).</w:t>
      </w:r>
      <w:r>
        <w:t xml:space="preserve"> </w:t>
      </w:r>
      <m:oMath>
        <m:sSub>
          <m:e>
            <m:r>
              <m:t>F</m:t>
            </m:r>
          </m:e>
          <m:sub>
            <m:r>
              <m:t>S</m:t>
            </m:r>
            <m:r>
              <m:t>T</m:t>
            </m:r>
          </m:sub>
        </m:sSub>
      </m:oMath>
      <w:r>
        <w:t xml:space="preserve"> </w:t>
      </w:r>
      <w:r>
        <w:t xml:space="preserve">outliers were likely to be found in the same regions across the marginal and central populations (R = 0.19</w:t>
      </w:r>
      <w:r>
        <w:t xml:space="preserve"> </w:t>
      </w:r>
      <m:oMath>
        <m:r>
          <m:t>P</m:t>
        </m:r>
      </m:oMath>
      <w:r>
        <w:t xml:space="preserve"> </w:t>
      </w:r>
      <w:r>
        <w:t xml:space="preserve">&lt; 0.001). In addition,</w:t>
      </w:r>
      <w:r>
        <w:t xml:space="preserve"> </w:t>
      </w:r>
      <m:oMath>
        <m:sSub>
          <m:e>
            <m:r>
              <m:t>F</m:t>
            </m:r>
          </m:e>
          <m:sub>
            <m:r>
              <m:t>S</m:t>
            </m:r>
            <m:r>
              <m:t>T</m:t>
            </m:r>
          </m:sub>
        </m:sSub>
      </m:oMath>
      <w:r>
        <w:t xml:space="preserve"> </w:t>
      </w:r>
      <w:r>
        <w:t xml:space="preserve">outliers were more likely to be found in regions of low recombination across the marginal (GLM;</w:t>
      </w:r>
      <w:r>
        <w:t xml:space="preserve"> </w:t>
      </w:r>
      <m:oMath>
        <m:r>
          <m:t>P</m:t>
        </m:r>
      </m:oMath>
      <w:r>
        <w:t xml:space="preserve"> </w:t>
      </w:r>
      <w:r>
        <w:t xml:space="preserve">= &lt; 0.001), but not central (</w:t>
      </w:r>
      <m:oMath>
        <m:r>
          <m:t>P</m:t>
        </m:r>
      </m:oMath>
      <w:r>
        <w:t xml:space="preserve"> </w:t>
      </w:r>
      <w:r>
        <w:t xml:space="preserve">= 0.003), populations. We found similar results when look at at mean windowed</w:t>
      </w:r>
      <w:r>
        <w:t xml:space="preserve"> </w:t>
      </w:r>
      <m:oMath>
        <m:sSub>
          <m:e>
            <m:r>
              <m:t>F</m:t>
            </m:r>
          </m:e>
          <m:sub>
            <m:r>
              <m:t>S</m:t>
            </m:r>
            <m:r>
              <m:t>T</m:t>
            </m:r>
          </m:sub>
        </m:sSub>
      </m:oMath>
      <w:r>
        <w:t xml:space="preserve"> </w:t>
      </w:r>
      <w:r>
        <w:t xml:space="preserve">values, rather than presence/absence of outliers. Mean windowed</w:t>
      </w:r>
      <w:r>
        <w:t xml:space="preserve"> </w:t>
      </w:r>
      <m:oMath>
        <m:sSub>
          <m:e>
            <m:r>
              <m:t>F</m:t>
            </m:r>
          </m:e>
          <m:sub>
            <m:r>
              <m:t>S</m:t>
            </m:r>
            <m:r>
              <m:t>T</m:t>
            </m:r>
          </m:sub>
        </m:sSub>
      </m:oMath>
      <w:r>
        <w:t xml:space="preserve"> </w:t>
      </w:r>
      <w:r>
        <w:t xml:space="preserve">was correlated across these two sets of populations (R = 0.11</w:t>
      </w:r>
      <w:r>
        <w:t xml:space="preserve"> </w:t>
      </w:r>
      <m:oMath>
        <m:r>
          <m:t>P</m:t>
        </m:r>
      </m:oMath>
      <w:r>
        <w:t xml:space="preserve"> </w:t>
      </w:r>
      <w:r>
        <w:t xml:space="preserve">0.001).</w:t>
      </w:r>
      <w:r>
        <w:t xml:space="preserve"> </w:t>
      </w:r>
      <m:oMath>
        <m:sSub>
          <m:e>
            <m:r>
              <m:t>F</m:t>
            </m:r>
          </m:e>
          <m:sub>
            <m:r>
              <m:t>S</m:t>
            </m:r>
            <m:r>
              <m:t>T</m:t>
            </m:r>
          </m:sub>
        </m:sSub>
      </m:oMath>
      <w:r>
        <w:t xml:space="preserve"> </w:t>
      </w:r>
      <w:r>
        <w:t xml:space="preserve">was negatively related to variation in recombination rate across the marginal populations (R</w:t>
      </w:r>
      <w:r>
        <w:rPr>
          <w:vertAlign w:val="superscript"/>
        </w:rPr>
        <w:t xml:space="preserve">2</w:t>
      </w:r>
      <w:r>
        <w:t xml:space="preserve"> </w:t>
      </w:r>
      <w:r>
        <w:t xml:space="preserve">= 0.005,</w:t>
      </w:r>
      <w:r>
        <w:t xml:space="preserve"> </w:t>
      </w:r>
      <m:oMath>
        <m:r>
          <m:t>P</m:t>
        </m:r>
      </m:oMath>
      <w:r>
        <w:t xml:space="preserve"> </w:t>
      </w:r>
      <w:r>
        <w:t xml:space="preserve">0.041; Fig. 4C), and across the central populations (</w:t>
      </w:r>
      <m:oMath>
        <m:sSup>
          <m:e>
            <m:r>
              <m:t>R</m:t>
            </m:r>
          </m:e>
          <m:sup>
            <m:r>
              <m:t>2</m:t>
            </m:r>
          </m:sup>
        </m:sSup>
      </m:oMath>
      <w:r>
        <w:t xml:space="preserve"> </w:t>
      </w:r>
      <w:r>
        <w:t xml:space="preserve">= 0.016,</w:t>
      </w:r>
      <w:r>
        <w:t xml:space="preserve"> </w:t>
      </w:r>
      <m:oMath>
        <m:r>
          <m:t>P</m:t>
        </m:r>
      </m:oMath>
      <w:r>
        <w:t xml:space="preserve"> </w:t>
      </w:r>
      <w:r>
        <w:t xml:space="preserve">= &lt; 0.001; Fig. 4D).</w:t>
      </w:r>
    </w:p>
    <w:p>
      <w:pPr>
        <w:pStyle w:val="BodyText"/>
      </w:pPr>
      <w:r>
        <w:t xml:space="preserve">We next quantified how the landscape of genomic differentiation was related to recombination rate for all 378 pairs of populations. The slope of the relationship between oresence/absence of FST outliers and recombination rate was negative in the majority (75%) of cases.</w:t>
      </w:r>
      <w:r>
        <w:t xml:space="preserve"> </w:t>
      </w:r>
      <m:oMath>
        <m:sSub>
          <m:e>
            <m:r>
              <m:t>F</m:t>
            </m:r>
          </m:e>
          <m:sub>
            <m:r>
              <m:t>S</m:t>
            </m:r>
            <m:r>
              <m:t>T</m:t>
            </m:r>
          </m:sub>
        </m:sSub>
      </m:oMath>
      <w:r>
        <w:t xml:space="preserve"> </w:t>
      </w:r>
      <w:r>
        <w:t xml:space="preserve">outliers were most likely to be found in regions of low recombination in pairwise comparisons involving the island populations of Corsica, Sardinia and Crete, as well as marginal populations in the UK and Spain; meanwhile, outliers were found in regions with higher recombination rates in pairwise comparisons involving central European populations (Fig. 5A). There was no significant difference between the relationship between</w:t>
      </w:r>
      <w:r>
        <w:t xml:space="preserve"> </w:t>
      </w:r>
      <m:oMath>
        <m:sSub>
          <m:e>
            <m:r>
              <m:t>F</m:t>
            </m:r>
          </m:e>
          <m:sub>
            <m:r>
              <m:t>S</m:t>
            </m:r>
            <m:r>
              <m:t>T</m:t>
            </m:r>
          </m:sub>
        </m:sSub>
      </m:oMath>
      <w:r>
        <w:t xml:space="preserve"> </w:t>
      </w:r>
      <w:r>
        <w:t xml:space="preserve">outliers and recombination rate across pairwise comparisons involving mainlands and islands (</w:t>
      </w:r>
      <m:oMath>
        <m:r>
          <m:t>P</m:t>
        </m:r>
      </m:oMath>
      <w:r>
        <w:t xml:space="preserve"> </w:t>
      </w:r>
      <w:r>
        <w:t xml:space="preserve">0.015; Fig. 5B), and the relationship between</w:t>
      </w:r>
      <w:r>
        <w:t xml:space="preserve"> </w:t>
      </w:r>
      <m:oMath>
        <m:sSub>
          <m:e>
            <m:r>
              <m:t>F</m:t>
            </m:r>
          </m:e>
          <m:sub>
            <m:r>
              <m:t>S</m:t>
            </m:r>
            <m:r>
              <m:t>T</m:t>
            </m:r>
          </m:sub>
        </m:sSub>
      </m:oMath>
      <w:r>
        <w:t xml:space="preserve"> </w:t>
      </w:r>
      <w:r>
        <w:t xml:space="preserve">outliers and recombination rate did not vary according to the geographical distance between populations (r = -0.06, p = 0.39).Finally, we tested how the relationship between</w:t>
      </w:r>
      <w:r>
        <w:t xml:space="preserve"> </w:t>
      </w:r>
      <m:oMath>
        <m:sSub>
          <m:e>
            <m:r>
              <m:t>F</m:t>
            </m:r>
          </m:e>
          <m:sub>
            <m:r>
              <m:t>S</m:t>
            </m:r>
            <m:r>
              <m:t>T</m:t>
            </m:r>
          </m:sub>
        </m:sSub>
      </m:oMath>
      <w:r>
        <w:t xml:space="preserve"> </w:t>
      </w:r>
      <w:r>
        <w:t xml:space="preserve">and recombination rate scaled with genome-wide variaiton in</w:t>
      </w:r>
      <w:r>
        <w:t xml:space="preserve"> </w:t>
      </w:r>
      <m:oMath>
        <m:sSub>
          <m:e>
            <m:r>
              <m:t>F</m:t>
            </m:r>
          </m:e>
          <m:sub>
            <m:r>
              <m:t>S</m:t>
            </m:r>
            <m:r>
              <m:t>T</m:t>
            </m:r>
          </m:sub>
        </m:sSub>
      </m:oMath>
      <w:r>
        <w:t xml:space="preserve"> </w:t>
      </w:r>
      <w:r>
        <w:t xml:space="preserve">among pairs of populations. We found a negative relationship between the</w:t>
      </w:r>
      <w:r>
        <w:t xml:space="preserve"> </w:t>
      </w:r>
      <m:oMath>
        <m:sSub>
          <m:e>
            <m:r>
              <m:t>F</m:t>
            </m:r>
          </m:e>
          <m:sub>
            <m:r>
              <m:t>S</m:t>
            </m:r>
            <m:r>
              <m:t>T</m:t>
            </m:r>
          </m:sub>
        </m:sSub>
      </m:oMath>
      <w:r>
        <w:t xml:space="preserve">/recombination slope and genome-wide</w:t>
      </w:r>
      <w:r>
        <w:t xml:space="preserve"> </w:t>
      </w:r>
      <m:oMath>
        <m:sSub>
          <m:e>
            <m:r>
              <m:t>F</m:t>
            </m:r>
          </m:e>
          <m:sub>
            <m:r>
              <m:t>S</m:t>
            </m:r>
            <m:r>
              <m:t>T</m:t>
            </m:r>
          </m:sub>
        </m:sSub>
      </m:oMath>
      <w:r>
        <w:t xml:space="preserve"> </w:t>
      </w:r>
      <w:r>
        <w:t xml:space="preserve">(r = -0.22, p &lt; &lt; 0.001), and this effect was particularly pronounced in comparisons involving mainland and island populations were analysed separately (mainland populations: r = -0.26, p &lt; &lt; 0.001; island popularions: r = -0.22, p &lt; 0.012; Fig. 5C). We found almost identical patterns when we modeled</w:t>
      </w:r>
      <w:r>
        <w:t xml:space="preserve"> </w:t>
      </w:r>
      <m:oMath>
        <m:sSub>
          <m:e>
            <m:r>
              <m:t>F</m:t>
            </m:r>
          </m:e>
          <m:sub>
            <m:r>
              <m:t>S</m:t>
            </m:r>
            <m:r>
              <m:t>T</m:t>
            </m:r>
          </m:sub>
        </m:sSub>
      </m:oMath>
      <w:r>
        <w:t xml:space="preserve"> </w:t>
      </w:r>
      <w:r>
        <w:t xml:space="preserve">as a continuous variable, rather than presence/absence of</w:t>
      </w:r>
      <w:r>
        <w:t xml:space="preserve"> </w:t>
      </w:r>
      <m:oMath>
        <m:sSub>
          <m:e>
            <m:r>
              <m:t>F</m:t>
            </m:r>
          </m:e>
          <m:sub>
            <m:r>
              <m:t>S</m:t>
            </m:r>
            <m:r>
              <m:t>T</m:t>
            </m:r>
          </m:sub>
        </m:sSub>
      </m:oMath>
      <w:r>
        <w:t xml:space="preserve"> </w:t>
      </w:r>
      <w:r>
        <w:t xml:space="preserve">outliers (Fig. S5).</w:t>
      </w:r>
    </w:p>
    <w:p>
      <w:pPr>
        <w:pStyle w:val="Heading2"/>
      </w:pPr>
      <w:bookmarkStart w:id="31" w:name="discussion"/>
      <w:bookmarkEnd w:id="31"/>
      <w:r>
        <w:t xml:space="preserve">Discussion</w:t>
      </w:r>
    </w:p>
    <w:p>
      <w:pPr>
        <w:pStyle w:val="Heading2"/>
      </w:pPr>
      <w:bookmarkStart w:id="32" w:name="references"/>
      <w:bookmarkEnd w:id="32"/>
      <w:r>
        <w:t xml:space="preserve">References</w:t>
      </w:r>
    </w:p>
    <w:p>
      <w:pPr>
        <w:pStyle w:val="FirstParagraph"/>
      </w:pPr>
      <w:r>
        <w:t xml:space="preserve">Alexander, D.H., Novembre, J. &amp; Lange, K. (2009) Fast model-based estimation of ancestry in unrelated individuals.</w:t>
      </w:r>
      <w:r>
        <w:t xml:space="preserve"> </w:t>
      </w:r>
      <w:r>
        <w:rPr>
          <w:i/>
        </w:rPr>
        <w:t xml:space="preserve">Genome Research</w:t>
      </w:r>
      <w:r>
        <w:t xml:space="preserve">,</w:t>
      </w:r>
      <w:r>
        <w:t xml:space="preserve"> </w:t>
      </w:r>
      <w:r>
        <w:rPr>
          <w:b/>
        </w:rPr>
        <w:t xml:space="preserve">19</w:t>
      </w:r>
      <w:r>
        <w:t xml:space="preserve">, 1655–1664.</w:t>
      </w:r>
    </w:p>
    <w:p>
      <w:pPr>
        <w:pStyle w:val="BodyText"/>
      </w:pPr>
      <w:r>
        <w:t xml:space="preserve">Burri, R., Nater, A., Kawakami, T., Mugal, C.F., Olason, P.I., Smeds, L., Suh, A., Dutoit, L., Bureš, S., Garamszegi, L.Z., Hogner, S., Moreno, J., Qvarnström, A., Ružić, M., Sæther, S.-A., Sætre, G.-P., Török, J. &amp; Ellegren, H. (2015) Linked selection and recombination rate variation drive the evolution of the genomic landscape of differentiation across the speciation continuum of Ficedula flycatchers.</w:t>
      </w:r>
      <w:r>
        <w:t xml:space="preserve"> </w:t>
      </w:r>
      <w:r>
        <w:rPr>
          <w:i/>
        </w:rPr>
        <w:t xml:space="preserve">Genome research</w:t>
      </w:r>
      <w:r>
        <w:t xml:space="preserve">,</w:t>
      </w:r>
      <w:r>
        <w:t xml:space="preserve"> </w:t>
      </w:r>
      <w:r>
        <w:rPr>
          <w:b/>
        </w:rPr>
        <w:t xml:space="preserve">25</w:t>
      </w:r>
      <w:r>
        <w:t xml:space="preserve">, 1656–65.</w:t>
      </w:r>
    </w:p>
    <w:p>
      <w:pPr>
        <w:pStyle w:val="BodyText"/>
      </w:pPr>
      <w:r>
        <w:t xml:space="preserve">Cruickshank, T.E. &amp; Hahn, M.W. (2014) Reanalysis suggests that genomic islands of speciation are due to reduced diversity, not reduced gene flow.</w:t>
      </w:r>
      <w:r>
        <w:t xml:space="preserve"> </w:t>
      </w:r>
      <w:r>
        <w:rPr>
          <w:i/>
        </w:rPr>
        <w:t xml:space="preserve">Molecular Ecology</w:t>
      </w:r>
      <w:r>
        <w:t xml:space="preserve">,</w:t>
      </w:r>
      <w:r>
        <w:t xml:space="preserve"> </w:t>
      </w:r>
      <w:r>
        <w:rPr>
          <w:b/>
        </w:rPr>
        <w:t xml:space="preserve">23</w:t>
      </w:r>
      <w:r>
        <w:t xml:space="preserve">, 3133–3157.</w:t>
      </w:r>
    </w:p>
    <w:p>
      <w:pPr>
        <w:pStyle w:val="BodyText"/>
      </w:pPr>
      <w:r>
        <w:t xml:space="preserve">Goslee, S.C. &amp; Urban, D.L. (2007) The ecodist package for dissimilarity-based analysis of ecological data.</w:t>
      </w:r>
      <w:r>
        <w:t xml:space="preserve"> </w:t>
      </w:r>
      <w:r>
        <w:rPr>
          <w:i/>
        </w:rPr>
        <w:t xml:space="preserve">Journal Of Statistical Software</w:t>
      </w:r>
      <w:r>
        <w:t xml:space="preserve">,</w:t>
      </w:r>
      <w:r>
        <w:t xml:space="preserve"> </w:t>
      </w:r>
      <w:r>
        <w:rPr>
          <w:b/>
        </w:rPr>
        <w:t xml:space="preserve">22</w:t>
      </w:r>
      <w:r>
        <w:t xml:space="preserve">, 1–19.</w:t>
      </w:r>
    </w:p>
    <w:p>
      <w:pPr>
        <w:pStyle w:val="BodyText"/>
      </w:pPr>
      <w:r>
        <w:t xml:space="preserve">Harris, H. (1966) Enzyme Polymorphisms in Man.</w:t>
      </w:r>
      <w:r>
        <w:t xml:space="preserve"> </w:t>
      </w:r>
      <w:r>
        <w:rPr>
          <w:i/>
        </w:rPr>
        <w:t xml:space="preserve">Proceedings of the Royal Society B: Biological Sciences</w:t>
      </w:r>
      <w:r>
        <w:t xml:space="preserve">,</w:t>
      </w:r>
      <w:r>
        <w:t xml:space="preserve"> </w:t>
      </w:r>
      <w:r>
        <w:rPr>
          <w:b/>
        </w:rPr>
        <w:t xml:space="preserve">164</w:t>
      </w:r>
      <w:r>
        <w:t xml:space="preserve">, 298–310.</w:t>
      </w:r>
    </w:p>
    <w:p>
      <w:pPr>
        <w:pStyle w:val="BodyText"/>
      </w:pPr>
      <w:r>
        <w:t xml:space="preserve">Hubby, J.L. &amp; Lewontin, R.C. (1966) A molecular approach to the study of genic heterozygosity in natural populations. I. The number of alleles at different loci in Drosophila pseudoobscura.</w:t>
      </w:r>
      <w:r>
        <w:t xml:space="preserve"> </w:t>
      </w:r>
      <w:r>
        <w:rPr>
          <w:i/>
        </w:rPr>
        <w:t xml:space="preserve">Genetics</w:t>
      </w:r>
      <w:r>
        <w:t xml:space="preserve">,</w:t>
      </w:r>
      <w:r>
        <w:t xml:space="preserve"> </w:t>
      </w:r>
      <w:r>
        <w:rPr>
          <w:b/>
        </w:rPr>
        <w:t xml:space="preserve">54</w:t>
      </w:r>
      <w:r>
        <w:t xml:space="preserve">, 577–594.</w:t>
      </w:r>
    </w:p>
    <w:p>
      <w:pPr>
        <w:pStyle w:val="BodyText"/>
      </w:pPr>
      <w:r>
        <w:t xml:space="preserve">Lewontin, R.C. &amp; Hubby, J.L. (1966) A molecular approach to the study of genic heterozygosity in natural populations. II. Amount of variation and degree of heterozygosity in natural populations of Drosophila pseudoobscura.</w:t>
      </w:r>
      <w:r>
        <w:t xml:space="preserve"> </w:t>
      </w:r>
      <w:r>
        <w:rPr>
          <w:i/>
        </w:rPr>
        <w:t xml:space="preserve">Genetics</w:t>
      </w:r>
      <w:r>
        <w:t xml:space="preserve">,</w:t>
      </w:r>
      <w:r>
        <w:t xml:space="preserve"> </w:t>
      </w:r>
      <w:r>
        <w:rPr>
          <w:b/>
        </w:rPr>
        <w:t xml:space="preserve">54</w:t>
      </w:r>
      <w:r>
        <w:t xml:space="preserve">, 595–609.</w:t>
      </w:r>
    </w:p>
    <w:p>
      <w:pPr>
        <w:pStyle w:val="BodyText"/>
      </w:pPr>
      <w:r>
        <w:t xml:space="preserve">Nadeau, N.J., Whibley, A., Jones, R.T., Davey, J.W., Dasmahapatra, K.K., Baxter, S.W., Quail, M.A., Joron, M., Ffrench-Constant, R.H., Blaxter, M.L., Mallet, J. &amp; Jiggins, C.D. (2011) Genomic islands of divergence in hybridizing Heliconius butterflies identified by large-scale targeted sequencing.</w:t>
      </w:r>
      <w:r>
        <w:t xml:space="preserve"> </w:t>
      </w:r>
      <w:r>
        <w:rPr>
          <w:i/>
        </w:rPr>
        <w:t xml:space="preserve">Philosophical Transactions of the Royal Society of London B: Biological Sciences</w:t>
      </w:r>
      <w:r>
        <w:t xml:space="preserve">,</w:t>
      </w:r>
      <w:r>
        <w:t xml:space="preserve"> </w:t>
      </w:r>
      <w:r>
        <w:rPr>
          <w:b/>
        </w:rPr>
        <w:t xml:space="preserve">367</w:t>
      </w:r>
      <w:r>
        <w:t xml:space="preserve">.</w:t>
      </w:r>
    </w:p>
    <w:p>
      <w:pPr>
        <w:pStyle w:val="BodyText"/>
      </w:pPr>
      <w:r>
        <w:t xml:space="preserve">Noor, M.A.F. &amp; Bennett, S.M. (2009) Islands of speciation or mirages in the desert? Examining the role of restricted recombination in maintaining species.</w:t>
      </w:r>
      <w:r>
        <w:t xml:space="preserve"> </w:t>
      </w:r>
      <w:r>
        <w:rPr>
          <w:i/>
        </w:rPr>
        <w:t xml:space="preserve">Heredity</w:t>
      </w:r>
      <w:r>
        <w:t xml:space="preserve">,</w:t>
      </w:r>
      <w:r>
        <w:t xml:space="preserve"> </w:t>
      </w:r>
      <w:r>
        <w:rPr>
          <w:b/>
        </w:rPr>
        <w:t xml:space="preserve">103</w:t>
      </w:r>
      <w:r>
        <w:t xml:space="preserve">, 439–444.</w:t>
      </w:r>
    </w:p>
    <w:p>
      <w:pPr>
        <w:pStyle w:val="BodyText"/>
      </w:pPr>
      <w:r>
        <w:t xml:space="preserve">Pickrell, J.K. &amp; Pritchard, J.K. (2012) Inference of Population Splits and Mixtures from Genome-Wide Allele Frequency Data.</w:t>
      </w:r>
      <w:r>
        <w:t xml:space="preserve"> </w:t>
      </w:r>
      <w:r>
        <w:rPr>
          <w:i/>
        </w:rPr>
        <w:t xml:space="preserve">PLoS Genetics</w:t>
      </w:r>
      <w:r>
        <w:t xml:space="preserve">,</w:t>
      </w:r>
      <w:r>
        <w:t xml:space="preserve"> </w:t>
      </w:r>
      <w:r>
        <w:rPr>
          <w:b/>
        </w:rPr>
        <w:t xml:space="preserve">8</w:t>
      </w:r>
      <w:r>
        <w:t xml:space="preserve">.</w:t>
      </w:r>
    </w:p>
    <w:p>
      <w:pPr>
        <w:pStyle w:val="BodyText"/>
      </w:pPr>
      <w:r>
        <w:t xml:space="preserve">Poelstra, J.W., Vijay, N., Bossu, C.M., Lantz, H., Ryll, B., Müller, I., Baglione, V., Unneberg, P., Wikelski, M., Grabherr, M.G. &amp; Wolf, J.B.W. (2014) The genomic landscape underlying phenotypic integrity in the face of gene flow in crows.</w:t>
      </w:r>
      <w:r>
        <w:t xml:space="preserve"> </w:t>
      </w:r>
      <w:r>
        <w:rPr>
          <w:i/>
        </w:rPr>
        <w:t xml:space="preserve">Science</w:t>
      </w:r>
      <w:r>
        <w:t xml:space="preserve">,</w:t>
      </w:r>
      <w:r>
        <w:t xml:space="preserve"> </w:t>
      </w:r>
      <w:r>
        <w:rPr>
          <w:b/>
        </w:rPr>
        <w:t xml:space="preserve">344</w:t>
      </w:r>
      <w:r>
        <w:t xml:space="preserve">.</w:t>
      </w:r>
    </w:p>
    <w:p>
      <w:pPr>
        <w:pStyle w:val="BodyText"/>
      </w:pPr>
      <w:r>
        <w:t xml:space="preserve">Purcell, S., Neale, B., Todd-Brown, K., Thomas, L., Ferreira, M.A., Bender, D., Maller, J., Sklar, P., Bakker, P.I. de, Daly, M.J. &amp; Sham, P.C. (2007) PLINK: A Tool Set for Whole-Genome Association and Population-Based Linkage Analyses.</w:t>
      </w:r>
      <w:r>
        <w:t xml:space="preserve"> </w:t>
      </w:r>
      <w:r>
        <w:rPr>
          <w:i/>
        </w:rPr>
        <w:t xml:space="preserve">The American Journal of Human Genetics</w:t>
      </w:r>
      <w:r>
        <w:t xml:space="preserve">,</w:t>
      </w:r>
      <w:r>
        <w:t xml:space="preserve"> </w:t>
      </w:r>
      <w:r>
        <w:rPr>
          <w:b/>
        </w:rPr>
        <w:t xml:space="preserve">81</w:t>
      </w:r>
      <w:r>
        <w:t xml:space="preserve">, 559–575.</w:t>
      </w:r>
    </w:p>
    <w:p>
      <w:pPr>
        <w:pStyle w:val="BodyText"/>
      </w:pPr>
      <w:r>
        <w:t xml:space="preserve">R Development Core Team. (2011) R: A Language and Environment for Statistical Computing (ed RDC Team).</w:t>
      </w:r>
    </w:p>
    <w:p>
      <w:pPr>
        <w:pStyle w:val="BodyText"/>
      </w:pPr>
      <w:r>
        <w:t xml:space="preserve">Renaut, S., Grassa, C.J., Yeaman, S., Moyers, B.T., Lai, Z., Kane, N.C., Bowers, J.E., Burke, J.M. &amp; Rieseberg, L.H. (2013) Genomic islands of divergence are not affected by geography of speciation in sunflowers.</w:t>
      </w:r>
      <w:r>
        <w:t xml:space="preserve"> </w:t>
      </w:r>
      <w:r>
        <w:rPr>
          <w:i/>
        </w:rPr>
        <w:t xml:space="preserve">Nature Communications</w:t>
      </w:r>
      <w:r>
        <w:t xml:space="preserve">,</w:t>
      </w:r>
      <w:r>
        <w:t xml:space="preserve"> </w:t>
      </w:r>
      <w:r>
        <w:rPr>
          <w:b/>
        </w:rPr>
        <w:t xml:space="preserve">4</w:t>
      </w:r>
      <w:r>
        <w:t xml:space="preserve">, 1827.</w:t>
      </w:r>
    </w:p>
    <w:p>
      <w:pPr>
        <w:pStyle w:val="BodyText"/>
      </w:pPr>
      <w:r>
        <w:t xml:space="preserve">Turner, T.L., Hahn, M.W., Nuzhdin, S.V., Mitchison, G. &amp; Spencer, F. (2005) Genomic Islands of Speciation in Anopheles gambiae (ed N Barton).</w:t>
      </w:r>
      <w:r>
        <w:t xml:space="preserve"> </w:t>
      </w:r>
      <w:r>
        <w:rPr>
          <w:i/>
        </w:rPr>
        <w:t xml:space="preserve">PLoS Biology</w:t>
      </w:r>
      <w:r>
        <w:t xml:space="preserve">,</w:t>
      </w:r>
      <w:r>
        <w:t xml:space="preserve"> </w:t>
      </w:r>
      <w:r>
        <w:rPr>
          <w:b/>
        </w:rPr>
        <w:t xml:space="preserve">3</w:t>
      </w:r>
      <w:r>
        <w:t xml:space="preserve">, e285.</w:t>
      </w:r>
    </w:p>
    <w:p>
      <w:pPr>
        <w:pStyle w:val="BodyText"/>
      </w:pPr>
      <w:r>
        <w:t xml:space="preserve">Van Doren, B.M., Campagna, L., Helm, B., Illera, J.C., Lovette, I.J. &amp; Liedvogel, M. (2017) Correlated patterns of genetic diversity and differentiation across an avian family.</w:t>
      </w:r>
      <w:r>
        <w:t xml:space="preserve"> </w:t>
      </w:r>
      <w:r>
        <w:rPr>
          <w:i/>
        </w:rPr>
        <w:t xml:space="preserve">Molecular Ecology</w:t>
      </w:r>
      <w:r>
        <w:t xml:space="preserve">,</w:t>
      </w:r>
      <w:r>
        <w:t xml:space="preserve"> </w:t>
      </w:r>
      <w:r>
        <w:rPr>
          <w:b/>
        </w:rPr>
        <w:t xml:space="preserve">26</w:t>
      </w:r>
      <w:r>
        <w:t xml:space="preserve">, 3982–3997.</w:t>
      </w:r>
    </w:p>
    <w:p>
      <w:pPr>
        <w:pStyle w:val="BodyText"/>
      </w:pPr>
      <w:r>
        <w:t xml:space="preserve">Vijay, N., Weissensteiner, M., Burri, R., Kawakami, T., Ellegren, H. &amp; Wolf, J.B.W. (2017) Genomewide patterns of variation in genetic diversity are shared among populations, species and higher-order taxa.</w:t>
      </w:r>
      <w:r>
        <w:t xml:space="preserve"> </w:t>
      </w:r>
      <w:r>
        <w:rPr>
          <w:i/>
        </w:rPr>
        <w:t xml:space="preserve">Molecular Ecology</w:t>
      </w:r>
      <w:r>
        <w:t xml:space="preserve">,</w:t>
      </w:r>
      <w:r>
        <w:t xml:space="preserve"> </w:t>
      </w:r>
      <w:r>
        <w:rPr>
          <w:b/>
        </w:rPr>
        <w:t xml:space="preserve">26</w:t>
      </w:r>
      <w:r>
        <w:t xml:space="preserve">, 4284–4295.</w:t>
      </w:r>
    </w:p>
    <w:p>
      <w:pPr>
        <w:pStyle w:val="BodyText"/>
      </w:pPr>
    </w:p>
    <w:p>
      <w:pPr>
        <w:pStyle w:val="Heading2"/>
      </w:pPr>
      <w:bookmarkStart w:id="33" w:name="tables-and-figures"/>
      <w:bookmarkEnd w:id="33"/>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Westerheide_Netherlands</w:t>
            </w:r>
          </w:p>
        </w:tc>
        <w:tc>
          <w:p>
            <w:pPr>
              <w:pStyle w:val="Compact"/>
              <w:jc w:val="left"/>
            </w:pPr>
            <w:r>
              <w:t xml:space="preserve">Netherlands</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r>
              <w:t xml:space="preserve">Vlieland_Netherlands</w:t>
            </w:r>
          </w:p>
        </w:tc>
        <w:tc>
          <w:p>
            <w:pPr>
              <w:pStyle w:val="Compact"/>
              <w:jc w:val="left"/>
            </w:pPr>
            <w:r>
              <w:t xml:space="preserve">Netherlands (Vlieland)</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p>
        </w:tc>
        <w:tc>
          <w:p>
            <w:pStyle w:val="Compact"/>
          </w:p>
        </w:tc>
        <w:tc>
          <w:p>
            <w:pStyle w:val="Compact"/>
          </w:p>
        </w:tc>
        <w:tc>
          <w:p>
            <w:pStyle w:val="Compact"/>
          </w:p>
        </w:tc>
        <w:tc>
          <w:p>
            <w:pStyle w:val="Compact"/>
          </w:p>
        </w:tc>
      </w:tr>
    </w:tbl>
    <w:p>
      <w:pPr>
        <w:pStyle w:val="Heading2"/>
      </w:pPr>
      <w:bookmarkStart w:id="34" w:name="figure-legends"/>
      <w:bookmarkEnd w:id="34"/>
      <w:r>
        <w:t xml:space="preserve">Figure legends</w:t>
      </w:r>
    </w:p>
    <w:p>
      <w:pPr>
        <w:pStyle w:val="FirstParagraph"/>
      </w:pPr>
      <w:r>
        <w:rPr>
          <w:b/>
        </w:rPr>
        <w:t xml:space="preserve">Figure 1</w:t>
      </w:r>
      <w:r>
        <w:t xml:space="preserve"> </w:t>
      </w:r>
      <w:r>
        <w:t xml:space="preserve">Sampling locations, heterozygosity</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Pairwise</w:t>
      </w:r>
      <w:r>
        <w:t xml:space="preserve"> </w:t>
      </w:r>
      <m:oMath>
        <m:sSub>
          <m:e>
            <m:r>
              <m:t>F</m:t>
            </m:r>
          </m:e>
          <m:sub>
            <m:r>
              <m:t>S</m:t>
            </m:r>
            <m:r>
              <m:t>T</m:t>
            </m:r>
          </m:sub>
        </m:sSub>
      </m:oMath>
      <w:r>
        <w:t xml:space="preserve"> </w:t>
      </w:r>
      <w:r>
        <w:t xml:space="preserve">between all European populations in relation to pairwise geographic distance;</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between a proposed refugial population in Turkey and all other populations, in relation to geographic distance from the refugia. Blue points in</w:t>
      </w:r>
      <w:r>
        <w:t xml:space="preserve"> </w:t>
      </w:r>
      <w:r>
        <w:rPr>
          <w:b/>
        </w:rPr>
        <w:t xml:space="preserve">A</w:t>
      </w:r>
      <w:r>
        <w:t xml:space="preserve"> </w:t>
      </w:r>
      <w:r>
        <w:t xml:space="preserve">and</w:t>
      </w:r>
      <w:r>
        <w:t xml:space="preserve"> </w:t>
      </w:r>
      <w:r>
        <w:rPr>
          <w:b/>
        </w:rPr>
        <w:t xml:space="preserve">B</w:t>
      </w:r>
      <w:r>
        <w:t xml:space="preserve"> </w:t>
      </w:r>
      <w:r>
        <w:t xml:space="preserve">are comparisons involving the island populations of Corsica, Sardinia and Crete, while grey points represent all other comparisons.</w:t>
      </w:r>
      <w:r>
        <w:t xml:space="preserve"> </w:t>
      </w:r>
      <w:r>
        <w:rPr>
          <w:b/>
        </w:rPr>
        <w:t xml:space="preserve">C,D</w:t>
      </w:r>
      <w:r>
        <w:t xml:space="preserve"> </w:t>
      </w:r>
      <w:r>
        <w:t xml:space="preserve">Output from admixture analysis at</w:t>
      </w:r>
      <w:r>
        <w:t xml:space="preserve"> </w:t>
      </w:r>
      <m:oMath>
        <m:r>
          <m:t>K</m:t>
        </m:r>
      </m:oMath>
      <w:r>
        <w:t xml:space="preserve"> </w:t>
      </w:r>
      <w:r>
        <w:t xml:space="preserve">= 3, (</w:t>
      </w:r>
      <w:r>
        <w:rPr>
          <w:b/>
        </w:rPr>
        <w:t xml:space="preserve">C</w:t>
      </w:r>
      <w:r>
        <w:t xml:space="preserve">) and</w:t>
      </w:r>
      <w:r>
        <w:t xml:space="preserve"> </w:t>
      </w:r>
      <m:oMath>
        <m:r>
          <m:t>K</m:t>
        </m:r>
      </m:oMath>
      <w:r>
        <w:t xml:space="preserve"> </w:t>
      </w:r>
      <w:r>
        <w:t xml:space="preserve">= 8 (</w:t>
      </w:r>
      <w:r>
        <w:rPr>
          <w:b/>
        </w:rPr>
        <w:t xml:space="preserve">D</w:t>
      </w:r>
      <w:r>
        <w:t xml:space="preserve">).</w:t>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r>
        <w:t xml:space="preserve">*</w:t>
      </w:r>
      <w:r>
        <w:rPr>
          <w:b/>
        </w:rPr>
        <w:t xml:space="preserve">Figure 4</w:t>
      </w:r>
    </w:p>
    <w:p>
      <w:pPr>
        <w:pStyle w:val="BodyText"/>
      </w:pPr>
      <w:r>
        <w:rPr>
          <w:b/>
        </w:rPr>
        <w:t xml:space="preserve">Figure 5</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66675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6"/>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rPr>
        <w:t xml:space="preserve">Figure 3</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4</w:t>
      </w:r>
      <w:r>
        <w:t xml:space="preserve"> </w:t>
      </w:r>
      <w:r>
        <w:drawing>
          <wp:inline>
            <wp:extent cx="5334000" cy="466725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8"/>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b/>
        </w:rPr>
        <w:t xml:space="preserve">Figure 5</w:t>
      </w:r>
      <w:r>
        <w:t xml:space="preserve"> </w:t>
      </w:r>
      <w:r>
        <w:drawing>
          <wp:inline>
            <wp:extent cx="5334000" cy="5334000"/>
            <wp:effectExtent b="0" l="0" r="0" t="0"/>
            <wp:docPr descr=""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78bd8c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5" Target="media/rId35.png"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2017-09-08T15:48:25Z</dcterms:created>
  <dcterms:modified xsi:type="dcterms:W3CDTF">2017-09-08T15:48:25Z</dcterms:modified>
</cp:coreProperties>
</file>