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among both closely related and structured great tit populations.</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appearts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 Phyleogeographic research using mitochondrial and microsatellite loci suggests that this species has has recently expanded across its European range, possible from a single refugium in the Balkans. Contemporary populations are characterised by large effective population sizes and high levels of gene flow among populations, resulting in low levels of genetic differentiation. The genome of the great tit has recently been sequences, and a high density (650K) panel of SNP markers has been developed. A recent study of two European populations using this marker panel suggests that rapid adaptation has occurred at the genomic and phenotypic levels</w:t>
      </w:r>
      <w:r>
        <w:t xml:space="preserve"> </w:t>
      </w:r>
      <w:r>
        <w:t xml:space="preserve">(</w:t>
      </w:r>
      <w:r>
        <w:rPr>
          <w:b/>
        </w:rPr>
        <w:t xml:space="preserve">???</w:t>
      </w:r>
      <w:r>
        <w:t xml:space="preserve">)</w:t>
      </w:r>
      <w:r>
        <w:t xml:space="preserve">. A wealth of ecological data also exists acros multiple great tit populations,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w:t>
      </w:r>
      <w:r>
        <w:t xml:space="preserve"> </w:t>
      </w:r>
      <m:oMath>
        <m:sSub>
          <m:e>
            <m:r>
              <m:t>F</m:t>
            </m:r>
          </m:e>
          <m:sub>
            <m:r>
              <m:t>S</m:t>
            </m:r>
            <m:r>
              <m:t>T</m:t>
            </m:r>
          </m:sub>
        </m:sSub>
      </m:oMath>
      <w:r>
        <w:t xml:space="preserve"> </w:t>
      </w:r>
      <w:r>
        <w:t xml:space="preserve">outliers were likely to be found in the same regions across the marginal and central populations (R = 0.19</w:t>
      </w:r>
      <w:r>
        <w:t xml:space="preserve"> </w:t>
      </w:r>
      <m:oMath>
        <m:r>
          <m:t>P</m:t>
        </m:r>
      </m:oMath>
      <w:r>
        <w:t xml:space="preserve"> </w:t>
      </w:r>
      <w:r>
        <w:t xml:space="preserve">&lt; 0.001). In addition,</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&lt; 0.001), but not central (</w:t>
      </w:r>
      <m:oMath>
        <m:r>
          <m:t>P</m:t>
        </m:r>
      </m:oMath>
      <w:r>
        <w:t xml:space="preserve"> </w:t>
      </w:r>
      <w:r>
        <w:t xml:space="preserve">= 0.003), populations. We found similar results when look at at mean windowed</w:t>
      </w:r>
      <w:r>
        <w:t xml:space="preserve"> </w:t>
      </w:r>
      <m:oMath>
        <m:sSub>
          <m:e>
            <m:r>
              <m:t>F</m:t>
            </m:r>
          </m:e>
          <m:sub>
            <m:r>
              <m:t>S</m:t>
            </m:r>
            <m:r>
              <m:t>T</m:t>
            </m:r>
          </m:sub>
        </m:sSub>
      </m:oMath>
      <w:r>
        <w:t xml:space="preserve"> </w:t>
      </w:r>
      <w:r>
        <w:t xml:space="preserve">values, rather than presence/absence of outliers. Mean windowed</w:t>
      </w:r>
      <w:r>
        <w:t xml:space="preserve"> </w:t>
      </w:r>
      <m:oMath>
        <m:sSub>
          <m:e>
            <m:r>
              <m:t>F</m:t>
            </m:r>
          </m:e>
          <m:sub>
            <m:r>
              <m:t>S</m:t>
            </m:r>
            <m:r>
              <m:t>T</m:t>
            </m:r>
          </m:sub>
        </m:sSub>
      </m:oMath>
      <w:r>
        <w:t xml:space="preserve"> </w:t>
      </w:r>
      <w:r>
        <w:t xml:space="preserve">was correlated across these two sets of populations (R = 0.11</w:t>
      </w:r>
      <w:r>
        <w:t xml:space="preserve"> </w:t>
      </w:r>
      <m:oMath>
        <m:r>
          <m:t>P</m:t>
        </m:r>
      </m:oMath>
      <w:r>
        <w:t xml:space="preserve"> </w:t>
      </w:r>
      <w:r>
        <w:t xml:space="preserve">0.001).</w:t>
      </w:r>
      <w:r>
        <w:t xml:space="preserve"> </w:t>
      </w:r>
      <m:oMath>
        <m:sSub>
          <m:e>
            <m:r>
              <m:t>F</m:t>
            </m:r>
          </m:e>
          <m:sub>
            <m:r>
              <m:t>S</m:t>
            </m:r>
            <m:r>
              <m:t>T</m:t>
            </m:r>
          </m:sub>
        </m:sSub>
      </m:oMath>
      <w:r>
        <w:t xml:space="preserve"> </w:t>
      </w:r>
      <w:r>
        <w:t xml:space="preserve">was negatively related to variation in recombination rate across the marginal populations (R</w:t>
      </w:r>
      <w:r>
        <w:rPr>
          <w:vertAlign w:val="superscript"/>
        </w:rPr>
        <w:t xml:space="preserve">2</w:t>
      </w:r>
      <w:r>
        <w:t xml:space="preserve"> </w:t>
      </w:r>
      <w:r>
        <w:t xml:space="preserve">= 0.005,</w:t>
      </w:r>
      <w:r>
        <w:t xml:space="preserve"> </w:t>
      </w:r>
      <m:oMath>
        <m:r>
          <m:t>P</m:t>
        </m:r>
      </m:oMath>
      <w:r>
        <w:t xml:space="preserve"> </w:t>
      </w:r>
      <w:r>
        <w:t xml:space="preserve">0.041; Fig. 4C), and across the central populations (</w:t>
      </w:r>
      <m:oMath>
        <m:sSup>
          <m:e>
            <m:r>
              <m:t>R</m:t>
            </m:r>
          </m:e>
          <m:sup>
            <m:r>
              <m:t>2</m:t>
            </m:r>
          </m:sup>
        </m:sSup>
      </m:oMath>
      <w:r>
        <w:t xml:space="preserve"> </w:t>
      </w:r>
      <w:r>
        <w:t xml:space="preserve">= 0.016,</w:t>
      </w:r>
      <w:r>
        <w:t xml:space="preserve"> </w:t>
      </w:r>
      <m:oMath>
        <m:r>
          <m:t>P</m:t>
        </m:r>
      </m:oMath>
      <w:r>
        <w:t xml:space="preserve"> </w:t>
      </w:r>
      <w:r>
        <w:t xml:space="preserve">= &lt; 0.001; Fig. 4D).</w:t>
      </w:r>
    </w:p>
    <w:p>
      <w:pPr>
        <w:pStyle w:val="BodyText"/>
      </w:pPr>
      <w:r>
        <w:t xml:space="preserve">We next quantified how the landscape of genomic differentiation was related to recombination rate for all 378 pairs of populations. The slope of the relationship between oresence/absence of FST outliers and recombination rate was negative in the majority (81%) of cases.</w:t>
      </w:r>
      <w:r>
        <w:t xml:space="preserve"> </w:t>
      </w:r>
      <m:oMath>
        <m:sSub>
          <m:e>
            <m:r>
              <m:t>F</m:t>
            </m:r>
          </m:e>
          <m:sub>
            <m:r>
              <m:t>S</m:t>
            </m:r>
            <m:r>
              <m:t>T</m:t>
            </m:r>
          </m:sub>
        </m:sSub>
      </m:oMath>
      <w:r>
        <w:t xml:space="preserve"> </w:t>
      </w:r>
      <w:r>
        <w:t xml:space="preserve">outliers were most likely to be found in regions of low recombination in pairwise comparisons involving the island populations of Corsica, Sardinia and Crete, as well as marginal populations in the UK and Spain; meanwhile, outliers were found in regions with higher recombination rates in pairwise comparisons involving central European populations (Fig. 5A). There was no significant difference between the relationship between</w:t>
      </w:r>
      <w:r>
        <w:t xml:space="preserve"> </w:t>
      </w:r>
      <m:oMath>
        <m:sSub>
          <m:e>
            <m:r>
              <m:t>F</m:t>
            </m:r>
          </m:e>
          <m:sub>
            <m:r>
              <m:t>S</m:t>
            </m:r>
            <m:r>
              <m:t>T</m:t>
            </m:r>
          </m:sub>
        </m:sSub>
      </m:oMath>
      <w:r>
        <w:t xml:space="preserve"> </w:t>
      </w:r>
      <w:r>
        <w:t xml:space="preserve">outliers and recombination rate across pairwise comparisons involving mainlands and islands (</w:t>
      </w:r>
      <m:oMath>
        <m:r>
          <m:t>P</m:t>
        </m:r>
      </m:oMath>
      <w:r>
        <w:t xml:space="preserve"> </w:t>
      </w:r>
      <w:r>
        <w:t xml:space="preserve">0.157; Fig. 5B), and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-0.14, p = 0.21).Finally, we tested how the relationship between</w:t>
      </w:r>
      <w:r>
        <w:t xml:space="preserve"> </w:t>
      </w:r>
      <m:oMath>
        <m:sSub>
          <m:e>
            <m:r>
              <m:t>F</m:t>
            </m:r>
          </m:e>
          <m:sub>
            <m:r>
              <m:t>S</m:t>
            </m:r>
            <m:r>
              <m:t>T</m:t>
            </m:r>
          </m:sub>
        </m:sSub>
      </m:oMath>
      <w:r>
        <w:t xml:space="preserve"> </w:t>
      </w:r>
      <w:r>
        <w:t xml:space="preserve">and recombination rate scaled with genome-wide variaiton in</w:t>
      </w:r>
      <w:r>
        <w:t xml:space="preserve"> </w:t>
      </w:r>
      <m:oMath>
        <m:sSub>
          <m:e>
            <m:r>
              <m:t>F</m:t>
            </m:r>
          </m:e>
          <m:sub>
            <m:r>
              <m:t>S</m:t>
            </m:r>
            <m:r>
              <m:t>T</m:t>
            </m:r>
          </m:sub>
        </m:sSub>
      </m:oMath>
      <w:r>
        <w:t xml:space="preserve"> </w:t>
      </w:r>
      <w:r>
        <w:t xml:space="preserve">among pairs of populations. We found a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(r = -0.24, p &lt; &lt; 0.001), and this effect was particularly pronounced in comparisons involving mainland and island populations were analysed separately (mainland populations: r = -0.65, p &lt; &lt; 0.001; island popularions: r = -0.21, p &lt; 0.017; Fig. 5C). We found almost identical patterns when we modeled</w:t>
      </w:r>
      <w:r>
        <w:t xml:space="preserve"> </w:t>
      </w:r>
      <m:oMath>
        <m:sSub>
          <m:e>
            <m:r>
              <m:t>F</m:t>
            </m:r>
          </m:e>
          <m:sub>
            <m:r>
              <m:t>S</m:t>
            </m:r>
            <m:r>
              <m:t>T</m:t>
            </m:r>
          </m:sub>
        </m:sSub>
      </m:oMath>
      <w:r>
        <w:t xml:space="preserve"> </w:t>
      </w:r>
      <w:r>
        <w:t xml:space="preserve">as a continuous variable, rather than presence/absence of</w:t>
      </w:r>
      <w:r>
        <w:t xml:space="preserve"> </w:t>
      </w:r>
      <m:oMath>
        <m:sSub>
          <m:e>
            <m:r>
              <m:t>F</m:t>
            </m:r>
          </m:e>
          <m:sub>
            <m:r>
              <m:t>S</m:t>
            </m:r>
            <m:r>
              <m:t>T</m:t>
            </m:r>
          </m:sub>
        </m:sSub>
      </m:oMath>
      <w:r>
        <w:t xml:space="preserve"> </w:t>
      </w:r>
      <w:r>
        <w:t xml:space="preserve">outliers (Fig. S5).</w:t>
      </w:r>
    </w:p>
    <w:p>
      <w:pPr>
        <w:pStyle w:val="Heading2"/>
      </w:pPr>
      <w:bookmarkStart w:id="31" w:name="discussion"/>
      <w:bookmarkEnd w:id="31"/>
      <w:r>
        <w:t xml:space="preserve">Discussion</w:t>
      </w:r>
    </w:p>
    <w:p>
      <w:pPr>
        <w:pStyle w:val="FirstParagraph"/>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(Kvist</w:t>
      </w:r>
      <w:r>
        <w:t xml:space="preserve"> </w:t>
      </w:r>
      <w:r>
        <w:rPr>
          <w:i/>
        </w:rPr>
        <w:t xml:space="preserve">et al.</w:t>
      </w:r>
      <w:r>
        <w:t xml:space="preserve"> </w:t>
      </w:r>
      <w:r>
        <w:t xml:space="preserve">2003)</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implicaitons for how we interpret patterns of genomic variation among natural populations.</w:t>
      </w:r>
    </w:p>
    <w:p>
      <w:pPr>
        <w:pStyle w:val="BodyText"/>
      </w:pPr>
      <w:r>
        <w:t xml:space="preserve">Our results are consistent with great tits having colonised Europe from a single refugium in the balkans. This scenario has been suggested before</w:t>
      </w:r>
      <w:r>
        <w:t xml:space="preserve"> </w:t>
      </w:r>
      <w:r>
        <w:t xml:space="preserve">(Kvist</w:t>
      </w:r>
      <w:r>
        <w:t xml:space="preserve"> </w:t>
      </w:r>
      <w:r>
        <w:rPr>
          <w:i/>
        </w:rPr>
        <w:t xml:space="preserve">et al.</w:t>
      </w:r>
      <w:r>
        <w:t xml:space="preserve"> </w:t>
      </w:r>
      <w:r>
        <w:t xml:space="preserve">1999)</w:t>
      </w:r>
      <w:r>
        <w:t xml:space="preserve">, and our observed pattern of increasing genome-wide divergence from the Turkish and Balkan populations lends this hypothesis empirical support. Treemix and admixture results.</w:t>
      </w:r>
    </w:p>
    <w:p>
      <w:pPr>
        <w:pStyle w:val="Heading2"/>
      </w:pPr>
      <w:bookmarkStart w:id="32" w:name="acknowledgements"/>
      <w:bookmarkEnd w:id="32"/>
      <w:r>
        <w:t xml:space="preserve">Acknowledgements</w:t>
      </w:r>
    </w:p>
    <w:p>
      <w:pPr>
        <w:pStyle w:val="FirstParagraph"/>
      </w:pPr>
      <w:r>
        <w:t xml:space="preserve">We thank</w:t>
      </w:r>
    </w:p>
    <w:p>
      <w:pPr>
        <w:pStyle w:val="Heading2"/>
      </w:pPr>
      <w:bookmarkStart w:id="33" w:name="references"/>
      <w:bookmarkEnd w:id="33"/>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Kvist, L., Martens, J., Higuchi, H., Nazarenko, A.A., Valchuk, O.P. &amp; Orell, M. (2003) Evolution and genetic structure of the great tit (Parus major) complex.</w:t>
      </w:r>
      <w:r>
        <w:t xml:space="preserve"> </w:t>
      </w:r>
      <w:r>
        <w:rPr>
          <w:i/>
        </w:rPr>
        <w:t xml:space="preserve">Proceedings. Biological sciences / The Royal Society</w:t>
      </w:r>
      <w:r>
        <w:t xml:space="preserve">,</w:t>
      </w:r>
      <w:r>
        <w:t xml:space="preserve"> </w:t>
      </w:r>
      <w:r>
        <w:rPr>
          <w:b/>
        </w:rPr>
        <w:t xml:space="preserve">270</w:t>
      </w:r>
      <w:r>
        <w:t xml:space="preserve">, 1447–54.</w:t>
      </w:r>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b/>
        </w:rPr>
        <w:t xml:space="preserve">82</w:t>
      </w:r>
      <w:r>
        <w:t xml:space="preserve">, 495–502.</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39b0952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2017-09-14T08:52:42Z</dcterms:created>
  <dcterms:modified xsi:type="dcterms:W3CDTF">2017-09-14T08:52:42Z</dcterms:modified>
</cp:coreProperties>
</file>