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a logistic regression of outler presence/absence against recombination rate, and extracted the slope of this relationship. We tested whether variation in this slope was related to pairwise geographic distance between populations, using a Mantel test. We also tested whether this relationship was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first explored patterns of genomic differentiation between populations assigned by Admixture analyses (at</w:t>
      </w:r>
      <w:r>
        <w:t xml:space="preserve"> </w:t>
      </w:r>
      <m:oMath>
        <m:r>
          <m:t>K</m:t>
        </m:r>
      </m:oMath>
      <w:r>
        <w:t xml:space="preserve"> </w:t>
      </w:r>
      <w:r>
        <w:t xml:space="preserve">= 8), and found that</w:t>
      </w:r>
      <w:r>
        <w:t xml:space="preserve"> </w:t>
      </w:r>
      <m:oMath>
        <m:sSub>
          <m:e>
            <m:r>
              <m:t>F</m:t>
            </m:r>
          </m:e>
          <m:sub>
            <m:r>
              <m:t>S</m:t>
            </m:r>
            <m:r>
              <m:t>T</m:t>
            </m:r>
          </m:sub>
        </m:sSub>
      </m:oMath>
      <w:r>
        <w:t xml:space="preserve"> </w:t>
      </w:r>
      <w:r>
        <w:t xml:space="preserve">varied markedly across the genome (Fig. 4A).</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Vlieland_NL</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73dc859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2017-08-08T16:42:31Z</dcterms:created>
  <dcterms:modified xsi:type="dcterms:W3CDTF">2017-08-08T16:42:31Z</dcterms:modified>
</cp:coreProperties>
</file>