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6.png" ContentType="image/png"/>
  <Override PartName="/word/media/rId37.png" ContentType="image/png"/>
  <Override PartName="/word/media/rId38.png" ContentType="image/png"/>
  <Override PartName="/word/media/rId39.png" ContentType="image/png"/>
  <Override PartName="/word/media/rId40.png" ContentType="image/png"/>
  <Override PartName="/word/media/rId4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AUTHOR ORDER A SUGGESTION ONLY - PLEASE ADD/CHANGE IF REQUIRED</w:t>
      </w:r>
    </w:p>
    <w:p>
      <w:pPr>
        <w:pStyle w:val="BodyText"/>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vary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populations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result of mild bottlenecks and reduced gene flow among these populations. We then found that the landscape of genomic differentiation was highly heterogeneous, with clear</w:t>
      </w:r>
      <w:r>
        <w:t xml:space="preserve"> </w:t>
      </w:r>
      <w:r>
        <w:t xml:space="preserve">“</w:t>
      </w:r>
      <w:r>
        <w:t xml:space="preserve">islands of divergence</w:t>
      </w:r>
      <w:r>
        <w:t xml:space="preserve">”</w:t>
      </w:r>
      <w:r>
        <w:t xml:space="preserve">, even among ostensibly panmictic great tit populations. Islands of divergence were consistently found in regions of low recombination, even among the most closely related populations, suggesting that background selection can rapidly promote population differentiation among large, recently colonised populations undergoing gene flow. Finally, we found that the relationship between recombination and the landscape of genomic differentiation mirrored the population history of great tits in Europe, with the strongest relationship between population divergence and recombination found among the most distantly related populations. Together, our findings suggest that studies of genomic divergence in the wild should consider population history, demography and genomic architecture, as well as likely patterns of natural selection.</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w:t>
      </w:r>
      <w:r>
        <w:rPr>
          <w:b/>
        </w:rPr>
        <w:t xml:space="preserve">???</w:t>
      </w:r>
      <w:r>
        <w:t xml:space="preserve">)</w:t>
      </w:r>
      <w:r>
        <w:t xml:space="preserve"> </w:t>
      </w:r>
      <w:r>
        <w:t xml:space="preserve">and</w:t>
      </w:r>
      <w:r>
        <w:t xml:space="preserve"> </w:t>
      </w:r>
      <w:r>
        <w:rPr>
          <w:i/>
        </w:rPr>
        <w:t xml:space="preserve">Drosophila</w:t>
      </w:r>
      <w:r>
        <w:t xml:space="preserve"> </w:t>
      </w:r>
      <w:r>
        <w:t xml:space="preserve">(</w:t>
      </w:r>
      <w:r>
        <w:rPr>
          <w:b/>
        </w:rPr>
        <w:t xml:space="preserve">???</w:t>
      </w:r>
      <w:r>
        <w:t xml:space="preserve">,</w:t>
      </w:r>
      <w:r>
        <w:t xml:space="preserve"> </w:t>
      </w:r>
      <w:r>
        <w:rPr>
          <w:b/>
        </w:rPr>
        <w:t xml:space="preserve">???</w:t>
      </w:r>
      <w:r>
        <w:t xml:space="preserve">)</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w:t>
      </w:r>
      <w:r>
        <w:t xml:space="preserve"> </w:t>
      </w:r>
      <w:r>
        <w:t xml:space="preserve">(</w:t>
      </w:r>
      <w:r>
        <w:rPr>
          <w:b/>
        </w:rPr>
        <w:t xml:space="preserve">???</w:t>
      </w:r>
      <w:r>
        <w:t xml:space="preserve">)</w:t>
      </w:r>
      <w:r>
        <w:t xml:space="preserve">.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r>
        <w:t xml:space="preserve"> </w:t>
      </w:r>
      <w:r>
        <w:t xml:space="preserve">(e.g.</w:t>
      </w:r>
      <w:r>
        <w:t xml:space="preserve"> </w:t>
      </w:r>
      <w:r>
        <w:rPr>
          <w:b/>
        </w:rPr>
        <w:t xml:space="preserve">???</w:t>
      </w:r>
      <w:r>
        <w:t xml:space="preserve">,</w:t>
      </w:r>
      <w:r>
        <w:t xml:space="preserve"> </w:t>
      </w:r>
      <w:r>
        <w:rPr>
          <w:b/>
        </w:rPr>
        <w:t xml:space="preserve">???</w:t>
      </w:r>
      <w:r>
        <w:t xml:space="preserve">)</w:t>
      </w:r>
      <w:r>
        <w:t xml:space="preserve">.</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w:t>
      </w:r>
      <w:r>
        <w:t xml:space="preserve"> </w:t>
      </w:r>
      <w:r>
        <w:t xml:space="preserve">(</w:t>
      </w:r>
      <w:r>
        <w:rPr>
          <w:b/>
        </w:rPr>
        <w:t xml:space="preserve">???</w:t>
      </w:r>
      <w:r>
        <w:t xml:space="preserve">)</w:t>
      </w:r>
      <w:r>
        <w:t xml:space="preserve">. A feature of these</w:t>
      </w:r>
      <w:r>
        <w:t xml:space="preserve"> </w:t>
      </w:r>
      <w:r>
        <w:t xml:space="preserve">“</w:t>
      </w:r>
      <w:r>
        <w:t xml:space="preserve">genomic landscapes</w:t>
      </w:r>
      <w:r>
        <w:t xml:space="preserve">”</w:t>
      </w:r>
      <w:r>
        <w:t xml:space="preserve"> </w:t>
      </w:r>
      <w:r>
        <w:t xml:space="preserve">of differentiation that has received particular attention is the presence of so-called</w:t>
      </w:r>
      <w:r>
        <w:t xml:space="preserve"> </w:t>
      </w:r>
      <w:r>
        <w:t xml:space="preserve">“</w:t>
      </w:r>
      <w:r>
        <w:t xml:space="preserve">islands of divergence</w:t>
      </w:r>
      <w:r>
        <w:t xml:space="preserve">”</w:t>
      </w:r>
      <w:r>
        <w:t xml:space="preserv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(e.g.</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Initially these regions were termed</w:t>
      </w:r>
      <w:r>
        <w:t xml:space="preserve"> </w:t>
      </w:r>
      <w:r>
        <w:t xml:space="preserve">“</w:t>
      </w:r>
      <w:r>
        <w:t xml:space="preserve">islands of speciation</w:t>
      </w:r>
      <w:r>
        <w:t xml:space="preserve">”</w:t>
      </w:r>
      <w:r>
        <w:t xml:space="preserve">, and were thought to arise as a result of reduced gene flow in genomic regions associated with reproductive isolation</w:t>
      </w:r>
      <w:r>
        <w:t xml:space="preserve"> </w:t>
      </w:r>
      <w:r>
        <w:t xml:space="preserve">(</w:t>
      </w:r>
      <w:r>
        <w:rPr>
          <w:b/>
        </w:rPr>
        <w:t xml:space="preserve">???</w:t>
      </w:r>
      <w:r>
        <w:t xml:space="preserve">)</w:t>
      </w:r>
      <w:r>
        <w:t xml:space="preserve">. Subsequent modelling and analysis revealed that highly heterogeneous patterns of genomic divergence can occur in the complete absence of gene flow, as a result of linked selection on beneficial or deleterious mutations</w:t>
      </w:r>
      <w:r>
        <w:t xml:space="preserve"> </w:t>
      </w:r>
      <w:r>
        <w:t xml:space="preserve">(</w:t>
      </w:r>
      <w:r>
        <w:rPr>
          <w:b/>
        </w:rPr>
        <w:t xml:space="preserve">???</w:t>
      </w:r>
      <w:r>
        <w:t xml:space="preserve">,</w:t>
      </w:r>
      <w:r>
        <w:t xml:space="preserve"> </w:t>
      </w:r>
      <w:r>
        <w:rPr>
          <w:b/>
        </w:rPr>
        <w:t xml:space="preserve">???</w:t>
      </w:r>
      <w:r>
        <w:t xml:space="preserve">)</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w:t>
      </w:r>
      <w:r>
        <w:rPr>
          <w:b/>
        </w:rPr>
        <w:t xml:space="preserve">???</w:t>
      </w:r>
      <w:r>
        <w:t xml:space="preserve">)</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of gene flow and selection, particularly in genomic regions harbouring genes involved in wing patterning. In contrast, Renaut et al.</w:t>
      </w:r>
      <w:r>
        <w:t xml:space="preserve"> </w:t>
      </w:r>
      <w:r>
        <w:t xml:space="preserve">(</w:t>
      </w:r>
      <w:r>
        <w:rPr>
          <w:b/>
        </w:rPr>
        <w:t xml:space="preserve">???</w:t>
      </w:r>
      <w:r>
        <w:t xml:space="preserve">)</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This latter pattern appears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A recent, large-scale analysis in sticklebacks showed that, like in many other studies, islands of differentiation were most likely to be found in regions of low recombination, but by looking at this relationship across many pairs of populations they showed that outlier genomic regions were more likely to arise in low recombination regions when gene flow occurred between populations</w:t>
      </w:r>
      <w:r>
        <w:t xml:space="preserve"> </w:t>
      </w:r>
      <w:r>
        <w:t xml:space="preserve">(</w:t>
      </w:r>
      <w:r>
        <w:rPr>
          <w:b/>
        </w:rPr>
        <w:t xml:space="preserve">???</w:t>
      </w:r>
      <w:r>
        <w:t xml:space="preserve">)</w:t>
      </w:r>
      <w:r>
        <w:t xml:space="preserve">.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w:t>
      </w:r>
      <w:r>
        <w:rPr>
          <w:b/>
        </w:rPr>
        <w:t xml:space="preserve">???</w:t>
      </w:r>
      <w:r>
        <w:t xml:space="preserve">)</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w:t>
      </w:r>
      <w:r>
        <w:t xml:space="preserve"> </w:t>
      </w:r>
      <w:r>
        <w:t xml:space="preserve">(</w:t>
      </w:r>
      <w:r>
        <w:rPr>
          <w:b/>
        </w:rPr>
        <w:t xml:space="preserve">???</w:t>
      </w:r>
      <w:r>
        <w:t xml:space="preserve">)</w:t>
      </w:r>
      <w:r>
        <w:t xml:space="preserve">. Phyleogeographic research using mitochondrial and microsatellite loci suggests that this species has recently expanded across its European range, possible from a single refugium in the Balkans</w:t>
      </w:r>
      <w:r>
        <w:t xml:space="preserve"> </w:t>
      </w:r>
      <w:r>
        <w:t xml:space="preserve">(</w:t>
      </w:r>
      <w:r>
        <w:rPr>
          <w:b/>
        </w:rPr>
        <w:t xml:space="preserve">???</w:t>
      </w:r>
      <w:r>
        <w:t xml:space="preserve">)</w:t>
      </w:r>
      <w:r>
        <w:t xml:space="preserve">. Contemporary populations are characterised by large effective population sizes and high levels of gene flow among populations, resulting in low levels of genetic differentiation</w:t>
      </w:r>
      <w:r>
        <w:t xml:space="preserve"> </w:t>
      </w:r>
      <w:r>
        <w:t xml:space="preserve">(</w:t>
      </w:r>
      <w:r>
        <w:rPr>
          <w:b/>
        </w:rPr>
        <w:t xml:space="preserve">???</w:t>
      </w:r>
      <w:r>
        <w:t xml:space="preserve">,</w:t>
      </w:r>
      <w:r>
        <w:t xml:space="preserve"> </w:t>
      </w:r>
      <w:r>
        <w:rPr>
          <w:b/>
        </w:rPr>
        <w:t xml:space="preserve">???</w:t>
      </w:r>
      <w:r>
        <w:t xml:space="preserve">)</w:t>
      </w:r>
      <w:r>
        <w:t xml:space="preserve">. The genome of the great tit has recently been sequenced</w:t>
      </w:r>
      <w:r>
        <w:t xml:space="preserve"> </w:t>
      </w:r>
      <w:r>
        <w:t xml:space="preserve">(</w:t>
      </w:r>
      <w:r>
        <w:rPr>
          <w:b/>
        </w:rPr>
        <w:t xml:space="preserve">???</w:t>
      </w:r>
      <w:r>
        <w:t xml:space="preserve">)</w:t>
      </w:r>
      <w:r>
        <w:t xml:space="preserve">, and a high density (650K) panel of SNP markers has been developed. A recent study of two European populations using this marker panel suggests that rapid adaptation has occurred at the genomic and phenotypic levels</w:t>
      </w:r>
      <w:r>
        <w:t xml:space="preserve"> </w:t>
      </w:r>
      <w:r>
        <w:rPr>
          <w:i/>
        </w:rPr>
        <w:t xml:space="preserve">(Bosse et al. 2017)</w:t>
      </w:r>
      <w:r>
        <w:t xml:space="preserve">. A wealth of ecological data also exists across multiple great tit populations</w:t>
      </w:r>
      <w:r>
        <w:t xml:space="preserve"> </w:t>
      </w:r>
      <w:r>
        <w:t xml:space="preserve">(e.g.</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enabling us to generate informed hypotheses about selection in this system.</w:t>
      </w:r>
    </w:p>
    <w:p>
      <w:pPr>
        <w:pStyle w:val="BodyText"/>
      </w:pPr>
      <w:r>
        <w:t xml:space="preserve">In this study we examined how selection, gene flow and population history have shaped patterns of genomic variation across recently colonised European great tit populations. Using a large SNP panel typed across 28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w:t>
      </w:r>
      <w:r>
        <w:rPr>
          <w:b/>
        </w:rPr>
        <w:t xml:space="preserve">???</w:t>
      </w:r>
      <w:r>
        <w:t xml:space="preserve">)</w:t>
      </w:r>
      <w:r>
        <w:t xml:space="preserve">, and downstream analysis and plotting was carried out in R version 3.3</w:t>
      </w:r>
      <w:r>
        <w:t xml:space="preserve"> </w:t>
      </w:r>
      <w:r>
        <w:t xml:space="preserve">(</w:t>
      </w:r>
      <w:r>
        <w:rPr>
          <w:b/>
        </w:rPr>
        <w:t xml:space="preserve">???</w:t>
      </w:r>
      <w:r>
        <w:t xml:space="preserve">)</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genome-wide (mean)</w:t>
      </w:r>
      <w:r>
        <w:t xml:space="preserve"> </w:t>
      </w:r>
      <m:oMath>
        <m:sSub>
          <m:e>
            <m:r>
              <m:t>F</m:t>
            </m:r>
          </m:e>
          <m:sub>
            <m:r>
              <m:t>S</m:t>
            </m:r>
            <m:r>
              <m:t>T</m:t>
            </m:r>
          </m:sub>
        </m:sSub>
      </m:oMath>
      <w:r>
        <w:t xml:space="preserve"> </w:t>
      </w:r>
      <w:r>
        <w:t xml:space="preserve">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w:t>
      </w:r>
      <w:r>
        <w:rPr>
          <w:b/>
        </w:rPr>
        <w:t xml:space="preserve">???</w:t>
      </w:r>
      <w:r>
        <w:t xml:space="preserve">)</w:t>
      </w:r>
      <w:r>
        <w:t xml:space="preserve">. We tested whether genetic structure was related to distance from candidate refugial populations (in the Balkans, Turkey, Spain and Italy), using Pearson correlations. We also estimated population structure using Admixture version 1.3, with default settings</w:t>
      </w:r>
      <w:r>
        <w:t xml:space="preserve"> </w:t>
      </w:r>
      <w:r>
        <w:t xml:space="preserve">(</w:t>
      </w:r>
      <w:r>
        <w:rPr>
          <w:b/>
        </w:rPr>
        <w:t xml:space="preserve">???</w:t>
      </w:r>
      <w:r>
        <w:t xml:space="preserve">)</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w:t>
      </w:r>
      <w:r>
        <w:rPr>
          <w:b/>
        </w:rPr>
        <w:t xml:space="preserve">???</w:t>
      </w:r>
      <w:r>
        <w:t xml:space="preserve">)</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w:t>
      </w:r>
      <w:r>
        <w:rPr>
          <w:b/>
        </w:rPr>
        <w:t xml:space="preserve">???</w:t>
      </w:r>
      <w:r>
        <w:t xml:space="preserve">)</w:t>
      </w:r>
      <w:r>
        <w:t xml:space="preserve">. To assess model fit, we calculated the proportion of variance in relatedness between populations explained by each model</w:t>
      </w:r>
      <w:r>
        <w:t xml:space="preserve"> </w:t>
      </w:r>
      <w:r>
        <w:t xml:space="preserve">(equation 30 in</w:t>
      </w:r>
      <w:r>
        <w:t xml:space="preserve"> </w:t>
      </w:r>
      <w:r>
        <w:rPr>
          <w:b/>
        </w:rPr>
        <w:t xml:space="preserve">???</w:t>
      </w:r>
      <w:r>
        <w:t xml:space="preserve">)</w:t>
      </w:r>
      <w:r>
        <w:t xml:space="preserve">.</w:t>
      </w:r>
    </w:p>
    <w:p>
      <w:pPr>
        <w:pStyle w:val="BodyText"/>
      </w:pPr>
      <w:r>
        <w:t xml:space="preserve">We examined the genomic landscape of differentiation across European great tit populations by calculating</w:t>
      </w:r>
      <w:r>
        <w:t xml:space="preserve"> </w:t>
      </w:r>
      <m:oMath>
        <m:sSub>
          <m:e>
            <m:r>
              <m:t>F</m:t>
            </m:r>
          </m:e>
          <m:sub>
            <m:r>
              <m:t>S</m:t>
            </m:r>
            <m:r>
              <m:t>T</m:t>
            </m:r>
          </m:sub>
        </m:sSub>
      </m:oMath>
      <w:r>
        <w:t xml:space="preserve"> </w:t>
      </w:r>
      <w:r>
        <w:t xml:space="preserve">for all markers. For plotting and analysis, we calculated mean</w:t>
      </w:r>
      <w:r>
        <w:t xml:space="preserve"> </w:t>
      </w:r>
      <m:oMath>
        <m:sSub>
          <m:e>
            <m:r>
              <m:t>F</m:t>
            </m:r>
          </m:e>
          <m:sub>
            <m:r>
              <m:t>S</m:t>
            </m:r>
            <m:r>
              <m:t>T</m:t>
            </m:r>
          </m:sub>
        </m:sSub>
      </m:oMath>
      <w:r>
        <w:t xml:space="preserve"> </w:t>
      </w:r>
      <w:r>
        <w:t xml:space="preserve">values in 500kb bins, using custom R and python scripts. We also calculated standardised</w:t>
      </w:r>
      <w:r>
        <w:t xml:space="preserve"> </w:t>
      </w:r>
      <m:oMath>
        <m:sSub>
          <m:e>
            <m:r>
              <m:t>F</m:t>
            </m:r>
          </m:e>
          <m:sub>
            <m:r>
              <m:t>S</m:t>
            </m:r>
            <m:r>
              <m:t>T</m:t>
            </m:r>
          </m:sub>
        </m:sSub>
      </m:oMath>
      <w:r>
        <w:t xml:space="preserve"> </w:t>
      </w:r>
      <w:r>
        <w:t xml:space="preserve">(hereafter</w:t>
      </w:r>
      <w:r>
        <w:t xml:space="preserve"> </w:t>
      </w:r>
      <m:oMath>
        <m:r>
          <m:t>Z</m:t>
        </m:r>
        <m:sSub>
          <m:e>
            <m:r>
              <m:t>F</m:t>
            </m:r>
          </m:e>
          <m:sub>
            <m:r>
              <m:t>S</m:t>
            </m:r>
            <m:r>
              <m:t>T</m:t>
            </m:r>
          </m:sub>
        </m:sSub>
      </m:oMath>
      <w:r>
        <w:t xml:space="preserve">) by mean-centring windowed</w:t>
      </w:r>
      <w:r>
        <w:t xml:space="preserve"> </w:t>
      </w:r>
      <m:oMath>
        <m:sSub>
          <m:e>
            <m:r>
              <m:t>F</m:t>
            </m:r>
          </m:e>
          <m:sub>
            <m:r>
              <m:t>S</m:t>
            </m:r>
            <m:r>
              <m:t>T</m:t>
            </m:r>
          </m:sub>
        </m:sSub>
      </m:oMath>
      <w:r>
        <w:t xml:space="preserve"> </w:t>
      </w:r>
      <w:r>
        <w:t xml:space="preserve">values and dividing them by the standard deviation among windows. We calculated windowed</w:t>
      </w:r>
      <w:r>
        <w:t xml:space="preserve"> </w:t>
      </w:r>
      <m:oMath>
        <m:sSub>
          <m:e>
            <m:r>
              <m:t>F</m:t>
            </m:r>
          </m:e>
          <m:sub>
            <m:r>
              <m:t>S</m:t>
            </m:r>
            <m:r>
              <m:t>T</m:t>
            </m:r>
          </m:sub>
        </m:sSub>
      </m:oMath>
      <w:r>
        <w:t xml:space="preserve"> </w:t>
      </w:r>
      <w:r>
        <w:t xml:space="preserve">and</w:t>
      </w:r>
      <w:r>
        <w:t xml:space="preserve"> </w:t>
      </w:r>
      <m:oMath>
        <m:r>
          <m:t>Z</m:t>
        </m:r>
        <m:sSub>
          <m:e>
            <m:r>
              <m:t>F</m:t>
            </m:r>
          </m:e>
          <m:sub>
            <m:r>
              <m:t>S</m:t>
            </m:r>
            <m:r>
              <m:t>T</m:t>
            </m:r>
          </m:sub>
        </m:sSub>
      </m:oMath>
      <w:r>
        <w:t xml:space="preserve"> </w:t>
      </w:r>
      <w:r>
        <w:t xml:space="preserve">between the most structured populations, as defined by Admixture analysis (hereafter</w:t>
      </w:r>
      <w:r>
        <w:t xml:space="preserve"> </w:t>
      </w:r>
      <w:r>
        <w:t xml:space="preserve">“</w:t>
      </w:r>
      <w:r>
        <w:t xml:space="preserve">marginal populations</w:t>
      </w:r>
      <w:r>
        <w:t xml:space="preserve">”</w:t>
      </w:r>
      <w:r>
        <w:t xml:space="preserve">), and between populations within a panmictic cluster in central Europe (hereafter</w:t>
      </w:r>
      <w:r>
        <w:t xml:space="preserve"> </w:t>
      </w:r>
      <w:r>
        <w:t xml:space="preserve">“</w:t>
      </w:r>
      <w:r>
        <w:t xml:space="preserve">central European populations</w:t>
      </w:r>
      <w:r>
        <w:t xml:space="preserve">”</w:t>
      </w:r>
      <w:r>
        <w:t xml:space="preserve">). We tested whether the same regions of the genome were highly structured among these different sets of populations by comparing windowed</w:t>
      </w:r>
      <w:r>
        <w:t xml:space="preserve"> </w:t>
      </w:r>
      <m:oMath>
        <m:sSub>
          <m:e>
            <m:r>
              <m:t>F</m:t>
            </m:r>
          </m:e>
          <m:sub>
            <m:r>
              <m:t>S</m:t>
            </m:r>
            <m:r>
              <m:t>T</m:t>
            </m:r>
          </m:sub>
        </m:sSub>
      </m:oMath>
      <w:r>
        <w:t xml:space="preserve"> </w:t>
      </w:r>
      <w:r>
        <w:t xml:space="preserve">values, using Pearson correlations. We also specifically tested whether</w:t>
      </w:r>
      <w:r>
        <w:t xml:space="preserve"> </w:t>
      </w:r>
      <m:oMath>
        <m:sSub>
          <m:e>
            <m:r>
              <m:t>F</m:t>
            </m:r>
          </m:e>
          <m:sub>
            <m:r>
              <m:t>S</m:t>
            </m:r>
            <m:r>
              <m:t>T</m:t>
            </m:r>
          </m:sub>
        </m:sSub>
      </m:oMath>
      <w:r>
        <w:t xml:space="preserve"> </w:t>
      </w:r>
      <w:r>
        <w:t xml:space="preserve">outliers were more likely to occur in the same regions of the genome; we defined outlier regions as 500kb bins with mean</w:t>
      </w:r>
      <w:r>
        <w:t xml:space="preserve"> </w:t>
      </w:r>
      <m:oMath>
        <m:sSub>
          <m:e>
            <m:r>
              <m:t>F</m:t>
            </m:r>
          </m:e>
          <m:sub>
            <m:r>
              <m:t>S</m:t>
            </m:r>
            <m:r>
              <m:t>T</m:t>
            </m:r>
          </m:sub>
        </m:sSub>
      </m:oMath>
      <w:r>
        <w:t xml:space="preserve"> </w:t>
      </w:r>
      <w:r>
        <w:t xml:space="preserve">values greater than the 95th percentile</w:t>
      </w:r>
      <w:r>
        <w:t xml:space="preserve"> </w:t>
      </w:r>
      <w:r>
        <w:t xml:space="preserve">(following</w:t>
      </w:r>
      <w:r>
        <w:t xml:space="preserve"> </w:t>
      </w:r>
      <w:r>
        <w:rPr>
          <w:b/>
        </w:rPr>
        <w:t xml:space="preserve">???</w:t>
      </w:r>
      <w:r>
        <w:t xml:space="preserve">)</w:t>
      </w:r>
      <w:r>
        <w:t xml:space="preserve">, and tested whether outliers co-occurred among datasets using chi-squared tests.</w:t>
      </w:r>
    </w:p>
    <w:p>
      <w:pPr>
        <w:pStyle w:val="BodyText"/>
      </w:pPr>
      <w:r>
        <w:t xml:space="preserve">We tested whether the landscape of genomic differentiation was related to recombination rate variation using a recombination map previously developed for the great tit using a 10K SNP chip</w:t>
      </w:r>
      <w:r>
        <w:t xml:space="preserve"> </w:t>
      </w:r>
      <w:r>
        <w:t xml:space="preserve">(</w:t>
      </w:r>
      <w:r>
        <w:rPr>
          <w:b/>
        </w:rPr>
        <w:t xml:space="preserve">???</w:t>
      </w:r>
      <w:r>
        <w:t xml:space="preserve">)</w:t>
      </w:r>
      <w:r>
        <w:t xml:space="preserve">, from which we estimated recombination rates in 500kb non-overlapping windows. We tested whether outlier presence/absence was related to 500kb averaged recombination rates using logistic regression.</w:t>
      </w:r>
    </w:p>
    <w:p>
      <w:pPr>
        <w:pStyle w:val="BodyText"/>
      </w:pPr>
      <w:r>
        <w:t xml:space="preserve">Finally, we explored how the relationship between genomic differentiation and recombination rate variation was related to geography. We calculated genome-wide differentiation in 500kb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logistic regressions and outlier presence/absence against recombination rate, and extracted the slope of these models. We tested whether variation in these slopes were related to pairwise geographic distance and pairwise genome-wide</w:t>
      </w:r>
      <w:r>
        <w:t xml:space="preserve"> </w:t>
      </w:r>
      <m:oMath>
        <m:sSub>
          <m:e>
            <m:r>
              <m:t>F</m:t>
            </m:r>
          </m:e>
          <m:sub>
            <m:r>
              <m:t>S</m:t>
            </m:r>
            <m:r>
              <m:t>T</m:t>
            </m:r>
          </m:sub>
        </m:sSub>
      </m:oMath>
      <w:r>
        <w:t xml:space="preserve">, using Mantel tests. We also tested whether the relationships between divergence and recombination varied according to distance from potential refugial populations, using Pearson correlation.</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0.16). Instead, the highest levels of</w:t>
      </w:r>
      <w:r>
        <w:t xml:space="preserve"> </w:t>
      </w:r>
      <m:oMath>
        <m:sSub>
          <m:e>
            <m:r>
              <m:t>F</m:t>
            </m:r>
          </m:e>
          <m:sub>
            <m:r>
              <m:t>S</m:t>
            </m:r>
            <m:r>
              <m:t>T</m:t>
            </m:r>
          </m:sub>
        </m:sSub>
      </m:oMath>
      <w:r>
        <w:t xml:space="preserve"> </w:t>
      </w:r>
      <w:r>
        <w:t xml:space="preserve">were found in comparisons involving the island populations of Corsica, Sardinia and Crete (Fig. 2A Fig. 2B).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0.18, p = 0.13).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2C) and the Balkans (r = 0.67, p &lt; 0.001), but not to distance from Spain (r = 0.09, p = 0.69), or from Italy (r = 0.16, p = 0.48).</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the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as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examined the landscape of genomic divergence between each population and Turkey, and found that</w:t>
      </w:r>
      <w:r>
        <w:t xml:space="preserve"> </w:t>
      </w:r>
      <m:oMath>
        <m:sSub>
          <m:e>
            <m:r>
              <m:t>F</m:t>
            </m:r>
          </m:e>
          <m:sub>
            <m:r>
              <m:t>S</m:t>
            </m:r>
            <m:r>
              <m:t>T</m:t>
            </m:r>
          </m:sub>
        </m:sSub>
      </m:oMath>
      <w:r>
        <w:t xml:space="preserve"> </w:t>
      </w:r>
      <w:r>
        <w:t xml:space="preserve">varied markedly across the genome in all comparisons (Fig. 4A; Fig. SXX). Mean windowed</w:t>
      </w:r>
      <w:r>
        <w:t xml:space="preserve"> </w:t>
      </w:r>
      <m:oMath>
        <m:sSub>
          <m:e>
            <m:r>
              <m:t>F</m:t>
            </m:r>
          </m:e>
          <m:sub>
            <m:r>
              <m:t>S</m:t>
            </m:r>
            <m:r>
              <m:t>T</m:t>
            </m:r>
          </m:sub>
        </m:sSub>
      </m:oMath>
      <w:r>
        <w:t xml:space="preserve"> </w:t>
      </w:r>
      <w:r>
        <w:t xml:space="preserve">values were correlated among the central and marginal populations (</w:t>
      </w:r>
      <m:oMath>
        <m:r>
          <m:t>r</m:t>
        </m:r>
      </m:oMath>
      <w:r>
        <w:t xml:space="preserve"> </w:t>
      </w:r>
      <w:r>
        <w:t xml:space="preserve">= 0.11;</w:t>
      </w:r>
      <w:r>
        <w:t xml:space="preserve"> </w:t>
      </w:r>
      <m:oMath>
        <m:r>
          <m:t>P</m:t>
        </m:r>
      </m:oMath>
      <w:r>
        <w:t xml:space="preserve"> </w:t>
      </w:r>
      <w:r>
        <w:t xml:space="preserve">= 0.001; Fig. 4B), and outliers were likely to be found in the same regions across the two sets of populations (Chi-squared test,</w:t>
      </w:r>
      <w:r>
        <w:t xml:space="preserve"> </w:t>
      </w:r>
      <m:oMath>
        <m:r>
          <m:t>P</m:t>
        </m:r>
      </m:oMath>
      <w:r>
        <w:t xml:space="preserve"> </w:t>
      </w:r>
      <w:r>
        <w:t xml:space="preserve">&lt; 0.001; Fig. 4A,B). While</w:t>
      </w:r>
      <w:r>
        <w:t xml:space="preserve"> </w:t>
      </w:r>
      <m:oMath>
        <m:sSub>
          <m:e>
            <m:r>
              <m:t>F</m:t>
            </m:r>
          </m:e>
          <m:sub>
            <m:r>
              <m:t>S</m:t>
            </m:r>
            <m:r>
              <m:t>T</m:t>
            </m:r>
          </m:sub>
        </m:sSub>
      </m:oMath>
      <w:r>
        <w:t xml:space="preserve"> </w:t>
      </w:r>
      <w:r>
        <w:t xml:space="preserve">outliers were generally over five times higher in the marginal populations (mean</w:t>
      </w:r>
      <w:r>
        <w:t xml:space="preserve"> </w:t>
      </w:r>
      <m:oMath>
        <m:sSub>
          <m:e>
            <m:r>
              <m:t>F</m:t>
            </m:r>
          </m:e>
          <m:sub>
            <m:r>
              <m:t>S</m:t>
            </m:r>
            <m:r>
              <m:t>T</m:t>
            </m:r>
          </m:sub>
        </m:sSub>
      </m:oMath>
      <w:r>
        <w:t xml:space="preserve"> </w:t>
      </w:r>
      <w:r>
        <w:t xml:space="preserve">in outlier regions = 0.055) compared to the central populations (mean outlier</w:t>
      </w:r>
      <w:r>
        <w:t xml:space="preserve"> </w:t>
      </w:r>
      <m:oMath>
        <m:sSub>
          <m:e>
            <m:r>
              <m:t>F</m:t>
            </m:r>
          </m:e>
          <m:sub>
            <m:r>
              <m:t>S</m:t>
            </m:r>
            <m:r>
              <m:t>T</m:t>
            </m:r>
          </m:sub>
        </m:sSub>
      </m:oMath>
      <w:r>
        <w:t xml:space="preserve"> </w:t>
      </w:r>
      <w:r>
        <w:t xml:space="preserve">= 0.009), relative of standardised</w:t>
      </w:r>
      <w:r>
        <w:t xml:space="preserve"> </w:t>
      </w:r>
      <m:oMath>
        <m:sSub>
          <m:e>
            <m:r>
              <m:t>F</m:t>
            </m:r>
          </m:e>
          <m:sub>
            <m:r>
              <m:t>S</m:t>
            </m:r>
            <m:r>
              <m:t>T</m:t>
            </m:r>
          </m:sub>
        </m:sSub>
      </m:oMath>
      <w:r>
        <w:t xml:space="preserve"> </w:t>
      </w:r>
      <w:r>
        <w:t xml:space="preserve">in outlier regions were much more similar across the two sets of populations (marginal populations,</w:t>
      </w:r>
      <w:r>
        <w:t xml:space="preserve"> </w:t>
      </w:r>
      <m:oMath>
        <m:r>
          <m:t>Z</m:t>
        </m:r>
        <m:sSub>
          <m:e>
            <m:r>
              <m:t>F</m:t>
            </m:r>
          </m:e>
          <m:sub>
            <m:r>
              <m:t>S</m:t>
            </m:r>
            <m:r>
              <m:t>T</m:t>
            </m:r>
          </m:sub>
        </m:sSub>
      </m:oMath>
      <w:r>
        <w:t xml:space="preserve"> </w:t>
      </w:r>
      <w:r>
        <w:t xml:space="preserve">= 3.139; central populations,</w:t>
      </w:r>
      <w:r>
        <w:t xml:space="preserve"> </w:t>
      </w:r>
      <m:oMath>
        <m:r>
          <m:t>Z</m:t>
        </m:r>
        <m:sSub>
          <m:e>
            <m:r>
              <m:t>F</m:t>
            </m:r>
          </m:e>
          <m:sub>
            <m:r>
              <m:t>S</m:t>
            </m:r>
            <m:r>
              <m:t>T</m:t>
            </m:r>
          </m:sub>
        </m:sSub>
      </m:oMath>
      <w:r>
        <w:t xml:space="preserve"> </w:t>
      </w:r>
      <w:r>
        <w:t xml:space="preserve">= 2.315), suggesting that although genome-wide levels of</w:t>
      </w:r>
      <w:r>
        <w:t xml:space="preserve"> </w:t>
      </w:r>
      <m:oMath>
        <m:sSub>
          <m:e>
            <m:r>
              <m:t>F</m:t>
            </m:r>
          </m:e>
          <m:sub>
            <m:r>
              <m:t>S</m:t>
            </m:r>
            <m:r>
              <m:t>T</m:t>
            </m:r>
          </m:sub>
        </m:sSub>
      </m:oMath>
      <w:r>
        <w:t xml:space="preserve"> </w:t>
      </w:r>
      <w:r>
        <w:t xml:space="preserve">differ across the marginal and central populations, the landscape of genomic differentiation is highly heterogeneous across both sets of populations (Fig. 4A).</w:t>
      </w:r>
      <w:r>
        <w:t xml:space="preserve"> </w:t>
      </w:r>
      <m:oMath>
        <m:sSub>
          <m:e>
            <m:r>
              <m:t>F</m:t>
            </m:r>
          </m:e>
          <m:sub>
            <m:r>
              <m:t>S</m:t>
            </m:r>
            <m:r>
              <m:t>T</m:t>
            </m:r>
          </m:sub>
        </m:sSub>
      </m:oMath>
      <w:r>
        <w:t xml:space="preserve"> </w:t>
      </w:r>
      <w:r>
        <w:t xml:space="preserve">outliers were more likely to be found in regions of low recombination across both the marginal (GLM;</w:t>
      </w:r>
      <w:r>
        <w:t xml:space="preserve"> </w:t>
      </w:r>
      <m:oMath>
        <m:r>
          <m:t>P</m:t>
        </m:r>
      </m:oMath>
      <w:r>
        <w:t xml:space="preserve"> </w:t>
      </w:r>
      <w:r>
        <w:t xml:space="preserve">&lt; 0.001; Fig. 4C), and the central (</w:t>
      </w:r>
      <m:oMath>
        <m:r>
          <m:t>P</m:t>
        </m:r>
      </m:oMath>
      <w:r>
        <w:t xml:space="preserve"> </w:t>
      </w:r>
      <w:r>
        <w:t xml:space="preserve">= 0.003; Fig. 4D), populations.</w:t>
      </w:r>
    </w:p>
    <w:p>
      <w:pPr>
        <w:pStyle w:val="Heading2"/>
      </w:pPr>
      <w:bookmarkStart w:id="31" w:name="discussion"/>
      <w:bookmarkEnd w:id="31"/>
      <w:r>
        <w:t xml:space="preserve">Discussion</w:t>
      </w:r>
    </w:p>
    <w:p>
      <w:pPr>
        <w:pStyle w:val="FirstParagraph"/>
      </w:pPr>
      <w:r>
        <w:t xml:space="preserve">UNFINISHED - I WANT TO FINALISE THE ANALYSES/RESULTS BEFORE GOING INTO DETAIL HERE. IGNORE FOR NOW OR ADD NOTES/THOUGHTS.</w:t>
      </w:r>
    </w:p>
    <w:p>
      <w:pPr>
        <w:pStyle w:val="BodyText"/>
      </w:pPr>
      <w:r>
        <w:t xml:space="preserve">In this study we use a large panel of genetic markers to provide insight into the evolutionary history of the great tit in Europe. We found that, consistent with previous research in this species, levels of genomic variation were consistent with a large effective population and substantial levels of gene flow among populations</w:t>
      </w:r>
      <w:r>
        <w:t xml:space="preserve"> </w:t>
      </w:r>
      <w:r>
        <w:t xml:space="preserve">(</w:t>
      </w:r>
      <w:r>
        <w:rPr>
          <w:b/>
        </w:rPr>
        <w:t xml:space="preserve">???</w:t>
      </w:r>
      <w:r>
        <w:t xml:space="preserve">,</w:t>
      </w:r>
      <w:r>
        <w:t xml:space="preserve"> </w:t>
      </w:r>
      <w:r>
        <w:rPr>
          <w:b/>
        </w:rPr>
        <w:t xml:space="preserve">???</w:t>
      </w:r>
      <w:r>
        <w:t xml:space="preserve">)</w:t>
      </w:r>
      <w:r>
        <w:t xml:space="preserve">. We then examine how genomic landscapes of differentiation vary among different sets of populations, and find that i) islands of differentiation arise among extremely closely related populations, ii) these same islands of differentiation arise in more distantly related populations, iii) islands of differentiation arise in regions of low recombination, iv) the relationship between recombination rate and the genomic landscape of differentiation varies substantially among populations. These findings have several implications for how we interpret patterns of genomic variation among natural populations.</w:t>
      </w:r>
    </w:p>
    <w:p>
      <w:pPr>
        <w:pStyle w:val="BodyText"/>
      </w:pPr>
      <w:r>
        <w:t xml:space="preserve">Our results suggest that great tits colonised Europe from a single refugium in Turkey and/or the Balkans. This scenario has been suggested before</w:t>
      </w:r>
      <w:r>
        <w:t xml:space="preserve"> </w:t>
      </w:r>
      <w:r>
        <w:t xml:space="preserve">(</w:t>
      </w:r>
      <w:r>
        <w:rPr>
          <w:b/>
        </w:rPr>
        <w:t xml:space="preserve">???</w:t>
      </w:r>
      <w:r>
        <w:t xml:space="preserve">)</w:t>
      </w:r>
      <w:r>
        <w:t xml:space="preserve">, and our observed pattern of increasing genome-wide divergence from the Turkish and Balkan populations lends this hypothesis empirical support. Genomic structure among mainland populations is, however, extremely low, and even with hundreds of thousands of markers Admixture was unable to separate the central European populations. Similarly, in the Treemix analysis the central European great tit populations formed a large group characterised by shallow branching, although much of the grouping that did occur (e.g. Finland and Estonia) made geographical sense. Interestingly, Treemix grouped the Spanish and Corsican populations, which is consistent with previous subspecies descriptions of European great tits (REF). More generally, the highest levels of differentiation were found between island populations, suggesting a reduced effective population size and reduced gene flow in these populations.</w:t>
      </w:r>
    </w:p>
    <w:p>
      <w:pPr>
        <w:pStyle w:val="BodyText"/>
      </w:pPr>
      <w:r>
        <w:t xml:space="preserve">It is likely that the many, and perhaps the majority, of wild populations are characterised by highly heterogeneous patterns of differentiation across the genome (see REFS for a recent overview). What is not yet clear is how quickly</w:t>
      </w:r>
      <w:r>
        <w:t xml:space="preserve"> </w:t>
      </w:r>
      <w:r>
        <w:t xml:space="preserve">“</w:t>
      </w:r>
      <w:r>
        <w:t xml:space="preserve">islands</w:t>
      </w:r>
      <w:r>
        <w:t xml:space="preserve">”</w:t>
      </w:r>
      <w:r>
        <w:t xml:space="preserve"> </w:t>
      </w:r>
      <w:r>
        <w:t xml:space="preserve">of differentiation arise, nor how selection, gene flow and drift interact with genomic architecture to shape differentiation over shorter and longer evolutionary time-scales</w:t>
      </w:r>
      <w:r>
        <w:t xml:space="preserve"> </w:t>
      </w:r>
      <w:r>
        <w:t xml:space="preserve">(</w:t>
      </w:r>
      <w:r>
        <w:rPr>
          <w:b/>
        </w:rPr>
        <w:t xml:space="preserve">???</w:t>
      </w:r>
      <w:r>
        <w:t xml:space="preserve">)</w:t>
      </w:r>
      <w:r>
        <w:t xml:space="preserve">. Our results suggest that islands of differentiation arise in regions of low recombination even among populations that could be considered panmictic. The central European great tit populations have a mean</w:t>
      </w:r>
      <w:r>
        <w:t xml:space="preserve"> </w:t>
      </w:r>
      <m:oMath>
        <m:sSub>
          <m:e>
            <m:r>
              <m:t>F</m:t>
            </m:r>
          </m:e>
          <m:sub>
            <m:r>
              <m:t>S</m:t>
            </m:r>
            <m:r>
              <m:t>T</m:t>
            </m:r>
          </m:sub>
        </m:sSub>
      </m:oMath>
      <w:r>
        <w:t xml:space="preserve"> </w:t>
      </w:r>
      <w:r>
        <w:t xml:space="preserve">of 0.005, yet islands of divergence can clearly be seen, and occur almost exclusively in regions of low recombination, regardless of which populations were examined (Figs 4,5). Thus, our results suggest that linked selection in regions of low recombination plays a key role in driving patterns of genomic differentiation even in the very earliest stages of population separation. This is not necessarily what we would expect - in the very earliest stages of differentiation it is often assumed that peaks of high differentiation are the product of selective sweeps, and that only after time do correlated patterns of genomic divergence arise</w:t>
      </w:r>
      <w:r>
        <w:t xml:space="preserve"> </w:t>
      </w:r>
      <w:r>
        <w:t xml:space="preserve">(</w:t>
      </w:r>
      <w:r>
        <w:rPr>
          <w:b/>
        </w:rPr>
        <w:t xml:space="preserve">???</w:t>
      </w:r>
      <w:r>
        <w:t xml:space="preserve">)</w:t>
      </w:r>
      <w:r>
        <w:t xml:space="preserve">. It is difficult to differentiate between positive and background selection in producing heterogeneous patterns of differentiation across the genome. Correlated patterns of genomic differentiation among sets of populations suggests that background selection likely plays a role (REFS), and that is what we find in great tits.</w:t>
      </w:r>
    </w:p>
    <w:p>
      <w:pPr>
        <w:pStyle w:val="BodyText"/>
      </w:pPr>
      <w:r>
        <w:t xml:space="preserve">Patterns of increasing genetic differentiation with distance from In accordance with this, we find that the tendency for outlier regions to occur in regions of low recombination increases with geographical and genetic distance from the refugial population in Turkey (Fig. 5). Thus we suggest that in continental species, the increased genome-wide divergence that accumulates with distance from refugial populations is accelerated in regions of low recombination, resulting in highly heterogeneous landscapes of genomic differentiation.</w:t>
      </w:r>
    </w:p>
    <w:p>
      <w:pPr>
        <w:pStyle w:val="BodyText"/>
      </w:pPr>
      <w:r>
        <w:rPr>
          <w:b/>
        </w:rPr>
        <w:t xml:space="preserve">Needs more. Perhaps a discussion on role of gene flow… also need to think about what additional analyses may be required to strenghtn/add novelty to the story. One thing we could do is look in more detail at how genomic differentiaiton builds up with distance from the refugial population? Thoughts?</w:t>
      </w:r>
    </w:p>
    <w:p>
      <w:pPr>
        <w:pStyle w:val="Heading2"/>
      </w:pPr>
      <w:bookmarkStart w:id="32" w:name="acknowledgements"/>
      <w:bookmarkEnd w:id="32"/>
      <w:r>
        <w:t xml:space="preserve">Acknowledgements</w:t>
      </w:r>
    </w:p>
    <w:p>
      <w:pPr>
        <w:pStyle w:val="FirstParagraph"/>
      </w:pPr>
      <w:r>
        <w:t xml:space="preserve">PLEASE ADD. LGS was funded by fellowships from the Edward Grey Institute for Ornithology and the BBSRC.</w:t>
      </w:r>
    </w:p>
    <w:p>
      <w:pPr>
        <w:pStyle w:val="Heading2"/>
      </w:pPr>
      <w:bookmarkStart w:id="33" w:name="references"/>
      <w:bookmarkEnd w:id="33"/>
      <w:r>
        <w:t xml:space="preserve">References</w:t>
      </w:r>
    </w:p>
    <w:p>
      <w:pPr>
        <w:pStyle w:val="FirstParagraph"/>
      </w:pPr>
    </w:p>
    <w:p>
      <w:pPr>
        <w:pStyle w:val="Heading2"/>
      </w:pPr>
      <w:bookmarkStart w:id="34" w:name="tables-and-figures"/>
      <w:bookmarkEnd w:id="34"/>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Westerheide_Netherlands</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Vlieland_Netherlands</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BodyText"/>
      </w:pPr>
      <w:r>
        <w:rPr>
          <w:b/>
        </w:rPr>
        <w:t xml:space="preserve">Table 2</w:t>
      </w:r>
      <w:r>
        <w:t xml:space="preserve"> </w:t>
      </w:r>
      <w:r>
        <w:t xml:space="preserve">Outliers</w:t>
      </w:r>
    </w:p>
    <w:tbl>
      <w:tblPr>
        <w:tblStyle w:val="TableNormal"/>
        <w:tblW w:type="pct" w:w="0.0"/>
        <w:tblLook w:firstRow="1"/>
      </w:tblPr>
      <w:tblGrid/>
      <w:tr>
        <w:trPr>
          <w:cnfStyle w:firstRow="1"/>
        </w:trPr>
        <w:tc>
          <w:tcPr>
            <w:tcBorders>
              <w:bottom w:val="single"/>
            </w:tcBorders>
            <w:vAlign w:val="bottom"/>
          </w:tcPr>
          <w:p>
            <w:pPr>
              <w:pStyle w:val="Compact"/>
              <w:jc w:val="right"/>
            </w:pPr>
            <w:r>
              <w:t xml:space="preserve">Chromosome</w:t>
            </w:r>
          </w:p>
        </w:tc>
        <w:tc>
          <w:tcPr>
            <w:tcBorders>
              <w:bottom w:val="single"/>
            </w:tcBorders>
            <w:vAlign w:val="bottom"/>
          </w:tcPr>
          <w:p>
            <w:pPr>
              <w:pStyle w:val="Compact"/>
              <w:jc w:val="right"/>
            </w:pPr>
            <w:r>
              <w:t xml:space="preserve">Position</w:t>
            </w:r>
          </w:p>
        </w:tc>
        <w:tc>
          <w:tcPr>
            <w:tcBorders>
              <w:bottom w:val="single"/>
            </w:tcBorders>
            <w:vAlign w:val="bottom"/>
          </w:tcPr>
          <w:p>
            <w:pPr>
              <w:pStyle w:val="Compact"/>
              <w:jc w:val="right"/>
            </w:pPr>
            <w:r>
              <w:t xml:space="preserve">Number of outliers</w:t>
            </w:r>
          </w:p>
        </w:tc>
        <w:tc>
          <w:tcPr>
            <w:tcBorders>
              <w:bottom w:val="single"/>
            </w:tcBorders>
            <w:vAlign w:val="bottom"/>
          </w:tcPr>
          <w:p>
            <w:pPr>
              <w:pStyle w:val="Compact"/>
              <w:jc w:val="left"/>
            </w:pPr>
            <w:r>
              <w:t xml:space="preserve">Populations</w:t>
            </w:r>
          </w:p>
        </w:tc>
      </w:tr>
      <w:tr>
        <w:tc>
          <w:p>
            <w:pPr>
              <w:pStyle w:val="Compact"/>
              <w:jc w:val="right"/>
            </w:pPr>
            <w:r>
              <w:t xml:space="preserve">3</w:t>
            </w:r>
          </w:p>
        </w:tc>
        <w:tc>
          <w:p>
            <w:pPr>
              <w:pStyle w:val="Compact"/>
              <w:jc w:val="right"/>
            </w:pPr>
            <w:r>
              <w:t xml:space="preserve">28303260</w:t>
            </w:r>
          </w:p>
        </w:tc>
        <w:tc>
          <w:p>
            <w:pPr>
              <w:pStyle w:val="Compact"/>
              <w:jc w:val="right"/>
            </w:pPr>
            <w:r>
              <w:t xml:space="preserve">1</w:t>
            </w:r>
          </w:p>
        </w:tc>
        <w:tc>
          <w:p>
            <w:pPr>
              <w:pStyle w:val="Compact"/>
              <w:jc w:val="left"/>
            </w:pPr>
            <w:r>
              <w:t xml:space="preserve">Spain</w:t>
            </w:r>
          </w:p>
        </w:tc>
      </w:tr>
      <w:tr>
        <w:tc>
          <w:p>
            <w:pPr>
              <w:pStyle w:val="Compact"/>
              <w:jc w:val="right"/>
            </w:pPr>
            <w:r>
              <w:t xml:space="preserve">3</w:t>
            </w:r>
          </w:p>
        </w:tc>
        <w:tc>
          <w:p>
            <w:pPr>
              <w:pStyle w:val="Compact"/>
              <w:jc w:val="right"/>
            </w:pPr>
            <w:r>
              <w:t xml:space="preserve">28695446</w:t>
            </w:r>
          </w:p>
        </w:tc>
        <w:tc>
          <w:p>
            <w:pPr>
              <w:pStyle w:val="Compact"/>
              <w:jc w:val="right"/>
            </w:pPr>
            <w:r>
              <w:t xml:space="preserve">2</w:t>
            </w:r>
          </w:p>
        </w:tc>
        <w:tc>
          <w:p>
            <w:pPr>
              <w:pStyle w:val="Compact"/>
              <w:jc w:val="left"/>
            </w:pPr>
            <w:r>
              <w:t xml:space="preserve">England, Spain</w:t>
            </w:r>
          </w:p>
        </w:tc>
      </w:tr>
      <w:tr>
        <w:tc>
          <w:p>
            <w:pPr>
              <w:pStyle w:val="Compact"/>
              <w:jc w:val="right"/>
            </w:pPr>
            <w:r>
              <w:t xml:space="preserve">6</w:t>
            </w:r>
          </w:p>
        </w:tc>
        <w:tc>
          <w:p>
            <w:pPr>
              <w:pStyle w:val="Compact"/>
              <w:jc w:val="right"/>
            </w:pPr>
            <w:r>
              <w:t xml:space="preserve">7701480</w:t>
            </w:r>
          </w:p>
        </w:tc>
        <w:tc>
          <w:p>
            <w:pPr>
              <w:pStyle w:val="Compact"/>
              <w:jc w:val="right"/>
            </w:pPr>
            <w:r>
              <w:t xml:space="preserve">1</w:t>
            </w:r>
          </w:p>
        </w:tc>
        <w:tc>
          <w:p>
            <w:pPr>
              <w:pStyle w:val="Compact"/>
              <w:jc w:val="left"/>
            </w:pPr>
            <w:r>
              <w:t xml:space="preserve">Scotland</w:t>
            </w:r>
          </w:p>
        </w:tc>
      </w:tr>
      <w:tr>
        <w:tc>
          <w:p>
            <w:pPr>
              <w:pStyle w:val="Compact"/>
              <w:jc w:val="right"/>
            </w:pPr>
            <w:r>
              <w:t xml:space="preserve">6</w:t>
            </w:r>
          </w:p>
        </w:tc>
        <w:tc>
          <w:p>
            <w:pPr>
              <w:pStyle w:val="Compact"/>
              <w:jc w:val="right"/>
            </w:pPr>
            <w:r>
              <w:t xml:space="preserve">8253250</w:t>
            </w:r>
          </w:p>
        </w:tc>
        <w:tc>
          <w:p>
            <w:pPr>
              <w:pStyle w:val="Compact"/>
              <w:jc w:val="right"/>
            </w:pPr>
            <w:r>
              <w:t xml:space="preserve">2</w:t>
            </w:r>
          </w:p>
        </w:tc>
        <w:tc>
          <w:p>
            <w:pPr>
              <w:pStyle w:val="Compact"/>
              <w:jc w:val="left"/>
            </w:pPr>
            <w:r>
              <w:t xml:space="preserve">Finland, Scotland</w:t>
            </w:r>
          </w:p>
        </w:tc>
      </w:tr>
      <w:tr>
        <w:tc>
          <w:p>
            <w:pPr>
              <w:pStyle w:val="Compact"/>
              <w:jc w:val="right"/>
            </w:pPr>
            <w:r>
              <w:t xml:space="preserve">8</w:t>
            </w:r>
          </w:p>
        </w:tc>
        <w:tc>
          <w:p>
            <w:pPr>
              <w:pStyle w:val="Compact"/>
              <w:jc w:val="right"/>
            </w:pPr>
            <w:r>
              <w:t xml:space="preserve">7763066</w:t>
            </w:r>
          </w:p>
        </w:tc>
        <w:tc>
          <w:p>
            <w:pPr>
              <w:pStyle w:val="Compact"/>
              <w:jc w:val="right"/>
            </w:pPr>
            <w:r>
              <w:t xml:space="preserve">1</w:t>
            </w:r>
          </w:p>
        </w:tc>
        <w:tc>
          <w:p>
            <w:pPr>
              <w:pStyle w:val="Compact"/>
              <w:jc w:val="left"/>
            </w:pPr>
            <w:r>
              <w:t xml:space="preserve">Netherlands_Vlieland</w:t>
            </w:r>
          </w:p>
        </w:tc>
      </w:tr>
      <w:tr>
        <w:tc>
          <w:p>
            <w:pPr>
              <w:pStyle w:val="Compact"/>
              <w:jc w:val="right"/>
            </w:pPr>
            <w:r>
              <w:t xml:space="preserve">8</w:t>
            </w:r>
          </w:p>
        </w:tc>
        <w:tc>
          <w:p>
            <w:pPr>
              <w:pStyle w:val="Compact"/>
              <w:jc w:val="right"/>
            </w:pPr>
            <w:r>
              <w:t xml:space="preserve">8258036</w:t>
            </w:r>
          </w:p>
        </w:tc>
        <w:tc>
          <w:p>
            <w:pPr>
              <w:pStyle w:val="Compact"/>
              <w:jc w:val="right"/>
            </w:pPr>
            <w:r>
              <w:t xml:space="preserve">1</w:t>
            </w:r>
          </w:p>
        </w:tc>
        <w:tc>
          <w:p>
            <w:pPr>
              <w:pStyle w:val="Compact"/>
              <w:jc w:val="left"/>
            </w:pPr>
            <w:r>
              <w:t xml:space="preserve">Belgium</w:t>
            </w:r>
          </w:p>
        </w:tc>
      </w:tr>
      <w:tr>
        <w:tc>
          <w:p>
            <w:pPr>
              <w:pStyle w:val="Compact"/>
              <w:jc w:val="right"/>
            </w:pPr>
            <w:r>
              <w:t xml:space="preserve">30</w:t>
            </w:r>
          </w:p>
        </w:tc>
        <w:tc>
          <w:p>
            <w:pPr>
              <w:pStyle w:val="Compact"/>
              <w:jc w:val="right"/>
            </w:pPr>
            <w:r>
              <w:t xml:space="preserve">48766457</w:t>
            </w:r>
          </w:p>
        </w:tc>
        <w:tc>
          <w:p>
            <w:pPr>
              <w:pStyle w:val="Compact"/>
              <w:jc w:val="right"/>
            </w:pPr>
            <w:r>
              <w:t xml:space="preserve">1</w:t>
            </w:r>
          </w:p>
        </w:tc>
        <w:tc>
          <w:p>
            <w:pPr>
              <w:pStyle w:val="Compact"/>
              <w:jc w:val="left"/>
            </w:pPr>
            <w:r>
              <w:t xml:space="preserve">Finland</w:t>
            </w:r>
          </w:p>
        </w:tc>
      </w:tr>
      <w:tr>
        <w:tc>
          <w:p>
            <w:pPr>
              <w:pStyle w:val="Compact"/>
              <w:jc w:val="right"/>
            </w:pPr>
            <w:r>
              <w:t xml:space="preserve">30</w:t>
            </w:r>
          </w:p>
        </w:tc>
        <w:tc>
          <w:p>
            <w:pPr>
              <w:pStyle w:val="Compact"/>
              <w:jc w:val="right"/>
            </w:pPr>
            <w:r>
              <w:t xml:space="preserve">70630186</w:t>
            </w:r>
          </w:p>
        </w:tc>
        <w:tc>
          <w:p>
            <w:pPr>
              <w:pStyle w:val="Compact"/>
              <w:jc w:val="right"/>
            </w:pPr>
            <w:r>
              <w:t xml:space="preserve">2</w:t>
            </w:r>
          </w:p>
        </w:tc>
        <w:tc>
          <w:p>
            <w:pPr>
              <w:pStyle w:val="Compact"/>
              <w:jc w:val="left"/>
            </w:pPr>
            <w:r>
              <w:t xml:space="preserve">Czech_Republic, Russia</w:t>
            </w:r>
          </w:p>
        </w:tc>
      </w:tr>
      <w:tr>
        <w:tc>
          <w:p>
            <w:pPr>
              <w:pStyle w:val="Compact"/>
              <w:jc w:val="right"/>
            </w:pPr>
            <w:r>
              <w:t xml:space="preserve">33</w:t>
            </w:r>
          </w:p>
        </w:tc>
        <w:tc>
          <w:p>
            <w:pPr>
              <w:pStyle w:val="Compact"/>
              <w:jc w:val="right"/>
            </w:pPr>
            <w:r>
              <w:t xml:space="preserve">12279395</w:t>
            </w:r>
          </w:p>
        </w:tc>
        <w:tc>
          <w:p>
            <w:pPr>
              <w:pStyle w:val="Compact"/>
              <w:jc w:val="right"/>
            </w:pPr>
            <w:r>
              <w:t xml:space="preserve">2</w:t>
            </w:r>
          </w:p>
        </w:tc>
        <w:tc>
          <w:p>
            <w:pPr>
              <w:pStyle w:val="Compact"/>
              <w:jc w:val="left"/>
            </w:pPr>
            <w:r>
              <w:t xml:space="preserve">England, Scotland</w:t>
            </w:r>
          </w:p>
        </w:tc>
      </w:tr>
    </w:tbl>
    <w:p>
      <w:pPr>
        <w:pStyle w:val="BodyText"/>
      </w:pPr>
    </w:p>
    <w:p>
      <w:pPr>
        <w:pStyle w:val="Heading2"/>
      </w:pPr>
      <w:bookmarkStart w:id="35" w:name="figure-legends"/>
      <w:bookmarkEnd w:id="35"/>
      <w:r>
        <w:t xml:space="preserve">Figure legends</w:t>
      </w:r>
    </w:p>
    <w:p>
      <w:pPr>
        <w:pStyle w:val="FirstParagraph"/>
      </w:pPr>
      <w:r>
        <w:rPr>
          <w:b/>
        </w:rPr>
        <w:t xml:space="preserve">Figure 1</w:t>
      </w:r>
      <w:r>
        <w:t xml:space="preserve"> </w:t>
      </w:r>
      <w:r>
        <w:rPr>
          <w:b/>
        </w:rPr>
        <w:t xml:space="preserve">A</w:t>
      </w:r>
      <w:r>
        <w:t xml:space="preserve"> </w:t>
      </w:r>
      <w:r>
        <w:t xml:space="preserve">Sampling locations of great tit populations used in the present study. The size of the circles represents the extent of short term LD (markers within 1kb) within each population.</w:t>
      </w:r>
      <w:r>
        <w:t xml:space="preserve"> </w:t>
      </w:r>
      <w:r>
        <w:rPr>
          <w:b/>
        </w:rPr>
        <w:t xml:space="preserve">B</w:t>
      </w:r>
      <w:r>
        <w:t xml:space="preserve"> </w:t>
      </w:r>
      <w:r>
        <w:t xml:space="preserve">Notched boxplots of marker-based heterozygosity in each population.</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Heatmap of pairwise</w:t>
      </w:r>
      <w:r>
        <w:t xml:space="preserve"> </w:t>
      </w:r>
      <m:oMath>
        <m:sSub>
          <m:e>
            <m:r>
              <m:t>F</m:t>
            </m:r>
          </m:e>
          <m:sub>
            <m:r>
              <m:t>S</m:t>
            </m:r>
            <m:r>
              <m:t>T</m:t>
            </m:r>
          </m:sub>
        </m:sSub>
      </m:oMath>
      <w:r>
        <w:t xml:space="preserve"> </w:t>
      </w:r>
      <w:r>
        <w:t xml:space="preserve">between all European populations.</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in comparisons involving island (or island/mainland) and only mainland populations.</w:t>
      </w:r>
      <w:r>
        <w:t xml:space="preserve"> </w:t>
      </w:r>
      <w:r>
        <w:rPr>
          <w:b/>
        </w:rPr>
        <w:t xml:space="preserve">C</w:t>
      </w:r>
      <w:r>
        <w:t xml:space="preserve"> </w:t>
      </w:r>
      <w:r>
        <w:t xml:space="preserve">Pairwise</w:t>
      </w:r>
      <w:r>
        <w:t xml:space="preserve"> </w:t>
      </w:r>
      <m:oMath>
        <m:sSub>
          <m:e>
            <m:r>
              <m:t>F</m:t>
            </m:r>
          </m:e>
          <m:sub>
            <m:r>
              <m:t>S</m:t>
            </m:r>
            <m:r>
              <m:t>T</m:t>
            </m:r>
          </m:sub>
        </m:sSub>
      </m:oMath>
      <w:r>
        <w:t xml:space="preserve"> </w:t>
      </w:r>
      <w:r>
        <w:t xml:space="preserve">in relation to geographic distance from the Turkey, only including comparisons involving Turkey.</w:t>
      </w:r>
      <w:r>
        <w:t xml:space="preserve"> </w:t>
      </w:r>
      <w:r>
        <w:rPr>
          <w:b/>
        </w:rPr>
        <w:t xml:space="preserve">D</w:t>
      </w:r>
      <w:r>
        <w:t xml:space="preserve"> </w:t>
      </w:r>
      <w:r>
        <w:t xml:space="preserve">Output from admixture analysis at</w:t>
      </w:r>
      <w:r>
        <w:t xml:space="preserve"> </w:t>
      </w:r>
      <m:oMath>
        <m:r>
          <m:t>K</m:t>
        </m:r>
      </m:oMath>
      <w:r>
        <w:t xml:space="preserve"> </w:t>
      </w:r>
      <w:r>
        <w:t xml:space="preserve">= 8.</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rPr>
          <w:b/>
        </w:rPr>
        <w:t xml:space="preserve">Figure 4</w:t>
      </w:r>
      <w:r>
        <w:t xml:space="preserve"> </w:t>
      </w:r>
      <w:r>
        <w:t xml:space="preserve">Landscapes of genomic differentiation among European great tit populations.</w:t>
      </w:r>
      <w:r>
        <w:t xml:space="preserve"> </w:t>
      </w:r>
      <w:r>
        <w:rPr>
          <w:b/>
        </w:rPr>
        <w:t xml:space="preserve">A</w:t>
      </w:r>
      <w:r>
        <w:t xml:space="preserve"> </w:t>
      </w:r>
      <w:r>
        <w:t xml:space="preserve">Manhattan plot of</w:t>
      </w:r>
      <w:r>
        <w:t xml:space="preserve"> </w:t>
      </w:r>
      <m:oMath>
        <m:r>
          <m:t>Z</m:t>
        </m:r>
        <m:sSub>
          <m:e>
            <m:r>
              <m:t>F</m:t>
            </m:r>
          </m:e>
          <m:sub>
            <m:r>
              <m:t>S</m:t>
            </m:r>
            <m:r>
              <m:t>T</m:t>
            </m:r>
          </m:sub>
        </m:sSub>
      </m:oMath>
      <w:r>
        <w:t xml:space="preserve"> </w:t>
      </w:r>
      <w:r>
        <w:t xml:space="preserve">in 500kb windows across the central (top) and marginal (bottom) populations.</w:t>
      </w:r>
      <w:r>
        <w:t xml:space="preserve"> </w:t>
      </w:r>
      <w:r>
        <w:rPr>
          <w:b/>
        </w:rPr>
        <w:t xml:space="preserve">B</w:t>
      </w:r>
      <w:r>
        <w:t xml:space="preserve"> </w:t>
      </w:r>
      <w:r>
        <w:t xml:space="preserve">Relationship between windowed</w:t>
      </w:r>
      <w:r>
        <w:t xml:space="preserve"> </w:t>
      </w:r>
      <m:oMath>
        <m:r>
          <m:t>Z</m:t>
        </m:r>
        <m:sSub>
          <m:e>
            <m:r>
              <m:t>F</m:t>
            </m:r>
          </m:e>
          <m:sub>
            <m:r>
              <m:t>S</m:t>
            </m:r>
            <m:r>
              <m:t>T</m:t>
            </m:r>
          </m:sub>
        </m:sSub>
      </m:oMath>
      <w:r>
        <w:t xml:space="preserve"> </w:t>
      </w:r>
      <w:r>
        <w:t xml:space="preserve">values in the marginal and central populations. Dotted lines represent 95% quantiles, and outlier loci are coloured in navy.</w:t>
      </w:r>
      <w:r>
        <w:t xml:space="preserve"> </w:t>
      </w:r>
      <w:r>
        <w:rPr>
          <w:b/>
        </w:rPr>
        <w:t xml:space="preserve">C,D</w:t>
      </w:r>
      <w:r>
        <w:t xml:space="preserve"> </w:t>
      </w:r>
      <w:r>
        <w:t xml:space="preserve">Recombination rate at outlier and non-outlier windows in the central (</w:t>
      </w:r>
      <w:r>
        <w:rPr>
          <w:i/>
        </w:rPr>
        <w:t xml:space="preserve">C</w:t>
      </w:r>
      <w:r>
        <w:t xml:space="preserve">) and marginal (</w:t>
      </w:r>
      <w:r>
        <w:rPr>
          <w:i/>
        </w:rPr>
        <w:t xml:space="preserve">D</w:t>
      </w:r>
      <w:r>
        <w:t xml:space="preserve">) populations.</w:t>
      </w:r>
    </w:p>
    <w:p>
      <w:pPr>
        <w:pStyle w:val="BodyText"/>
      </w:pPr>
      <w:r>
        <w:rPr>
          <w:b/>
        </w:rPr>
        <w:t xml:space="preserve">Figure 5</w:t>
      </w:r>
      <w:r>
        <w:t xml:space="preserve"> </w:t>
      </w:r>
      <w:r>
        <w:t xml:space="preserve">Genomic differentiation and recombination in European great tit populations.</w:t>
      </w:r>
      <w:r>
        <w:t xml:space="preserve"> </w:t>
      </w:r>
      <w:r>
        <w:rPr>
          <w:b/>
        </w:rPr>
        <w:t xml:space="preserve">A</w:t>
      </w:r>
      <w:r>
        <w:t xml:space="preserve"> </w:t>
      </w:r>
      <w:r>
        <w:t xml:space="preserve">Heatmap of the relationship (i.e. the slope from a logistic regression) between outlier presence/absence and recombination rate among all pairs of populations.</w:t>
      </w:r>
      <w:r>
        <w:t xml:space="preserve"> </w:t>
      </w:r>
      <w:r>
        <w:rPr>
          <w:b/>
        </w:rPr>
        <w:t xml:space="preserve">B,C</w:t>
      </w:r>
      <w:r>
        <w:t xml:space="preserve"> </w:t>
      </w:r>
      <w:r>
        <w:t xml:space="preserve">The slope of this relationship in relation to geographical (</w:t>
      </w:r>
      <w:r>
        <w:rPr>
          <w:b/>
        </w:rPr>
        <w:t xml:space="preserve">C</w:t>
      </w:r>
      <w:r>
        <w:t xml:space="preserve">) and genetic (</w:t>
      </w:r>
      <w:r>
        <w:rPr>
          <w:b/>
        </w:rPr>
        <w:t xml:space="preserve">D</w:t>
      </w:r>
      <w:r>
        <w:t xml:space="preserve">) distance to a proposed refugial population in Turkey.</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4000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p>
    <w:p>
      <w:pPr>
        <w:pStyle w:val="BodyText"/>
      </w:pPr>
      <w:r>
        <w:rPr>
          <w:b/>
        </w:rPr>
        <w:t xml:space="preserve">Figure 4</w:t>
      </w:r>
      <w:r>
        <w:t xml:space="preserve"> </w:t>
      </w:r>
      <w:r>
        <w:drawing>
          <wp:inline>
            <wp:extent cx="5334000" cy="400050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p>
    <w:p>
      <w:pPr>
        <w:pStyle w:val="BodyText"/>
      </w:pPr>
      <w:r>
        <w:rPr>
          <w:b/>
        </w:rPr>
        <w:t xml:space="preserve">Figure 6</w:t>
      </w:r>
      <w:r>
        <w:t xml:space="preserve"> </w:t>
      </w:r>
      <w:r>
        <w:drawing>
          <wp:inline>
            <wp:extent cx="5334000" cy="4000500"/>
            <wp:effectExtent b="0" l="0" r="0" t="0"/>
            <wp:docPr descr="" id="1" name="Picture"/>
            <a:graphic>
              <a:graphicData uri="http://schemas.openxmlformats.org/drawingml/2006/picture">
                <pic:pic>
                  <pic:nvPicPr>
                    <pic:cNvPr descr="SpurginBosse_Hapmap_MS_files/figure-docx/Figure%206-1.png" id="0"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x &lt;- c(</w:t>
      </w:r>
      <w:r>
        <w:t xml:space="preserve">“</w:t>
      </w:r>
      <w:r>
        <w:t xml:space="preserve">a</w:t>
      </w:r>
      <w:r>
        <w:t xml:space="preserve">”</w:t>
      </w:r>
      <w:r>
        <w:t xml:space="preserve">,</w:t>
      </w:r>
      <w:r>
        <w:t xml:space="preserve">“</w:t>
      </w:r>
      <w:r>
        <w:t xml:space="preserve">b</w:t>
      </w:r>
      <w:r>
        <w:t xml:space="preserve">”</w:t>
      </w:r>
      <w:r>
        <w:t xml:space="preserve">,</w:t>
      </w:r>
      <w:r>
        <w:t xml:space="preserve">“</w:t>
      </w:r>
      <w:r>
        <w:t xml:space="preserve">c</w:t>
      </w:r>
      <w:r>
        <w:t xml:space="preserve">”</w:t>
      </w:r>
      <w:r>
        <w:t xml:space="preserve">)</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5e7b1ae3"/>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2018-06-29T13:52:22Z</dcterms:created>
  <dcterms:modified xsi:type="dcterms:W3CDTF">2018-06-29T13:52:22Z</dcterms:modified>
</cp:coreProperties>
</file>