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aliminium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populationas,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(n = )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betweened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Marker-based FST</w:t>
      </w:r>
    </w:p>
    <w:p>
      <w:pPr>
        <w:pStyle w:val="BodyText"/>
      </w:pPr>
      <w:r>
        <w:t xml:space="preserve">Recombination</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anlalyses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0.18).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0.14, p = 0.16).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0.07, p = 0.76), or from Italy (r = 0.13,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reamining populations to the second. At</w:t>
      </w:r>
      <w:r>
        <w:t xml:space="preserve"> </w:t>
      </w:r>
      <m:oMath>
        <m:r>
          <m:t>K</m:t>
        </m:r>
      </m:oMath>
      <w:r>
        <w:t xml:space="preserve"> </w:t>
      </w:r>
      <w:r>
        <w:t xml:space="preserve">= 3 (the model that best fitted the great tit data; Fig. S3), Spain was separated from the rest of mainland Europe (Fig. 2C).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dsplayed in Fig. 2D;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The maximum likelihood tree with 10 migration events (Fig. 3) is generally characterised by short branch lengths, with the exception of the island populations of Sardinia and Crete. Populations in Vlieland, Spain, Corsica and the UK were also placed on longer terminal branches. Branches were generally too shallow be able to identify discrete population groupings, with the exepction of one grouping of populations in the Balkans, Turkey, Sardinia and Crete, and a second group consisting of England and Scotland (Fig. 3). Migration events were widespread across the population tree, with little evidence that individual populations have acted as notable sources or sinks for migration events.</w:t>
      </w:r>
    </w:p>
    <w:p>
      <w:pPr>
        <w:pStyle w:val="Heading4"/>
      </w:pPr>
      <w:bookmarkStart w:id="30" w:name="genomic-landscapes-of-differentiation"/>
      <w:bookmarkEnd w:id="30"/>
      <w:r>
        <w:t xml:space="preserve">Genomic landscapes of differentiation</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Vlieland_NL</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7fd6b7c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2017-07-27T16:13:21Z</dcterms:created>
  <dcterms:modified xsi:type="dcterms:W3CDTF">2017-07-27T16:13:21Z</dcterms:modified>
</cp:coreProperties>
</file>