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35.png" ContentType="image/png"/>
  <Override PartName="/word/media/rId36.png" ContentType="image/png"/>
  <Override PartName="/word/media/rId37.png" ContentType="image/png"/>
  <Override PartName="/word/media/rId38.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a-continental-scale-analysis-of-genomic-variation-in-a-songbird"/>
      <w:bookmarkEnd w:id="21"/>
      <w:r>
        <w:t xml:space="preserve">A continental-scale analysis of genomic variation in a songbird</w:t>
      </w:r>
    </w:p>
    <w:p>
      <w:pPr>
        <w:pStyle w:val="FirstParagraph"/>
      </w:pPr>
      <w:r>
        <w:t xml:space="preserve">Lewis G. Spurgin</w:t>
      </w:r>
      <w:r>
        <w:rPr>
          <w:vertAlign w:val="superscript"/>
        </w:rPr>
        <w:t xml:space="preserve">1,2</w:t>
      </w:r>
      <w:r>
        <w:t xml:space="preserve">*, Mirte Bosse</w:t>
      </w:r>
      <w:r>
        <w:rPr>
          <w:vertAlign w:val="superscript"/>
        </w:rPr>
        <w:t xml:space="preserve">3,4</w:t>
      </w:r>
      <w:r>
        <w:t xml:space="preserve">*, Veronika N. Laine</w:t>
      </w:r>
      <w:r>
        <w:rPr>
          <w:vertAlign w:val="superscript"/>
        </w:rPr>
        <w:t xml:space="preserve">3</w:t>
      </w:r>
      <w:r>
        <w:t xml:space="preserve">, The Great Tit HapMap Consortium, Martien A.M. Groenen</w:t>
      </w:r>
      <w:r>
        <w:rPr>
          <w:vertAlign w:val="superscript"/>
        </w:rPr>
        <w:t xml:space="preserve">4</w:t>
      </w:r>
      <w:r>
        <w:t xml:space="preserve">, Kees van Oers</w:t>
      </w:r>
      <w:r>
        <w:rPr>
          <w:vertAlign w:val="superscript"/>
        </w:rPr>
        <w:t xml:space="preserve">3</w:t>
      </w:r>
      <w:r>
        <w:t xml:space="preserve">, Ben C. Sheldon</w:t>
      </w:r>
      <w:r>
        <w:rPr>
          <w:vertAlign w:val="superscript"/>
        </w:rPr>
        <w:t xml:space="preserve">1</w:t>
      </w:r>
      <w:r>
        <w:t xml:space="preserve">, Marcel E. Visser</w:t>
      </w:r>
      <w:r>
        <w:rPr>
          <w:vertAlign w:val="superscript"/>
        </w:rPr>
        <w:t xml:space="preserve">3</w:t>
      </w:r>
      <w:r>
        <w:t xml:space="preserve"> </w:t>
      </w:r>
      <w:r>
        <w:t xml:space="preserve">and Jon Slate</w:t>
      </w:r>
      <w:r>
        <w:rPr>
          <w:vertAlign w:val="superscript"/>
        </w:rPr>
        <w:t xml:space="preserve">5</w:t>
      </w:r>
      <w:r>
        <w:t xml:space="preserve">**</w:t>
      </w:r>
    </w:p>
    <w:p>
      <w:pPr>
        <w:pStyle w:val="BodyText"/>
      </w:pPr>
      <w:r>
        <w:t xml:space="preserve">1 School of Biological Sciences, University of East Anglia, Norwich Research Park, United Kingdom</w:t>
      </w:r>
    </w:p>
    <w:p>
      <w:pPr>
        <w:pStyle w:val="BodyText"/>
      </w:pPr>
      <w:r>
        <w:t xml:space="preserve">2 Edward Grey Institute, University of Oxford, United Kingdom</w:t>
      </w:r>
    </w:p>
    <w:p>
      <w:pPr>
        <w:pStyle w:val="BodyText"/>
      </w:pPr>
      <w:r>
        <w:t xml:space="preserve">3 Department of Animal Ecology, Netherlands Institute of Ecology (NIOO-KNAW), Wageningen, the Netherlands</w:t>
      </w:r>
    </w:p>
    <w:p>
      <w:pPr>
        <w:pStyle w:val="BodyText"/>
      </w:pPr>
      <w:r>
        <w:t xml:space="preserve">4 Animal Breeding and Genomics Centre, Wageningen University, the Netherlands</w:t>
      </w:r>
    </w:p>
    <w:p>
      <w:pPr>
        <w:pStyle w:val="BodyText"/>
      </w:pPr>
      <w:r>
        <w:t xml:space="preserve">5 Department of Animal and Plant Sciences, University of Sheffield, United Kingdom</w:t>
      </w:r>
    </w:p>
    <w:p>
      <w:pPr>
        <w:pStyle w:val="BodyText"/>
      </w:pPr>
      <w:r>
        <w:t xml:space="preserve">* These authors contributed equally to this manuscript</w:t>
      </w:r>
    </w:p>
    <w:p>
      <w:pPr>
        <w:pStyle w:val="BodyText"/>
      </w:pPr>
      <w:r>
        <w:t xml:space="preserve">**</w:t>
      </w:r>
      <w:r>
        <w:t xml:space="preserve"> </w:t>
      </w:r>
      <w:r>
        <w:rPr>
          <w:b/>
        </w:rPr>
        <w:t xml:space="preserve">Correspondence</w:t>
      </w:r>
      <w:r>
        <w:t xml:space="preserve">:</w:t>
      </w:r>
      <w:r>
        <w:t xml:space="preserve"> </w:t>
      </w:r>
      <w:hyperlink r:id="rId22">
        <w:r>
          <w:rPr>
            <w:rStyle w:val="Hyperlink"/>
          </w:rPr>
          <w:t xml:space="preserve">j.slate@sheffield.ac.uk</w:t>
        </w:r>
      </w:hyperlink>
    </w:p>
    <w:p>
      <w:pPr>
        <w:pStyle w:val="BodyText"/>
      </w:pPr>
    </w:p>
    <w:p>
      <w:pPr>
        <w:pStyle w:val="Heading2"/>
      </w:pPr>
      <w:bookmarkStart w:id="23" w:name="abstract"/>
      <w:bookmarkEnd w:id="23"/>
      <w:r>
        <w:t xml:space="preserve">Abstract</w:t>
      </w:r>
    </w:p>
    <w:p>
      <w:pPr>
        <w:pStyle w:val="Heading2"/>
      </w:pPr>
      <w:bookmarkStart w:id="24" w:name="introduction"/>
      <w:bookmarkEnd w:id="24"/>
      <w:r>
        <w:t xml:space="preserve">Introduction</w:t>
      </w:r>
    </w:p>
    <w:p>
      <w:pPr>
        <w:pStyle w:val="Heading2"/>
      </w:pPr>
      <w:bookmarkStart w:id="25" w:name="methods"/>
      <w:bookmarkEnd w:id="25"/>
      <w:r>
        <w:t xml:space="preserve">Methods</w:t>
      </w:r>
    </w:p>
    <w:p>
      <w:pPr>
        <w:pStyle w:val="Heading4"/>
      </w:pPr>
      <w:bookmarkStart w:id="26" w:name="sampling-and-molecular-methods"/>
      <w:bookmarkEnd w:id="26"/>
      <w:r>
        <w:t xml:space="preserve">Sampling and molecular methods</w:t>
      </w:r>
    </w:p>
    <w:p>
      <w:pPr>
        <w:pStyle w:val="FirstParagraph"/>
      </w:pPr>
      <w:r>
        <w:t xml:space="preserve">Samples were collected from 28 populations from 22 countries across Europe (Fig. 1A; Table 1). Birds were trapped from nest boxes, or using mist nets, and ringed with a uniquely numbered aluminium ring. Blood was taken via brachial venipuncture, and stored in either 1 ml Cell Lysis Solution (Gentra Puregene Kit, Qiagen, USA) or Queen’s buffer. All samples were genotyped using a custom-made Affymetrix® great tit 650K SNP chip at Edinburgh Genomics (Edinburgh, United Kingdom). After filtering, a total of 647 samples typed at 483888 SNPs were retained for analysis (Table 1).</w:t>
      </w:r>
    </w:p>
    <w:p>
      <w:pPr>
        <w:pStyle w:val="Heading4"/>
      </w:pPr>
      <w:bookmarkStart w:id="27" w:name="analyses"/>
      <w:bookmarkEnd w:id="27"/>
      <w:r>
        <w:t xml:space="preserve">Analyses</w:t>
      </w:r>
    </w:p>
    <w:p>
      <w:pPr>
        <w:pStyle w:val="FirstParagraph"/>
      </w:pPr>
      <w:r>
        <w:t xml:space="preserve">Unless stated otherwise, all population genetic statistics were calculated in PLINK version 1.9</w:t>
      </w:r>
      <w:r>
        <w:t xml:space="preserve"> </w:t>
      </w:r>
      <w:r>
        <w:t xml:space="preserve">(Purcell</w:t>
      </w:r>
      <w:r>
        <w:t xml:space="preserve"> </w:t>
      </w:r>
      <w:r>
        <w:rPr>
          <w:i/>
        </w:rPr>
        <w:t xml:space="preserve">et al.</w:t>
      </w:r>
      <w:r>
        <w:t xml:space="preserve"> </w:t>
      </w:r>
      <w:r>
        <w:t xml:space="preserve">2007)</w:t>
      </w:r>
      <w:r>
        <w:t xml:space="preserve">, and downstream analysis and plotting was carried out in R version 3.3</w:t>
      </w:r>
      <w:r>
        <w:t xml:space="preserve"> </w:t>
      </w:r>
      <w:r>
        <w:t xml:space="preserve">(R Development Core Team 2011)</w:t>
      </w:r>
      <w:r>
        <w:t xml:space="preserve">. In each population, we estimated linkage disequilibrium (</w:t>
      </w:r>
      <m:oMath>
        <m:sSup>
          <m:e>
            <m:r>
              <m:t>R</m:t>
            </m:r>
          </m:e>
          <m:sup>
            <m:r>
              <m:t>2</m:t>
            </m:r>
          </m:sup>
        </m:sSup>
      </m:oMath>
      <w:r>
        <w:t xml:space="preserve">) for each pair of markers within 50kb on the same chromosome, and compared this to physical distance between marker pairs. For a simple comparison of short-range LD among populations, we also calculated, for each population, mean LD between all pairs of markers within 1kb. We then calculated observed heterozygosity for each SNP and population using a reduced SNP dataset, which was pruned based on linkage disequilibrium to remove all markers with</w:t>
      </w:r>
      <w:r>
        <w:t xml:space="preserve"> </w:t>
      </w:r>
      <m:oMath>
        <m:sSup>
          <m:e>
            <m:r>
              <m:t>R</m:t>
            </m:r>
          </m:e>
          <m:sup>
            <m:r>
              <m:t>2</m:t>
            </m:r>
          </m:sup>
        </m:sSup>
      </m:oMath>
      <w:r>
        <w:t xml:space="preserve"> </w:t>
      </w:r>
      <w:r>
        <w:t xml:space="preserve">&gt; 0.1, then thinned with a probability of retaining each variant of 0.25.</w:t>
      </w:r>
    </w:p>
    <w:p>
      <w:pPr>
        <w:pStyle w:val="BodyText"/>
      </w:pPr>
      <w:r>
        <w:t xml:space="preserve">We calculated mean</w:t>
      </w:r>
      <w:r>
        <w:t xml:space="preserve"> </w:t>
      </w:r>
      <m:oMath>
        <m:sSub>
          <m:e>
            <m:r>
              <m:t>F</m:t>
            </m:r>
          </m:e>
          <m:sub>
            <m:r>
              <m:t>S</m:t>
            </m:r>
            <m:r>
              <m:t>T</m:t>
            </m:r>
          </m:sub>
        </m:sSub>
      </m:oMath>
      <w:r>
        <w:t xml:space="preserve"> </w:t>
      </w:r>
      <w:r>
        <w:t xml:space="preserve">for all loci between each pair of populations using the pruned and thinned dataset described above. Pairwise</w:t>
      </w:r>
      <w:r>
        <w:t xml:space="preserve"> </w:t>
      </w:r>
      <m:oMath>
        <m:sSub>
          <m:e>
            <m:r>
              <m:t>F</m:t>
            </m:r>
          </m:e>
          <m:sub>
            <m:r>
              <m:t>S</m:t>
            </m:r>
            <m:r>
              <m:t>T</m:t>
            </m:r>
          </m:sub>
        </m:sSub>
      </m:oMath>
      <w:r>
        <w:t xml:space="preserve"> </w:t>
      </w:r>
      <w:r>
        <w:t xml:space="preserve">was compared to geographic distance between populations using Mantel tests, implemented in the Ecodist package in R</w:t>
      </w:r>
      <w:r>
        <w:t xml:space="preserve"> </w:t>
      </w:r>
      <w:r>
        <w:t xml:space="preserve">(Goslee &amp; Urban 2007)</w:t>
      </w:r>
      <w:r>
        <w:t xml:space="preserve">. We also estimated population structure using Admixture version 1.3, with default settings</w:t>
      </w:r>
      <w:r>
        <w:t xml:space="preserve"> </w:t>
      </w:r>
      <w:r>
        <w:t xml:space="preserve">(Alexander, Novembre &amp; Lange 2009)</w:t>
      </w:r>
      <w:r>
        <w:t xml:space="preserve">. We varied values of</w:t>
      </w:r>
      <w:r>
        <w:t xml:space="preserve"> </w:t>
      </w:r>
      <m:oMath>
        <m:r>
          <m:t>K</m:t>
        </m:r>
      </m:oMath>
      <w:r>
        <w:t xml:space="preserve"> </w:t>
      </w:r>
      <w:r>
        <w:t xml:space="preserve">from one to ten; by which time increasing values of</w:t>
      </w:r>
      <w:r>
        <w:t xml:space="preserve"> </w:t>
      </w:r>
      <m:oMath>
        <m:r>
          <m:t>K</m:t>
        </m:r>
      </m:oMath>
      <w:r>
        <w:t xml:space="preserve"> </w:t>
      </w:r>
      <w:r>
        <w:t xml:space="preserve">provided no informative information about population structure (see results). Model support for each value of</w:t>
      </w:r>
      <w:r>
        <w:t xml:space="preserve"> </w:t>
      </w:r>
      <m:oMath>
        <m:r>
          <m:t>K</m:t>
        </m:r>
      </m:oMath>
      <w:r>
        <w:t xml:space="preserve"> </w:t>
      </w:r>
      <w:r>
        <w:t xml:space="preserve">was estimated by calculating 5-fold cross-validation error. Finally, we visualised the evolutionary history among European great populations by generating a maximum likelihood tree in TreeMix version 1.13</w:t>
      </w:r>
      <w:r>
        <w:t xml:space="preserve"> </w:t>
      </w:r>
      <w:r>
        <w:t xml:space="preserve">(Pickrell &amp; Pritchard 2012)</w:t>
      </w:r>
      <w:r>
        <w:t xml:space="preserve">. We rooted the tree using a sample of</w:t>
      </w:r>
      <w:r>
        <w:t xml:space="preserve"> </w:t>
      </w:r>
      <w:r>
        <w:rPr>
          <w:i/>
        </w:rPr>
        <w:t xml:space="preserve">P. minor</w:t>
      </w:r>
      <w:r>
        <w:t xml:space="preserve"> </w:t>
      </w:r>
      <w:r>
        <w:t xml:space="preserve">individuals (n = ) sampled from Amur, Russia. We fitted models allowing for range of migration events (0-10), and used a window size of 500 SNPs</w:t>
      </w:r>
      <w:r>
        <w:t xml:space="preserve"> </w:t>
      </w:r>
      <w:r>
        <w:t xml:space="preserve">(Pickrell &amp; Pritchard 2012)</w:t>
      </w:r>
      <w:r>
        <w:t xml:space="preserve">. To assess model fit, we calculated the proportion of variance relatedness between populations explained by each model, using the equation 30 in Pickrell</w:t>
      </w:r>
      <w:r>
        <w:t xml:space="preserve"> </w:t>
      </w:r>
      <w:r>
        <w:rPr>
          <w:i/>
        </w:rPr>
        <w:t xml:space="preserve">et al.</w:t>
      </w:r>
      <w:r>
        <w:t xml:space="preserve"> </w:t>
      </w:r>
      <w:r>
        <w:t xml:space="preserve">(2012)</w:t>
      </w:r>
      <w:r>
        <w:t xml:space="preserve">.</w:t>
      </w:r>
    </w:p>
    <w:p>
      <w:pPr>
        <w:pStyle w:val="BodyText"/>
      </w:pPr>
      <w:r>
        <w:t xml:space="preserve">Marker-based FST</w:t>
      </w:r>
    </w:p>
    <w:p>
      <w:pPr>
        <w:pStyle w:val="BodyText"/>
      </w:pPr>
      <w:r>
        <w:t xml:space="preserve">Recombination</w:t>
      </w:r>
    </w:p>
    <w:p>
      <w:pPr>
        <w:pStyle w:val="Heading2"/>
      </w:pPr>
      <w:bookmarkStart w:id="28" w:name="results"/>
      <w:bookmarkEnd w:id="28"/>
      <w:r>
        <w:t xml:space="preserve">Results</w:t>
      </w:r>
    </w:p>
    <w:p>
      <w:pPr>
        <w:pStyle w:val="Heading4"/>
      </w:pPr>
      <w:bookmarkStart w:id="29" w:name="genetic-diversity-and-population-history"/>
      <w:bookmarkEnd w:id="29"/>
      <w:r>
        <w:t xml:space="preserve">Genetic diversity and population history</w:t>
      </w:r>
    </w:p>
    <w:p>
      <w:pPr>
        <w:pStyle w:val="FirstParagraph"/>
      </w:pPr>
      <w:r>
        <w:t xml:space="preserve">Sampling locations and sample sizes for each population are given in Table 1. For ease of presentation, we grouped populations into "regions" for plots and analyses (see Table 1 for details). Levels of genetic diversity were generally high and LD declined rapidly in all populations, but we observed substantial differences in genetic diversity among populations. Highest levels of LD were observed in the island populations of Crete (Greece), Sardinia (Italy), Corsica (France) and Vlieland (Netherlands) with lowest levels of LD in central Europe, Turkey and Spain (Fig. 1A; Fig. S1). Similarly, heterozygosity was highest in central Europe, and lowest in Crete, Sardinia and the Balkans (Fig. 1B).</w:t>
      </w:r>
    </w:p>
    <w:p>
      <w:pPr>
        <w:pStyle w:val="BodyText"/>
      </w:pPr>
      <w:r>
        <w:t xml:space="preserve">Considering all European great tit populations, there was no significant pattern of isolation-by-distance (Mantel test; r = 0.14, p = 0.16). Instead, the highest levels of</w:t>
      </w:r>
      <w:r>
        <w:t xml:space="preserve"> </w:t>
      </w:r>
      <m:oMath>
        <m:sSub>
          <m:e>
            <m:r>
              <m:t>F</m:t>
            </m:r>
          </m:e>
          <m:sub>
            <m:r>
              <m:t>S</m:t>
            </m:r>
            <m:r>
              <m:t>T</m:t>
            </m:r>
          </m:sub>
        </m:sSub>
      </m:oMath>
      <w:r>
        <w:t xml:space="preserve"> </w:t>
      </w:r>
      <w:r>
        <w:t xml:space="preserve">were found in comparisons involving island the populations of Corsica, Sardinia and Crete (Fig. 2A). Considering only comparisons involving mainland populations, pairwise</w:t>
      </w:r>
      <w:r>
        <w:t xml:space="preserve"> </w:t>
      </w:r>
      <m:oMath>
        <m:sSub>
          <m:e>
            <m:r>
              <m:t>F</m:t>
            </m:r>
          </m:e>
          <m:sub>
            <m:r>
              <m:t>S</m:t>
            </m:r>
            <m:r>
              <m:t>T</m:t>
            </m:r>
          </m:sub>
        </m:sSub>
      </m:oMath>
      <w:r>
        <w:t xml:space="preserve"> </w:t>
      </w:r>
      <w:r>
        <w:t xml:space="preserve">was still not related to related to geographic distance (r = 0.17, p = 0.12). We then examined genetic structure in relation to distance from potential refugial populations (only including mainland populations), and found that</w:t>
      </w:r>
      <w:r>
        <w:t xml:space="preserve"> </w:t>
      </w:r>
      <m:oMath>
        <m:sSub>
          <m:e>
            <m:r>
              <m:t>F</m:t>
            </m:r>
          </m:e>
          <m:sub>
            <m:r>
              <m:t>S</m:t>
            </m:r>
            <m:r>
              <m:t>T</m:t>
            </m:r>
          </m:sub>
        </m:sSub>
      </m:oMath>
      <w:r>
        <w:t xml:space="preserve"> </w:t>
      </w:r>
      <w:r>
        <w:t xml:space="preserve">was significantly related to distance from Turkey (r = 0.83, p &lt; 0.001; Fig. 2B), but not to distance from Spain (r = 0.08, p = 0.71), or from Italy (r = 0.14, p = 0.55).</w:t>
      </w:r>
    </w:p>
    <w:p>
      <w:pPr>
        <w:pStyle w:val="BodyText"/>
      </w:pPr>
      <w:r>
        <w:t xml:space="preserve">Admixture analysis revealed patterns of genetic structure corresponding to geographical variation in European great tits (Fig. S2). The</w:t>
      </w:r>
      <w:r>
        <w:t xml:space="preserve"> </w:t>
      </w:r>
      <m:oMath>
        <m:r>
          <m:t>K</m:t>
        </m:r>
      </m:oMath>
      <w:r>
        <w:t xml:space="preserve"> </w:t>
      </w:r>
      <w:r>
        <w:t xml:space="preserve">= 2 analysis assigned individuals in Sardinia and Corsica to one genetic cluster, and the remaining populations to the second. At</w:t>
      </w:r>
      <w:r>
        <w:t xml:space="preserve"> </w:t>
      </w:r>
      <m:oMath>
        <m:r>
          <m:t>K</m:t>
        </m:r>
      </m:oMath>
      <w:r>
        <w:t xml:space="preserve"> </w:t>
      </w:r>
      <w:r>
        <w:t xml:space="preserve">= 3 (the model that best fitted the great tit data; Fig. S3), Spain was separated from the rest of mainland Europe. Increasing values of</w:t>
      </w:r>
      <w:r>
        <w:t xml:space="preserve"> </w:t>
      </w:r>
      <m:oMath>
        <m:r>
          <m:t>K</m:t>
        </m:r>
      </m:oMath>
      <w:r>
        <w:t xml:space="preserve"> </w:t>
      </w:r>
      <w:r>
        <w:t xml:space="preserve">resulted of the separation of populations in Scotland (</w:t>
      </w:r>
      <m:oMath>
        <m:r>
          <m:t>K</m:t>
        </m:r>
      </m:oMath>
      <w:r>
        <w:t xml:space="preserve"> </w:t>
      </w:r>
      <w:r>
        <w:t xml:space="preserve">= 4), Sardinia (from Corsica;</w:t>
      </w:r>
      <w:r>
        <w:t xml:space="preserve"> </w:t>
      </w:r>
      <m:oMath>
        <m:r>
          <m:t>K</m:t>
        </m:r>
      </m:oMath>
      <w:r>
        <w:t xml:space="preserve"> </w:t>
      </w:r>
      <w:r>
        <w:t xml:space="preserve">= 5), France (</w:t>
      </w:r>
      <m:oMath>
        <m:r>
          <m:t>K</m:t>
        </m:r>
      </m:oMath>
      <w:r>
        <w:t xml:space="preserve"> </w:t>
      </w:r>
      <w:r>
        <w:t xml:space="preserve">= 6), Crete (</w:t>
      </w:r>
      <m:oMath>
        <m:r>
          <m:t>K</m:t>
        </m:r>
      </m:oMath>
      <w:r>
        <w:t xml:space="preserve"> </w:t>
      </w:r>
      <w:r>
        <w:t xml:space="preserve">= 7) and England (</w:t>
      </w:r>
      <m:oMath>
        <m:r>
          <m:t>K</m:t>
        </m:r>
      </m:oMath>
      <w:r>
        <w:t xml:space="preserve"> </w:t>
      </w:r>
      <w:r>
        <w:t xml:space="preserve">= 8). The admixture output at</w:t>
      </w:r>
      <w:r>
        <w:t xml:space="preserve"> </w:t>
      </w:r>
      <m:oMath>
        <m:r>
          <m:t>K</m:t>
        </m:r>
      </m:oMath>
      <w:r>
        <w:t xml:space="preserve"> </w:t>
      </w:r>
      <w:r>
        <w:t xml:space="preserve">= 8 is displayed in Fig. 2C; further increases in</w:t>
      </w:r>
      <w:r>
        <w:t xml:space="preserve"> </w:t>
      </w:r>
      <m:oMath>
        <m:r>
          <m:t>K</m:t>
        </m:r>
      </m:oMath>
      <w:r>
        <w:t xml:space="preserve"> </w:t>
      </w:r>
      <w:r>
        <w:t xml:space="preserve">did not generate patterns of structure that corresponded to geographical variation (Fig. S2), and were increasingly less well supported (Fig. S3).</w:t>
      </w:r>
    </w:p>
    <w:p>
      <w:pPr>
        <w:pStyle w:val="BodyText"/>
      </w:pPr>
      <w:r>
        <w:t xml:space="preserve">Maximum likelihood analyses implemented in Treemix showed that a model with no migration explained 97.8% of variance in relatedness between populations; increasing the number of migration events substantially improved the percentage of relatedness explained, up to 99.7% when 10 migration events were fitted (Fig. S4). In Figure 3 we display maximum likelihood tree with 2 migration events, after which the variance in relatedness explained plateaued when more migration events were added (Fig. S4). The tree was generally characterised by short branch lengths, with the exception of the island populations of Sardinia and Crete, which were grouped with the population from mainland Italy. The Spanish and Corsican populations were also grouped together, and were populations from Turkey and the Balkans, and populations from England and Scotland (Fig. 3). The two fitted migration edges both involved Sardinia, involving migration from eastern Europe, and to Corsica (Fig. 3).</w:t>
      </w:r>
    </w:p>
    <w:p>
      <w:pPr>
        <w:pStyle w:val="Heading4"/>
      </w:pPr>
      <w:bookmarkStart w:id="30" w:name="genomic-landscapes-of-differentiation"/>
      <w:bookmarkEnd w:id="30"/>
      <w:r>
        <w:t xml:space="preserve">Genomic landscapes of differentiation</w:t>
      </w:r>
    </w:p>
    <w:p>
      <w:pPr>
        <w:pStyle w:val="FirstParagraph"/>
      </w:pPr>
      <w:r>
        <w:t xml:space="preserve">We first explored patterns of genomic differentiation between populations assigned by Admixture analyses (at</w:t>
      </w:r>
      <w:r>
        <w:t xml:space="preserve"> </w:t>
      </w:r>
      <m:oMath>
        <m:r>
          <m:t>K</m:t>
        </m:r>
      </m:oMath>
      <w:r>
        <w:t xml:space="preserve"> </w:t>
      </w:r>
      <w:r>
        <w:t xml:space="preserve">= 8), and found that</w:t>
      </w:r>
      <w:r>
        <w:t xml:space="preserve"> </w:t>
      </w:r>
      <m:oMath>
        <m:sSub>
          <m:e>
            <m:r>
              <m:t>F</m:t>
            </m:r>
          </m:e>
          <m:sub>
            <m:r>
              <m:t>S</m:t>
            </m:r>
            <m:r>
              <m:t>T</m:t>
            </m:r>
          </m:sub>
        </m:sSub>
      </m:oMath>
      <w:r>
        <w:t xml:space="preserve"> </w:t>
      </w:r>
      <w:r>
        <w:t xml:space="preserve">varied markedly across the genome (Fig. 4A).</w:t>
      </w:r>
    </w:p>
    <w:p>
      <w:pPr>
        <w:pStyle w:val="Heading2"/>
      </w:pPr>
      <w:bookmarkStart w:id="31" w:name="discussion"/>
      <w:bookmarkEnd w:id="31"/>
      <w:r>
        <w:t xml:space="preserve">Discussion</w:t>
      </w:r>
    </w:p>
    <w:p>
      <w:pPr>
        <w:pStyle w:val="Heading2"/>
      </w:pPr>
      <w:bookmarkStart w:id="32" w:name="references"/>
      <w:bookmarkEnd w:id="32"/>
      <w:r>
        <w:t xml:space="preserve">References</w:t>
      </w:r>
    </w:p>
    <w:p>
      <w:pPr>
        <w:pStyle w:val="FirstParagraph"/>
      </w:pPr>
      <w:r>
        <w:t xml:space="preserve">Alexander, D.H., Novembre, J. &amp; Lange, K. (2009) Fast model-based estimation of ancestry in unrelated individuals.</w:t>
      </w:r>
      <w:r>
        <w:t xml:space="preserve"> </w:t>
      </w:r>
      <w:r>
        <w:rPr>
          <w:i/>
        </w:rPr>
        <w:t xml:space="preserve">Genome Research</w:t>
      </w:r>
      <w:r>
        <w:t xml:space="preserve">,</w:t>
      </w:r>
      <w:r>
        <w:t xml:space="preserve"> </w:t>
      </w:r>
      <w:r>
        <w:rPr>
          <w:b/>
        </w:rPr>
        <w:t xml:space="preserve">19</w:t>
      </w:r>
      <w:r>
        <w:t xml:space="preserve">, 1655–1664.</w:t>
      </w:r>
    </w:p>
    <w:p>
      <w:pPr>
        <w:pStyle w:val="BodyText"/>
      </w:pPr>
      <w:r>
        <w:t xml:space="preserve">Goslee, S.C. &amp; Urban, D.L. (2007) The ecodist package for dissimilarity-based analysis of ecological data.</w:t>
      </w:r>
      <w:r>
        <w:t xml:space="preserve"> </w:t>
      </w:r>
      <w:r>
        <w:rPr>
          <w:i/>
        </w:rPr>
        <w:t xml:space="preserve">Journal Of Statistical Software</w:t>
      </w:r>
      <w:r>
        <w:t xml:space="preserve">,</w:t>
      </w:r>
      <w:r>
        <w:t xml:space="preserve"> </w:t>
      </w:r>
      <w:r>
        <w:rPr>
          <w:b/>
        </w:rPr>
        <w:t xml:space="preserve">22</w:t>
      </w:r>
      <w:r>
        <w:t xml:space="preserve">, 1–19.</w:t>
      </w:r>
    </w:p>
    <w:p>
      <w:pPr>
        <w:pStyle w:val="BodyText"/>
      </w:pPr>
      <w:r>
        <w:t xml:space="preserve">Pickrell, J.K. &amp; Pritchard, J.K. (2012) Inference of Population Splits and Mixtures from Genome-Wide Allele Frequency Data.</w:t>
      </w:r>
      <w:r>
        <w:t xml:space="preserve"> </w:t>
      </w:r>
      <w:r>
        <w:rPr>
          <w:i/>
        </w:rPr>
        <w:t xml:space="preserve">PLoS Genetics</w:t>
      </w:r>
      <w:r>
        <w:t xml:space="preserve">,</w:t>
      </w:r>
      <w:r>
        <w:t xml:space="preserve"> </w:t>
      </w:r>
      <w:r>
        <w:rPr>
          <w:b/>
        </w:rPr>
        <w:t xml:space="preserve">8</w:t>
      </w:r>
      <w:r>
        <w:t xml:space="preserve">.</w:t>
      </w:r>
    </w:p>
    <w:p>
      <w:pPr>
        <w:pStyle w:val="BodyText"/>
      </w:pPr>
      <w:r>
        <w:t xml:space="preserve">Purcell, S., Neale, B., Todd-Brown, K., Thomas, L., Ferreira, M.A., Bender, D., Maller, J., Sklar, P., Bakker, P.I. de, Daly, M.J. &amp; Sham, P.C. (2007) PLINK: A Tool Set for Whole-Genome Association and Population-Based Linkage Analyses.</w:t>
      </w:r>
      <w:r>
        <w:t xml:space="preserve"> </w:t>
      </w:r>
      <w:r>
        <w:rPr>
          <w:i/>
        </w:rPr>
        <w:t xml:space="preserve">The American Journal of Human Genetics</w:t>
      </w:r>
      <w:r>
        <w:t xml:space="preserve">,</w:t>
      </w:r>
      <w:r>
        <w:t xml:space="preserve"> </w:t>
      </w:r>
      <w:r>
        <w:rPr>
          <w:b/>
        </w:rPr>
        <w:t xml:space="preserve">81</w:t>
      </w:r>
      <w:r>
        <w:t xml:space="preserve">, 559–575.</w:t>
      </w:r>
    </w:p>
    <w:p>
      <w:pPr>
        <w:pStyle w:val="BodyText"/>
      </w:pPr>
      <w:r>
        <w:t xml:space="preserve">R Development Core Team. (2011) R: A Language and Environment for Statistical Computing (ed RDC Team).</w:t>
      </w:r>
    </w:p>
    <w:p>
      <w:pPr>
        <w:pStyle w:val="BodyText"/>
      </w:pPr>
    </w:p>
    <w:p>
      <w:pPr>
        <w:pStyle w:val="Heading2"/>
      </w:pPr>
      <w:bookmarkStart w:id="33" w:name="tables-and-figures"/>
      <w:bookmarkEnd w:id="33"/>
      <w:r>
        <w:t xml:space="preserve">Tables and Figures</w:t>
      </w:r>
    </w:p>
    <w:p>
      <w:pPr>
        <w:pStyle w:val="FirstParagraph"/>
      </w:pPr>
      <w:r>
        <w:rPr>
          <w:b/>
        </w:rPr>
        <w:t xml:space="preserve">Table 1</w:t>
      </w:r>
      <w:r>
        <w:t xml:space="preserve"> </w:t>
      </w:r>
      <w:r>
        <w:t xml:space="preserve">Sampling details for the 28 European great tit populations.</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Population</w:t>
            </w:r>
          </w:p>
        </w:tc>
        <w:tc>
          <w:tcPr>
            <w:tcBorders>
              <w:bottom w:val="single"/>
            </w:tcBorders>
            <w:vAlign w:val="bottom"/>
          </w:tcPr>
          <w:p>
            <w:pPr>
              <w:pStyle w:val="Compact"/>
              <w:jc w:val="left"/>
            </w:pPr>
            <w:r>
              <w:t xml:space="preserve">Region</w:t>
            </w:r>
          </w:p>
        </w:tc>
        <w:tc>
          <w:tcPr>
            <w:tcBorders>
              <w:bottom w:val="single"/>
            </w:tcBorders>
            <w:vAlign w:val="bottom"/>
          </w:tcPr>
          <w:p>
            <w:pPr>
              <w:pStyle w:val="Compact"/>
              <w:jc w:val="right"/>
            </w:pPr>
            <w:r>
              <w:t xml:space="preserve">N</w:t>
            </w:r>
          </w:p>
        </w:tc>
        <w:tc>
          <w:tcPr>
            <w:tcBorders>
              <w:bottom w:val="single"/>
            </w:tcBorders>
            <w:vAlign w:val="bottom"/>
          </w:tcPr>
          <w:p>
            <w:pPr>
              <w:pStyle w:val="Compact"/>
              <w:jc w:val="right"/>
            </w:pPr>
            <w:r>
              <w:t xml:space="preserve">Latitude</w:t>
            </w:r>
          </w:p>
        </w:tc>
        <w:tc>
          <w:tcPr>
            <w:tcBorders>
              <w:bottom w:val="single"/>
            </w:tcBorders>
            <w:vAlign w:val="bottom"/>
          </w:tcPr>
          <w:p>
            <w:pPr>
              <w:pStyle w:val="Compact"/>
              <w:jc w:val="right"/>
            </w:pPr>
            <w:r>
              <w:t xml:space="preserve">Longitude</w:t>
            </w:r>
          </w:p>
        </w:tc>
      </w:tr>
      <w:tr>
        <w:tc>
          <w:p>
            <w:pPr>
              <w:pStyle w:val="Compact"/>
              <w:jc w:val="left"/>
            </w:pPr>
            <w:r>
              <w:t xml:space="preserve">Loch_Lomond_Scotland</w:t>
            </w:r>
          </w:p>
        </w:tc>
        <w:tc>
          <w:p>
            <w:pPr>
              <w:pStyle w:val="Compact"/>
              <w:jc w:val="left"/>
            </w:pPr>
            <w:r>
              <w:t xml:space="preserve">Scotland</w:t>
            </w:r>
          </w:p>
        </w:tc>
        <w:tc>
          <w:p>
            <w:pPr>
              <w:pStyle w:val="Compact"/>
              <w:jc w:val="right"/>
            </w:pPr>
            <w:r>
              <w:t xml:space="preserve">21</w:t>
            </w:r>
          </w:p>
        </w:tc>
        <w:tc>
          <w:p>
            <w:pPr>
              <w:pStyle w:val="Compact"/>
              <w:jc w:val="right"/>
            </w:pPr>
            <w:r>
              <w:t xml:space="preserve">56.108</w:t>
            </w:r>
          </w:p>
        </w:tc>
        <w:tc>
          <w:p>
            <w:pPr>
              <w:pStyle w:val="Compact"/>
              <w:jc w:val="right"/>
            </w:pPr>
            <w:r>
              <w:t xml:space="preserve">-4.562</w:t>
            </w:r>
          </w:p>
        </w:tc>
      </w:tr>
      <w:tr>
        <w:tc>
          <w:p>
            <w:pPr>
              <w:pStyle w:val="Compact"/>
              <w:jc w:val="left"/>
            </w:pPr>
            <w:r>
              <w:t xml:space="preserve">Cambridge_UK</w:t>
            </w:r>
          </w:p>
        </w:tc>
        <w:tc>
          <w:p>
            <w:pPr>
              <w:pStyle w:val="Compact"/>
              <w:jc w:val="left"/>
            </w:pPr>
            <w:r>
              <w:t xml:space="preserve">England</w:t>
            </w:r>
          </w:p>
        </w:tc>
        <w:tc>
          <w:p>
            <w:pPr>
              <w:pStyle w:val="Compact"/>
              <w:jc w:val="right"/>
            </w:pPr>
            <w:r>
              <w:t xml:space="preserve">28</w:t>
            </w:r>
          </w:p>
        </w:tc>
        <w:tc>
          <w:p>
            <w:pPr>
              <w:pStyle w:val="Compact"/>
              <w:jc w:val="right"/>
            </w:pPr>
            <w:r>
              <w:t xml:space="preserve">52.198</w:t>
            </w:r>
          </w:p>
        </w:tc>
        <w:tc>
          <w:p>
            <w:pPr>
              <w:pStyle w:val="Compact"/>
              <w:jc w:val="right"/>
            </w:pPr>
            <w:r>
              <w:t xml:space="preserve">0.152</w:t>
            </w:r>
          </w:p>
        </w:tc>
      </w:tr>
      <w:tr>
        <w:tc>
          <w:p>
            <w:pPr>
              <w:pStyle w:val="Compact"/>
              <w:jc w:val="left"/>
            </w:pPr>
            <w:r>
              <w:t xml:space="preserve">Wytham_UK</w:t>
            </w:r>
          </w:p>
        </w:tc>
        <w:tc>
          <w:p>
            <w:pPr>
              <w:pStyle w:val="Compact"/>
              <w:jc w:val="left"/>
            </w:pPr>
            <w:r>
              <w:t xml:space="preserve">England</w:t>
            </w:r>
          </w:p>
        </w:tc>
        <w:tc>
          <w:p>
            <w:pPr>
              <w:pStyle w:val="Compact"/>
              <w:jc w:val="right"/>
            </w:pPr>
            <w:r>
              <w:t xml:space="preserve">48</w:t>
            </w:r>
          </w:p>
        </w:tc>
        <w:tc>
          <w:p>
            <w:pPr>
              <w:pStyle w:val="Compact"/>
              <w:jc w:val="right"/>
            </w:pPr>
            <w:r>
              <w:t xml:space="preserve">51.776</w:t>
            </w:r>
          </w:p>
        </w:tc>
        <w:tc>
          <w:p>
            <w:pPr>
              <w:pStyle w:val="Compact"/>
              <w:jc w:val="right"/>
            </w:pPr>
            <w:r>
              <w:t xml:space="preserve">-1.303</w:t>
            </w:r>
          </w:p>
        </w:tc>
      </w:tr>
      <w:tr>
        <w:tc>
          <w:p>
            <w:pPr>
              <w:pStyle w:val="Compact"/>
              <w:jc w:val="left"/>
            </w:pPr>
            <w:r>
              <w:t xml:space="preserve">Font_Roja_Spain</w:t>
            </w:r>
          </w:p>
        </w:tc>
        <w:tc>
          <w:p>
            <w:pPr>
              <w:pStyle w:val="Compact"/>
              <w:jc w:val="left"/>
            </w:pPr>
            <w:r>
              <w:t xml:space="preserve">Spain</w:t>
            </w:r>
          </w:p>
        </w:tc>
        <w:tc>
          <w:p>
            <w:pPr>
              <w:pStyle w:val="Compact"/>
              <w:jc w:val="right"/>
            </w:pPr>
            <w:r>
              <w:t xml:space="preserve">19</w:t>
            </w:r>
          </w:p>
        </w:tc>
        <w:tc>
          <w:p>
            <w:pPr>
              <w:pStyle w:val="Compact"/>
              <w:jc w:val="right"/>
            </w:pPr>
            <w:r>
              <w:t xml:space="preserve">38.664</w:t>
            </w:r>
          </w:p>
        </w:tc>
        <w:tc>
          <w:p>
            <w:pPr>
              <w:pStyle w:val="Compact"/>
              <w:jc w:val="right"/>
            </w:pPr>
            <w:r>
              <w:t xml:space="preserve">-0.544</w:t>
            </w:r>
          </w:p>
        </w:tc>
      </w:tr>
      <w:tr>
        <w:tc>
          <w:p>
            <w:pPr>
              <w:pStyle w:val="Compact"/>
              <w:jc w:val="left"/>
            </w:pPr>
            <w:r>
              <w:t xml:space="preserve">Mariola_Spain</w:t>
            </w:r>
          </w:p>
        </w:tc>
        <w:tc>
          <w:p>
            <w:pPr>
              <w:pStyle w:val="Compact"/>
              <w:jc w:val="left"/>
            </w:pPr>
            <w:r>
              <w:t xml:space="preserve">Spain</w:t>
            </w:r>
          </w:p>
        </w:tc>
        <w:tc>
          <w:p>
            <w:pPr>
              <w:pStyle w:val="Compact"/>
              <w:jc w:val="right"/>
            </w:pPr>
            <w:r>
              <w:t xml:space="preserve">21</w:t>
            </w:r>
          </w:p>
        </w:tc>
        <w:tc>
          <w:p>
            <w:pPr>
              <w:pStyle w:val="Compact"/>
              <w:jc w:val="right"/>
            </w:pPr>
            <w:r>
              <w:t xml:space="preserve">37.717</w:t>
            </w:r>
          </w:p>
        </w:tc>
        <w:tc>
          <w:p>
            <w:pPr>
              <w:pStyle w:val="Compact"/>
              <w:jc w:val="right"/>
            </w:pPr>
            <w:r>
              <w:t xml:space="preserve">-0.658</w:t>
            </w:r>
          </w:p>
        </w:tc>
      </w:tr>
      <w:tr>
        <w:tc>
          <w:p>
            <w:pPr>
              <w:pStyle w:val="Compact"/>
              <w:jc w:val="left"/>
            </w:pPr>
            <w:r>
              <w:t xml:space="preserve">La_Rouviere_France</w:t>
            </w:r>
          </w:p>
        </w:tc>
        <w:tc>
          <w:p>
            <w:pPr>
              <w:pStyle w:val="Compact"/>
              <w:jc w:val="left"/>
            </w:pPr>
            <w:r>
              <w:t xml:space="preserve">France</w:t>
            </w:r>
          </w:p>
        </w:tc>
        <w:tc>
          <w:p>
            <w:pPr>
              <w:pStyle w:val="Compact"/>
              <w:jc w:val="right"/>
            </w:pPr>
            <w:r>
              <w:t xml:space="preserve">19</w:t>
            </w:r>
          </w:p>
        </w:tc>
        <w:tc>
          <w:p>
            <w:pPr>
              <w:pStyle w:val="Compact"/>
              <w:jc w:val="right"/>
            </w:pPr>
            <w:r>
              <w:t xml:space="preserve">43.930</w:t>
            </w:r>
          </w:p>
        </w:tc>
        <w:tc>
          <w:p>
            <w:pPr>
              <w:pStyle w:val="Compact"/>
              <w:jc w:val="right"/>
            </w:pPr>
            <w:r>
              <w:t xml:space="preserve">4.235</w:t>
            </w:r>
          </w:p>
        </w:tc>
      </w:tr>
      <w:tr>
        <w:tc>
          <w:p>
            <w:pPr>
              <w:pStyle w:val="Compact"/>
              <w:jc w:val="left"/>
            </w:pPr>
            <w:r>
              <w:t xml:space="preserve">Montpellier_France</w:t>
            </w:r>
          </w:p>
        </w:tc>
        <w:tc>
          <w:p>
            <w:pPr>
              <w:pStyle w:val="Compact"/>
              <w:jc w:val="left"/>
            </w:pPr>
            <w:r>
              <w:t xml:space="preserve">France</w:t>
            </w:r>
          </w:p>
        </w:tc>
        <w:tc>
          <w:p>
            <w:pPr>
              <w:pStyle w:val="Compact"/>
              <w:jc w:val="right"/>
            </w:pPr>
            <w:r>
              <w:t xml:space="preserve">36</w:t>
            </w:r>
          </w:p>
        </w:tc>
        <w:tc>
          <w:p>
            <w:pPr>
              <w:pStyle w:val="Compact"/>
              <w:jc w:val="right"/>
            </w:pPr>
            <w:r>
              <w:t xml:space="preserve">43.098</w:t>
            </w:r>
          </w:p>
        </w:tc>
        <w:tc>
          <w:p>
            <w:pPr>
              <w:pStyle w:val="Compact"/>
              <w:jc w:val="right"/>
            </w:pPr>
            <w:r>
              <w:t xml:space="preserve">3.569</w:t>
            </w:r>
          </w:p>
        </w:tc>
      </w:tr>
      <w:tr>
        <w:tc>
          <w:p>
            <w:pPr>
              <w:pStyle w:val="Compact"/>
              <w:jc w:val="left"/>
            </w:pPr>
            <w:r>
              <w:t xml:space="preserve">Antwerp_Belgium</w:t>
            </w:r>
          </w:p>
        </w:tc>
        <w:tc>
          <w:p>
            <w:pPr>
              <w:pStyle w:val="Compact"/>
              <w:jc w:val="left"/>
            </w:pPr>
            <w:r>
              <w:t xml:space="preserve">Belgium</w:t>
            </w:r>
          </w:p>
        </w:tc>
        <w:tc>
          <w:p>
            <w:pPr>
              <w:pStyle w:val="Compact"/>
              <w:jc w:val="right"/>
            </w:pPr>
            <w:r>
              <w:t xml:space="preserve">15</w:t>
            </w:r>
          </w:p>
        </w:tc>
        <w:tc>
          <w:p>
            <w:pPr>
              <w:pStyle w:val="Compact"/>
              <w:jc w:val="right"/>
            </w:pPr>
            <w:r>
              <w:t xml:space="preserve">51.226</w:t>
            </w:r>
          </w:p>
        </w:tc>
        <w:tc>
          <w:p>
            <w:pPr>
              <w:pStyle w:val="Compact"/>
              <w:jc w:val="right"/>
            </w:pPr>
            <w:r>
              <w:t xml:space="preserve">4.390</w:t>
            </w:r>
          </w:p>
        </w:tc>
      </w:tr>
      <w:tr>
        <w:tc>
          <w:p>
            <w:pPr>
              <w:pStyle w:val="Compact"/>
              <w:jc w:val="left"/>
            </w:pPr>
            <w:r>
              <w:t xml:space="preserve">Westerheide</w:t>
            </w:r>
          </w:p>
        </w:tc>
        <w:tc>
          <w:p>
            <w:pPr>
              <w:pStyle w:val="Compact"/>
              <w:jc w:val="left"/>
            </w:pPr>
            <w:r>
              <w:t xml:space="preserve">Netherlands</w:t>
            </w:r>
          </w:p>
        </w:tc>
        <w:tc>
          <w:p>
            <w:pPr>
              <w:pStyle w:val="Compact"/>
              <w:jc w:val="right"/>
            </w:pPr>
            <w:r>
              <w:t xml:space="preserve">50</w:t>
            </w:r>
          </w:p>
        </w:tc>
        <w:tc>
          <w:p>
            <w:pPr>
              <w:pStyle w:val="Compact"/>
              <w:jc w:val="right"/>
            </w:pPr>
            <w:r>
              <w:t xml:space="preserve">52.250</w:t>
            </w:r>
          </w:p>
        </w:tc>
        <w:tc>
          <w:p>
            <w:pPr>
              <w:pStyle w:val="Compact"/>
              <w:jc w:val="right"/>
            </w:pPr>
            <w:r>
              <w:t xml:space="preserve">5.190</w:t>
            </w:r>
          </w:p>
        </w:tc>
      </w:tr>
      <w:tr>
        <w:tc>
          <w:p>
            <w:pPr>
              <w:pStyle w:val="Compact"/>
              <w:jc w:val="left"/>
            </w:pPr>
            <w:r>
              <w:t xml:space="preserve">Vlieland_NL</w:t>
            </w:r>
          </w:p>
        </w:tc>
        <w:tc>
          <w:p>
            <w:pPr>
              <w:pStyle w:val="Compact"/>
              <w:jc w:val="left"/>
            </w:pPr>
            <w:r>
              <w:t xml:space="preserve">Netherlands (Vlieland)</w:t>
            </w:r>
          </w:p>
        </w:tc>
        <w:tc>
          <w:p>
            <w:pPr>
              <w:pStyle w:val="Compact"/>
              <w:jc w:val="right"/>
            </w:pPr>
            <w:r>
              <w:t xml:space="preserve">15</w:t>
            </w:r>
          </w:p>
        </w:tc>
        <w:tc>
          <w:p>
            <w:pPr>
              <w:pStyle w:val="Compact"/>
              <w:jc w:val="right"/>
            </w:pPr>
            <w:r>
              <w:t xml:space="preserve">53.238</w:t>
            </w:r>
          </w:p>
        </w:tc>
        <w:tc>
          <w:p>
            <w:pPr>
              <w:pStyle w:val="Compact"/>
              <w:jc w:val="right"/>
            </w:pPr>
            <w:r>
              <w:t xml:space="preserve">4.932</w:t>
            </w:r>
          </w:p>
        </w:tc>
      </w:tr>
      <w:tr>
        <w:tc>
          <w:p>
            <w:pPr>
              <w:pStyle w:val="Compact"/>
              <w:jc w:val="left"/>
            </w:pPr>
            <w:r>
              <w:t xml:space="preserve">Zurich_Switzerland</w:t>
            </w:r>
          </w:p>
        </w:tc>
        <w:tc>
          <w:p>
            <w:pPr>
              <w:pStyle w:val="Compact"/>
              <w:jc w:val="left"/>
            </w:pPr>
            <w:r>
              <w:t xml:space="preserve">Switzerland</w:t>
            </w:r>
          </w:p>
        </w:tc>
        <w:tc>
          <w:p>
            <w:pPr>
              <w:pStyle w:val="Compact"/>
              <w:jc w:val="right"/>
            </w:pPr>
            <w:r>
              <w:t xml:space="preserve">22</w:t>
            </w:r>
          </w:p>
        </w:tc>
        <w:tc>
          <w:p>
            <w:pPr>
              <w:pStyle w:val="Compact"/>
              <w:jc w:val="right"/>
            </w:pPr>
            <w:r>
              <w:t xml:space="preserve">47.383</w:t>
            </w:r>
          </w:p>
        </w:tc>
        <w:tc>
          <w:p>
            <w:pPr>
              <w:pStyle w:val="Compact"/>
              <w:jc w:val="right"/>
            </w:pPr>
            <w:r>
              <w:t xml:space="preserve">8.523</w:t>
            </w:r>
          </w:p>
        </w:tc>
      </w:tr>
      <w:tr>
        <w:tc>
          <w:p>
            <w:pPr>
              <w:pStyle w:val="Compact"/>
              <w:jc w:val="left"/>
            </w:pPr>
            <w:r>
              <w:t xml:space="preserve">Radolfzell_Germany</w:t>
            </w:r>
          </w:p>
        </w:tc>
        <w:tc>
          <w:p>
            <w:pPr>
              <w:pStyle w:val="Compact"/>
              <w:jc w:val="left"/>
            </w:pPr>
            <w:r>
              <w:t xml:space="preserve">Germany</w:t>
            </w:r>
          </w:p>
        </w:tc>
        <w:tc>
          <w:p>
            <w:pPr>
              <w:pStyle w:val="Compact"/>
              <w:jc w:val="right"/>
            </w:pPr>
            <w:r>
              <w:t xml:space="preserve">18</w:t>
            </w:r>
          </w:p>
        </w:tc>
        <w:tc>
          <w:p>
            <w:pPr>
              <w:pStyle w:val="Compact"/>
              <w:jc w:val="right"/>
            </w:pPr>
            <w:r>
              <w:t xml:space="preserve">47.759</w:t>
            </w:r>
          </w:p>
        </w:tc>
        <w:tc>
          <w:p>
            <w:pPr>
              <w:pStyle w:val="Compact"/>
              <w:jc w:val="right"/>
            </w:pPr>
            <w:r>
              <w:t xml:space="preserve">8.957</w:t>
            </w:r>
          </w:p>
        </w:tc>
      </w:tr>
      <w:tr>
        <w:tc>
          <w:p>
            <w:pPr>
              <w:pStyle w:val="Compact"/>
              <w:jc w:val="left"/>
            </w:pPr>
            <w:r>
              <w:t xml:space="preserve">Seewisen_Germany</w:t>
            </w:r>
          </w:p>
        </w:tc>
        <w:tc>
          <w:p>
            <w:pPr>
              <w:pStyle w:val="Compact"/>
              <w:jc w:val="left"/>
            </w:pPr>
            <w:r>
              <w:t xml:space="preserve">Germany</w:t>
            </w:r>
          </w:p>
        </w:tc>
        <w:tc>
          <w:p>
            <w:pPr>
              <w:pStyle w:val="Compact"/>
              <w:jc w:val="right"/>
            </w:pPr>
            <w:r>
              <w:t xml:space="preserve">30</w:t>
            </w:r>
          </w:p>
        </w:tc>
        <w:tc>
          <w:p>
            <w:pPr>
              <w:pStyle w:val="Compact"/>
              <w:jc w:val="right"/>
            </w:pPr>
            <w:r>
              <w:t xml:space="preserve">47.978</w:t>
            </w:r>
          </w:p>
        </w:tc>
        <w:tc>
          <w:p>
            <w:pPr>
              <w:pStyle w:val="Compact"/>
              <w:jc w:val="right"/>
            </w:pPr>
            <w:r>
              <w:t xml:space="preserve">11.233</w:t>
            </w:r>
          </w:p>
        </w:tc>
      </w:tr>
      <w:tr>
        <w:tc>
          <w:p>
            <w:pPr>
              <w:pStyle w:val="Compact"/>
              <w:jc w:val="left"/>
            </w:pPr>
            <w:r>
              <w:t xml:space="preserve">Pirio_Muro_Corsica</w:t>
            </w:r>
          </w:p>
        </w:tc>
        <w:tc>
          <w:p>
            <w:pPr>
              <w:pStyle w:val="Compact"/>
              <w:jc w:val="left"/>
            </w:pPr>
            <w:r>
              <w:t xml:space="preserve">Corsica</w:t>
            </w:r>
          </w:p>
        </w:tc>
        <w:tc>
          <w:p>
            <w:pPr>
              <w:pStyle w:val="Compact"/>
              <w:jc w:val="right"/>
            </w:pPr>
            <w:r>
              <w:t xml:space="preserve">27</w:t>
            </w:r>
          </w:p>
        </w:tc>
        <w:tc>
          <w:p>
            <w:pPr>
              <w:pStyle w:val="Compact"/>
              <w:jc w:val="right"/>
            </w:pPr>
            <w:r>
              <w:t xml:space="preserve">42.110</w:t>
            </w:r>
          </w:p>
        </w:tc>
        <w:tc>
          <w:p>
            <w:pPr>
              <w:pStyle w:val="Compact"/>
              <w:jc w:val="right"/>
            </w:pPr>
            <w:r>
              <w:t xml:space="preserve">9.104</w:t>
            </w:r>
          </w:p>
        </w:tc>
      </w:tr>
      <w:tr>
        <w:tc>
          <w:p>
            <w:pPr>
              <w:pStyle w:val="Compact"/>
              <w:jc w:val="left"/>
            </w:pPr>
            <w:r>
              <w:t xml:space="preserve">Sardinia</w:t>
            </w:r>
          </w:p>
        </w:tc>
        <w:tc>
          <w:p>
            <w:pPr>
              <w:pStyle w:val="Compact"/>
              <w:jc w:val="left"/>
            </w:pPr>
            <w:r>
              <w:t xml:space="preserve">Sardinia</w:t>
            </w:r>
          </w:p>
        </w:tc>
        <w:tc>
          <w:p>
            <w:pPr>
              <w:pStyle w:val="Compact"/>
              <w:jc w:val="right"/>
            </w:pPr>
            <w:r>
              <w:t xml:space="preserve">9</w:t>
            </w:r>
          </w:p>
        </w:tc>
        <w:tc>
          <w:p>
            <w:pPr>
              <w:pStyle w:val="Compact"/>
              <w:jc w:val="right"/>
            </w:pPr>
            <w:r>
              <w:t xml:space="preserve">40.056</w:t>
            </w:r>
          </w:p>
        </w:tc>
        <w:tc>
          <w:p>
            <w:pPr>
              <w:pStyle w:val="Compact"/>
              <w:jc w:val="right"/>
            </w:pPr>
            <w:r>
              <w:t xml:space="preserve">9.025</w:t>
            </w:r>
          </w:p>
        </w:tc>
      </w:tr>
      <w:tr>
        <w:tc>
          <w:p>
            <w:pPr>
              <w:pStyle w:val="Compact"/>
              <w:jc w:val="left"/>
            </w:pPr>
            <w:r>
              <w:t xml:space="preserve">Italy</w:t>
            </w:r>
          </w:p>
        </w:tc>
        <w:tc>
          <w:p>
            <w:pPr>
              <w:pStyle w:val="Compact"/>
              <w:jc w:val="left"/>
            </w:pPr>
            <w:r>
              <w:t xml:space="preserve">Italy</w:t>
            </w:r>
          </w:p>
        </w:tc>
        <w:tc>
          <w:p>
            <w:pPr>
              <w:pStyle w:val="Compact"/>
              <w:jc w:val="right"/>
            </w:pPr>
            <w:r>
              <w:t xml:space="preserve">13</w:t>
            </w:r>
          </w:p>
        </w:tc>
        <w:tc>
          <w:p>
            <w:pPr>
              <w:pStyle w:val="Compact"/>
              <w:jc w:val="right"/>
            </w:pPr>
            <w:r>
              <w:t xml:space="preserve">42.386</w:t>
            </w:r>
          </w:p>
        </w:tc>
        <w:tc>
          <w:p>
            <w:pPr>
              <w:pStyle w:val="Compact"/>
              <w:jc w:val="right"/>
            </w:pPr>
            <w:r>
              <w:t xml:space="preserve">13.354</w:t>
            </w:r>
          </w:p>
        </w:tc>
      </w:tr>
      <w:tr>
        <w:tc>
          <w:p>
            <w:pPr>
              <w:pStyle w:val="Compact"/>
              <w:jc w:val="left"/>
            </w:pPr>
            <w:r>
              <w:t xml:space="preserve">Vienna_Austria</w:t>
            </w:r>
          </w:p>
        </w:tc>
        <w:tc>
          <w:p>
            <w:pPr>
              <w:pStyle w:val="Compact"/>
              <w:jc w:val="left"/>
            </w:pPr>
            <w:r>
              <w:t xml:space="preserve">Austria</w:t>
            </w:r>
          </w:p>
        </w:tc>
        <w:tc>
          <w:p>
            <w:pPr>
              <w:pStyle w:val="Compact"/>
              <w:jc w:val="right"/>
            </w:pPr>
            <w:r>
              <w:t xml:space="preserve">27</w:t>
            </w:r>
          </w:p>
        </w:tc>
        <w:tc>
          <w:p>
            <w:pPr>
              <w:pStyle w:val="Compact"/>
              <w:jc w:val="right"/>
            </w:pPr>
            <w:r>
              <w:t xml:space="preserve">48.239</w:t>
            </w:r>
          </w:p>
        </w:tc>
        <w:tc>
          <w:p>
            <w:pPr>
              <w:pStyle w:val="Compact"/>
              <w:jc w:val="right"/>
            </w:pPr>
            <w:r>
              <w:t xml:space="preserve">16.347</w:t>
            </w:r>
          </w:p>
        </w:tc>
      </w:tr>
      <w:tr>
        <w:tc>
          <w:p>
            <w:pPr>
              <w:pStyle w:val="Compact"/>
              <w:jc w:val="left"/>
            </w:pPr>
            <w:r>
              <w:t xml:space="preserve">Velky_Kosir_Czech_Republic</w:t>
            </w:r>
          </w:p>
        </w:tc>
        <w:tc>
          <w:p>
            <w:pPr>
              <w:pStyle w:val="Compact"/>
              <w:jc w:val="left"/>
            </w:pPr>
            <w:r>
              <w:t xml:space="preserve">Czech Republic</w:t>
            </w:r>
          </w:p>
        </w:tc>
        <w:tc>
          <w:p>
            <w:pPr>
              <w:pStyle w:val="Compact"/>
              <w:jc w:val="right"/>
            </w:pPr>
            <w:r>
              <w:t xml:space="preserve">22</w:t>
            </w:r>
          </w:p>
        </w:tc>
        <w:tc>
          <w:p>
            <w:pPr>
              <w:pStyle w:val="Compact"/>
              <w:jc w:val="right"/>
            </w:pPr>
            <w:r>
              <w:t xml:space="preserve">49.547</w:t>
            </w:r>
          </w:p>
        </w:tc>
        <w:tc>
          <w:p>
            <w:pPr>
              <w:pStyle w:val="Compact"/>
              <w:jc w:val="right"/>
            </w:pPr>
            <w:r>
              <w:t xml:space="preserve">17.062</w:t>
            </w:r>
          </w:p>
        </w:tc>
      </w:tr>
      <w:tr>
        <w:tc>
          <w:p>
            <w:pPr>
              <w:pStyle w:val="Compact"/>
              <w:jc w:val="left"/>
            </w:pPr>
            <w:r>
              <w:t xml:space="preserve">Pilis_Mountains_Hungary</w:t>
            </w:r>
          </w:p>
        </w:tc>
        <w:tc>
          <w:p>
            <w:pPr>
              <w:pStyle w:val="Compact"/>
              <w:jc w:val="left"/>
            </w:pPr>
            <w:r>
              <w:t xml:space="preserve">Hungary</w:t>
            </w:r>
          </w:p>
        </w:tc>
        <w:tc>
          <w:p>
            <w:pPr>
              <w:pStyle w:val="Compact"/>
              <w:jc w:val="right"/>
            </w:pPr>
            <w:r>
              <w:t xml:space="preserve">28</w:t>
            </w:r>
          </w:p>
        </w:tc>
        <w:tc>
          <w:p>
            <w:pPr>
              <w:pStyle w:val="Compact"/>
              <w:jc w:val="right"/>
            </w:pPr>
            <w:r>
              <w:t xml:space="preserve">47.733</w:t>
            </w:r>
          </w:p>
        </w:tc>
        <w:tc>
          <w:p>
            <w:pPr>
              <w:pStyle w:val="Compact"/>
              <w:jc w:val="right"/>
            </w:pPr>
            <w:r>
              <w:t xml:space="preserve">18.917</w:t>
            </w:r>
          </w:p>
        </w:tc>
      </w:tr>
      <w:tr>
        <w:tc>
          <w:p>
            <w:pPr>
              <w:pStyle w:val="Compact"/>
              <w:jc w:val="left"/>
            </w:pPr>
            <w:r>
              <w:t xml:space="preserve">Gotland_Sweden</w:t>
            </w:r>
          </w:p>
        </w:tc>
        <w:tc>
          <w:p>
            <w:pPr>
              <w:pStyle w:val="Compact"/>
              <w:jc w:val="left"/>
            </w:pPr>
            <w:r>
              <w:t xml:space="preserve">Sweden</w:t>
            </w:r>
          </w:p>
        </w:tc>
        <w:tc>
          <w:p>
            <w:pPr>
              <w:pStyle w:val="Compact"/>
              <w:jc w:val="right"/>
            </w:pPr>
            <w:r>
              <w:t xml:space="preserve">32</w:t>
            </w:r>
          </w:p>
        </w:tc>
        <w:tc>
          <w:p>
            <w:pPr>
              <w:pStyle w:val="Compact"/>
              <w:jc w:val="right"/>
            </w:pPr>
            <w:r>
              <w:t xml:space="preserve">57.504</w:t>
            </w:r>
          </w:p>
        </w:tc>
        <w:tc>
          <w:p>
            <w:pPr>
              <w:pStyle w:val="Compact"/>
              <w:jc w:val="right"/>
            </w:pPr>
            <w:r>
              <w:t xml:space="preserve">18.466</w:t>
            </w:r>
          </w:p>
        </w:tc>
      </w:tr>
      <w:tr>
        <w:tc>
          <w:p>
            <w:pPr>
              <w:pStyle w:val="Compact"/>
              <w:jc w:val="left"/>
            </w:pPr>
            <w:r>
              <w:t xml:space="preserve">Harjavalta_Finland</w:t>
            </w:r>
          </w:p>
        </w:tc>
        <w:tc>
          <w:p>
            <w:pPr>
              <w:pStyle w:val="Compact"/>
              <w:jc w:val="left"/>
            </w:pPr>
            <w:r>
              <w:t xml:space="preserve">Finland</w:t>
            </w:r>
          </w:p>
        </w:tc>
        <w:tc>
          <w:p>
            <w:pPr>
              <w:pStyle w:val="Compact"/>
              <w:jc w:val="right"/>
            </w:pPr>
            <w:r>
              <w:t xml:space="preserve">44</w:t>
            </w:r>
          </w:p>
        </w:tc>
        <w:tc>
          <w:p>
            <w:pPr>
              <w:pStyle w:val="Compact"/>
              <w:jc w:val="right"/>
            </w:pPr>
            <w:r>
              <w:t xml:space="preserve">61.314</w:t>
            </w:r>
          </w:p>
        </w:tc>
        <w:tc>
          <w:p>
            <w:pPr>
              <w:pStyle w:val="Compact"/>
              <w:jc w:val="right"/>
            </w:pPr>
            <w:r>
              <w:t xml:space="preserve">22.139</w:t>
            </w:r>
          </w:p>
        </w:tc>
      </w:tr>
      <w:tr>
        <w:tc>
          <w:p>
            <w:pPr>
              <w:pStyle w:val="Compact"/>
              <w:jc w:val="left"/>
            </w:pPr>
            <w:r>
              <w:t xml:space="preserve">Oulu_Finland</w:t>
            </w:r>
          </w:p>
        </w:tc>
        <w:tc>
          <w:p>
            <w:pPr>
              <w:pStyle w:val="Compact"/>
              <w:jc w:val="left"/>
            </w:pPr>
            <w:r>
              <w:t xml:space="preserve">Finland</w:t>
            </w:r>
          </w:p>
        </w:tc>
        <w:tc>
          <w:p>
            <w:pPr>
              <w:pStyle w:val="Compact"/>
              <w:jc w:val="right"/>
            </w:pPr>
            <w:r>
              <w:t xml:space="preserve">29</w:t>
            </w:r>
          </w:p>
        </w:tc>
        <w:tc>
          <w:p>
            <w:pPr>
              <w:pStyle w:val="Compact"/>
              <w:jc w:val="right"/>
            </w:pPr>
            <w:r>
              <w:t xml:space="preserve">65.013</w:t>
            </w:r>
          </w:p>
        </w:tc>
        <w:tc>
          <w:p>
            <w:pPr>
              <w:pStyle w:val="Compact"/>
              <w:jc w:val="right"/>
            </w:pPr>
            <w:r>
              <w:t xml:space="preserve">25.468</w:t>
            </w:r>
          </w:p>
        </w:tc>
      </w:tr>
      <w:tr>
        <w:tc>
          <w:p>
            <w:pPr>
              <w:pStyle w:val="Compact"/>
              <w:jc w:val="left"/>
            </w:pPr>
            <w:r>
              <w:t xml:space="preserve">Tartu_Estonia</w:t>
            </w:r>
          </w:p>
        </w:tc>
        <w:tc>
          <w:p>
            <w:pPr>
              <w:pStyle w:val="Compact"/>
              <w:jc w:val="left"/>
            </w:pPr>
            <w:r>
              <w:t xml:space="preserve">Estonia</w:t>
            </w:r>
          </w:p>
        </w:tc>
        <w:tc>
          <w:p>
            <w:pPr>
              <w:pStyle w:val="Compact"/>
              <w:jc w:val="right"/>
            </w:pPr>
            <w:r>
              <w:t xml:space="preserve">32</w:t>
            </w:r>
          </w:p>
        </w:tc>
        <w:tc>
          <w:p>
            <w:pPr>
              <w:pStyle w:val="Compact"/>
              <w:jc w:val="right"/>
            </w:pPr>
            <w:r>
              <w:t xml:space="preserve">58.375</w:t>
            </w:r>
          </w:p>
        </w:tc>
        <w:tc>
          <w:p>
            <w:pPr>
              <w:pStyle w:val="Compact"/>
              <w:jc w:val="right"/>
            </w:pPr>
            <w:r>
              <w:t xml:space="preserve">26.739</w:t>
            </w:r>
          </w:p>
        </w:tc>
      </w:tr>
      <w:tr>
        <w:tc>
          <w:p>
            <w:pPr>
              <w:pStyle w:val="Compact"/>
              <w:jc w:val="left"/>
            </w:pPr>
            <w:r>
              <w:t xml:space="preserve">Crete</w:t>
            </w:r>
          </w:p>
        </w:tc>
        <w:tc>
          <w:p>
            <w:pPr>
              <w:pStyle w:val="Compact"/>
              <w:jc w:val="left"/>
            </w:pPr>
            <w:r>
              <w:t xml:space="preserve">Crete</w:t>
            </w:r>
          </w:p>
        </w:tc>
        <w:tc>
          <w:p>
            <w:pPr>
              <w:pStyle w:val="Compact"/>
              <w:jc w:val="right"/>
            </w:pPr>
            <w:r>
              <w:t xml:space="preserve">4</w:t>
            </w:r>
          </w:p>
        </w:tc>
        <w:tc>
          <w:p>
            <w:pPr>
              <w:pStyle w:val="Compact"/>
              <w:jc w:val="right"/>
            </w:pPr>
            <w:r>
              <w:t xml:space="preserve">35.183</w:t>
            </w:r>
          </w:p>
        </w:tc>
        <w:tc>
          <w:p>
            <w:pPr>
              <w:pStyle w:val="Compact"/>
              <w:jc w:val="right"/>
            </w:pPr>
            <w:r>
              <w:t xml:space="preserve">24.960</w:t>
            </w:r>
          </w:p>
        </w:tc>
      </w:tr>
      <w:tr>
        <w:tc>
          <w:p>
            <w:pPr>
              <w:pStyle w:val="Compact"/>
              <w:jc w:val="left"/>
            </w:pPr>
            <w:r>
              <w:t xml:space="preserve">Bulgaria</w:t>
            </w:r>
          </w:p>
        </w:tc>
        <w:tc>
          <w:p>
            <w:pPr>
              <w:pStyle w:val="Compact"/>
              <w:jc w:val="left"/>
            </w:pPr>
            <w:r>
              <w:t xml:space="preserve">Balkans</w:t>
            </w:r>
          </w:p>
        </w:tc>
        <w:tc>
          <w:p>
            <w:pPr>
              <w:pStyle w:val="Compact"/>
              <w:jc w:val="right"/>
            </w:pPr>
            <w:r>
              <w:t xml:space="preserve">3</w:t>
            </w:r>
          </w:p>
        </w:tc>
        <w:tc>
          <w:p>
            <w:pPr>
              <w:pStyle w:val="Compact"/>
              <w:jc w:val="right"/>
            </w:pPr>
            <w:r>
              <w:t xml:space="preserve">42.852</w:t>
            </w:r>
          </w:p>
        </w:tc>
        <w:tc>
          <w:p>
            <w:pPr>
              <w:pStyle w:val="Compact"/>
              <w:jc w:val="right"/>
            </w:pPr>
            <w:r>
              <w:t xml:space="preserve">24.986</w:t>
            </w:r>
          </w:p>
        </w:tc>
      </w:tr>
      <w:tr>
        <w:tc>
          <w:p>
            <w:pPr>
              <w:pStyle w:val="Compact"/>
              <w:jc w:val="left"/>
            </w:pPr>
            <w:r>
              <w:t xml:space="preserve">Romania</w:t>
            </w:r>
          </w:p>
        </w:tc>
        <w:tc>
          <w:p>
            <w:pPr>
              <w:pStyle w:val="Compact"/>
              <w:jc w:val="left"/>
            </w:pPr>
            <w:r>
              <w:t xml:space="preserve">Balkans</w:t>
            </w:r>
          </w:p>
        </w:tc>
        <w:tc>
          <w:p>
            <w:pPr>
              <w:pStyle w:val="Compact"/>
              <w:jc w:val="right"/>
            </w:pPr>
            <w:r>
              <w:t xml:space="preserve">7</w:t>
            </w:r>
          </w:p>
        </w:tc>
        <w:tc>
          <w:p>
            <w:pPr>
              <w:pStyle w:val="Compact"/>
              <w:jc w:val="right"/>
            </w:pPr>
            <w:r>
              <w:t xml:space="preserve">46.497</w:t>
            </w:r>
          </w:p>
        </w:tc>
        <w:tc>
          <w:p>
            <w:pPr>
              <w:pStyle w:val="Compact"/>
              <w:jc w:val="right"/>
            </w:pPr>
            <w:r>
              <w:t xml:space="preserve">24.582</w:t>
            </w:r>
          </w:p>
        </w:tc>
      </w:tr>
      <w:tr>
        <w:tc>
          <w:p>
            <w:pPr>
              <w:pStyle w:val="Compact"/>
              <w:jc w:val="left"/>
            </w:pPr>
            <w:r>
              <w:t xml:space="preserve">Turkey</w:t>
            </w:r>
          </w:p>
        </w:tc>
        <w:tc>
          <w:p>
            <w:pPr>
              <w:pStyle w:val="Compact"/>
              <w:jc w:val="left"/>
            </w:pPr>
            <w:r>
              <w:t xml:space="preserve">Turkey</w:t>
            </w:r>
          </w:p>
        </w:tc>
        <w:tc>
          <w:p>
            <w:pPr>
              <w:pStyle w:val="Compact"/>
              <w:jc w:val="right"/>
            </w:pPr>
            <w:r>
              <w:t xml:space="preserve">11</w:t>
            </w:r>
          </w:p>
        </w:tc>
        <w:tc>
          <w:p>
            <w:pPr>
              <w:pStyle w:val="Compact"/>
              <w:jc w:val="right"/>
            </w:pPr>
            <w:r>
              <w:t xml:space="preserve">39.464</w:t>
            </w:r>
          </w:p>
        </w:tc>
        <w:tc>
          <w:p>
            <w:pPr>
              <w:pStyle w:val="Compact"/>
              <w:jc w:val="right"/>
            </w:pPr>
            <w:r>
              <w:t xml:space="preserve">34.797</w:t>
            </w:r>
          </w:p>
        </w:tc>
      </w:tr>
      <w:tr>
        <w:tc>
          <w:p>
            <w:pPr>
              <w:pStyle w:val="Compact"/>
              <w:jc w:val="left"/>
            </w:pPr>
            <w:r>
              <w:t xml:space="preserve">Zvenigorod_Russia</w:t>
            </w:r>
          </w:p>
        </w:tc>
        <w:tc>
          <w:p>
            <w:pPr>
              <w:pStyle w:val="Compact"/>
              <w:jc w:val="left"/>
            </w:pPr>
            <w:r>
              <w:t xml:space="preserve">Russia</w:t>
            </w:r>
          </w:p>
        </w:tc>
        <w:tc>
          <w:p>
            <w:pPr>
              <w:pStyle w:val="Compact"/>
              <w:jc w:val="right"/>
            </w:pPr>
            <w:r>
              <w:t xml:space="preserve">17</w:t>
            </w:r>
          </w:p>
        </w:tc>
        <w:tc>
          <w:p>
            <w:pPr>
              <w:pStyle w:val="Compact"/>
              <w:jc w:val="right"/>
            </w:pPr>
            <w:r>
              <w:t xml:space="preserve">55.738</w:t>
            </w:r>
          </w:p>
        </w:tc>
        <w:tc>
          <w:p>
            <w:pPr>
              <w:pStyle w:val="Compact"/>
              <w:jc w:val="right"/>
            </w:pPr>
            <w:r>
              <w:t xml:space="preserve">36.857</w:t>
            </w:r>
          </w:p>
        </w:tc>
      </w:tr>
      <w:tr>
        <w:tc>
          <w:p>
            <w:pPr>
              <w:pStyle w:val="Compact"/>
              <w:jc w:val="left"/>
            </w:pPr>
          </w:p>
        </w:tc>
        <w:tc>
          <w:p>
            <w:pStyle w:val="Compact"/>
          </w:p>
        </w:tc>
        <w:tc>
          <w:p>
            <w:pStyle w:val="Compact"/>
          </w:p>
        </w:tc>
        <w:tc>
          <w:p>
            <w:pStyle w:val="Compact"/>
          </w:p>
        </w:tc>
        <w:tc>
          <w:p>
            <w:pStyle w:val="Compact"/>
          </w:p>
        </w:tc>
      </w:tr>
    </w:tbl>
    <w:p>
      <w:pPr>
        <w:pStyle w:val="Heading2"/>
      </w:pPr>
      <w:bookmarkStart w:id="34" w:name="figure-legends"/>
      <w:bookmarkEnd w:id="34"/>
      <w:r>
        <w:t xml:space="preserve">Figure legends</w:t>
      </w:r>
    </w:p>
    <w:p>
      <w:pPr>
        <w:pStyle w:val="FirstParagraph"/>
      </w:pPr>
      <w:r>
        <w:rPr>
          <w:b/>
        </w:rPr>
        <w:t xml:space="preserve">Figure 1</w:t>
      </w:r>
      <w:r>
        <w:t xml:space="preserve"> </w:t>
      </w:r>
      <w:r>
        <w:t xml:space="preserve">Sampling locations, heterozygosity</w:t>
      </w:r>
    </w:p>
    <w:p>
      <w:pPr>
        <w:pStyle w:val="BodyText"/>
      </w:pPr>
      <w:r>
        <w:rPr>
          <w:b/>
        </w:rPr>
        <w:t xml:space="preserve">Figure 2</w:t>
      </w:r>
      <w:r>
        <w:t xml:space="preserve"> </w:t>
      </w:r>
      <w:r>
        <w:t xml:space="preserve">Population structure in European Great tit populations.</w:t>
      </w:r>
      <w:r>
        <w:t xml:space="preserve"> </w:t>
      </w:r>
      <w:r>
        <w:rPr>
          <w:b/>
        </w:rPr>
        <w:t xml:space="preserve">A</w:t>
      </w:r>
      <w:r>
        <w:t xml:space="preserve"> </w:t>
      </w:r>
      <w:r>
        <w:t xml:space="preserve">Pairwise</w:t>
      </w:r>
      <w:r>
        <w:t xml:space="preserve"> </w:t>
      </w:r>
      <m:oMath>
        <m:sSub>
          <m:e>
            <m:r>
              <m:t>F</m:t>
            </m:r>
          </m:e>
          <m:sub>
            <m:r>
              <m:t>S</m:t>
            </m:r>
            <m:r>
              <m:t>T</m:t>
            </m:r>
          </m:sub>
        </m:sSub>
      </m:oMath>
      <w:r>
        <w:t xml:space="preserve"> </w:t>
      </w:r>
      <w:r>
        <w:t xml:space="preserve">between all European populations in relation to pairwise geographic distance;</w:t>
      </w:r>
      <w:r>
        <w:t xml:space="preserve"> </w:t>
      </w:r>
      <w:r>
        <w:rPr>
          <w:b/>
        </w:rPr>
        <w:t xml:space="preserve">B</w:t>
      </w:r>
      <w:r>
        <w:t xml:space="preserve"> </w:t>
      </w:r>
      <w:r>
        <w:t xml:space="preserve">pairwise</w:t>
      </w:r>
      <w:r>
        <w:t xml:space="preserve"> </w:t>
      </w:r>
      <m:oMath>
        <m:sSub>
          <m:e>
            <m:r>
              <m:t>F</m:t>
            </m:r>
          </m:e>
          <m:sub>
            <m:r>
              <m:t>S</m:t>
            </m:r>
            <m:r>
              <m:t>T</m:t>
            </m:r>
          </m:sub>
        </m:sSub>
      </m:oMath>
      <w:r>
        <w:t xml:space="preserve"> </w:t>
      </w:r>
      <w:r>
        <w:t xml:space="preserve">between a proposed refugial population in Turkey and all other populations, in relation to geographic distance from the refugia. Blue points in</w:t>
      </w:r>
      <w:r>
        <w:t xml:space="preserve"> </w:t>
      </w:r>
      <w:r>
        <w:rPr>
          <w:b/>
        </w:rPr>
        <w:t xml:space="preserve">A</w:t>
      </w:r>
      <w:r>
        <w:t xml:space="preserve"> </w:t>
      </w:r>
      <w:r>
        <w:t xml:space="preserve">and</w:t>
      </w:r>
      <w:r>
        <w:t xml:space="preserve"> </w:t>
      </w:r>
      <w:r>
        <w:rPr>
          <w:b/>
        </w:rPr>
        <w:t xml:space="preserve">B</w:t>
      </w:r>
      <w:r>
        <w:t xml:space="preserve"> </w:t>
      </w:r>
      <w:r>
        <w:t xml:space="preserve">are comparisons involving the island populations of Corsica, Sardinia and Crete, while grey points represent all other comparisons.</w:t>
      </w:r>
      <w:r>
        <w:t xml:space="preserve"> </w:t>
      </w:r>
      <w:r>
        <w:rPr>
          <w:b/>
        </w:rPr>
        <w:t xml:space="preserve">C,D</w:t>
      </w:r>
      <w:r>
        <w:t xml:space="preserve"> </w:t>
      </w:r>
      <w:r>
        <w:t xml:space="preserve">Output from admixture analysis at</w:t>
      </w:r>
      <w:r>
        <w:t xml:space="preserve"> </w:t>
      </w:r>
      <m:oMath>
        <m:r>
          <m:t>K</m:t>
        </m:r>
      </m:oMath>
      <w:r>
        <w:t xml:space="preserve"> </w:t>
      </w:r>
      <w:r>
        <w:t xml:space="preserve">= 3, (</w:t>
      </w:r>
      <w:r>
        <w:rPr>
          <w:b/>
        </w:rPr>
        <w:t xml:space="preserve">C</w:t>
      </w:r>
      <w:r>
        <w:t xml:space="preserve">) and</w:t>
      </w:r>
      <w:r>
        <w:t xml:space="preserve"> </w:t>
      </w:r>
      <m:oMath>
        <m:r>
          <m:t>K</m:t>
        </m:r>
      </m:oMath>
      <w:r>
        <w:t xml:space="preserve"> </w:t>
      </w:r>
      <w:r>
        <w:t xml:space="preserve">= 8 (</w:t>
      </w:r>
      <w:r>
        <w:rPr>
          <w:b/>
        </w:rPr>
        <w:t xml:space="preserve">D</w:t>
      </w:r>
      <w:r>
        <w:t xml:space="preserve">).</w:t>
      </w:r>
    </w:p>
    <w:p>
      <w:pPr>
        <w:pStyle w:val="BodyText"/>
      </w:pPr>
      <w:r>
        <w:rPr>
          <w:b/>
        </w:rPr>
        <w:t xml:space="preserve">Figure 3</w:t>
      </w:r>
      <w:r>
        <w:t xml:space="preserve"> </w:t>
      </w:r>
      <w:r>
        <w:t xml:space="preserve">Maximum likelihood tree inferred by Treemix, allowing ten migration events. Migrations events (arrows) are coloured according to their weight (red = higher migration), and horizontal branch lengths are proportional to the amount of genetic drift that has occurred along the branch.</w:t>
      </w:r>
    </w:p>
    <w:p>
      <w:pPr>
        <w:pStyle w:val="BodyText"/>
      </w:pPr>
    </w:p>
    <w:p>
      <w:pPr>
        <w:pStyle w:val="BodyText"/>
      </w:pPr>
      <w:r>
        <w:rPr>
          <w:b/>
        </w:rPr>
        <w:t xml:space="preserve">Figure 1</w:t>
      </w:r>
    </w:p>
    <w:p>
      <w:pPr>
        <w:pStyle w:val="BodyText"/>
      </w:pPr>
      <w:r>
        <w:drawing>
          <wp:inline>
            <wp:extent cx="5334000" cy="2667000"/>
            <wp:effectExtent b="0" l="0" r="0" t="0"/>
            <wp:docPr descr="" id="1" name="Picture"/>
            <a:graphic>
              <a:graphicData uri="http://schemas.openxmlformats.org/drawingml/2006/picture">
                <pic:pic>
                  <pic:nvPicPr>
                    <pic:cNvPr descr="SpurginBosse_Hapmap_MS_files/figure-docx/Figure%201-1.png" id="0" name="Picture"/>
                    <pic:cNvPicPr>
                      <a:picLocks noChangeArrowheads="1" noChangeAspect="1"/>
                    </pic:cNvPicPr>
                  </pic:nvPicPr>
                  <pic:blipFill>
                    <a:blip r:embed="rId35"/>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p>
    <w:p>
      <w:pPr>
        <w:pStyle w:val="BodyText"/>
      </w:pPr>
      <w:r>
        <w:rPr>
          <w:b/>
        </w:rPr>
        <w:t xml:space="preserve">Figure 2</w:t>
      </w:r>
    </w:p>
    <w:p>
      <w:pPr>
        <w:pStyle w:val="BodyText"/>
      </w:pPr>
      <w:r>
        <w:drawing>
          <wp:inline>
            <wp:extent cx="5334000" cy="8890000"/>
            <wp:effectExtent b="0" l="0" r="0" t="0"/>
            <wp:docPr descr="" id="1" name="Picture"/>
            <a:graphic>
              <a:graphicData uri="http://schemas.openxmlformats.org/drawingml/2006/picture">
                <pic:pic>
                  <pic:nvPicPr>
                    <pic:cNvPr descr="SpurginBosse_Hapmap_MS_files/figure-docx/Figure%202-1.png" id="0" name="Picture"/>
                    <pic:cNvPicPr>
                      <a:picLocks noChangeArrowheads="1" noChangeAspect="1"/>
                    </pic:cNvPicPr>
                  </pic:nvPicPr>
                  <pic:blipFill>
                    <a:blip r:embed="rId36"/>
                    <a:stretch>
                      <a:fillRect/>
                    </a:stretch>
                  </pic:blipFill>
                  <pic:spPr bwMode="auto">
                    <a:xfrm>
                      <a:off x="0" y="0"/>
                      <a:ext cx="5334000" cy="8890000"/>
                    </a:xfrm>
                    <a:prstGeom prst="rect">
                      <a:avLst/>
                    </a:prstGeom>
                    <a:noFill/>
                    <a:ln w="9525">
                      <a:noFill/>
                      <a:headEnd/>
                      <a:tailEnd/>
                    </a:ln>
                  </pic:spPr>
                </pic:pic>
              </a:graphicData>
            </a:graphic>
          </wp:inline>
        </w:drawing>
      </w:r>
    </w:p>
    <w:p>
      <w:pPr>
        <w:pStyle w:val="BodyText"/>
      </w:pPr>
      <w:r>
        <w:rPr>
          <w:b/>
        </w:rPr>
        <w:t xml:space="preserve">Figure 3</w:t>
      </w:r>
    </w:p>
    <w:p>
      <w:pPr>
        <w:pStyle w:val="BodyText"/>
      </w:pPr>
      <w:r>
        <w:drawing>
          <wp:inline>
            <wp:extent cx="5334000" cy="5334000"/>
            <wp:effectExtent b="0" l="0" r="0" t="0"/>
            <wp:docPr descr="" id="1" name="Picture"/>
            <a:graphic>
              <a:graphicData uri="http://schemas.openxmlformats.org/drawingml/2006/picture">
                <pic:pic>
                  <pic:nvPicPr>
                    <pic:cNvPr descr="SpurginBosse_Hapmap_MS_files/figure-docx/Figure%203-1.png" id="0" name="Picture"/>
                    <pic:cNvPicPr>
                      <a:picLocks noChangeArrowheads="1" noChangeAspect="1"/>
                    </pic:cNvPicPr>
                  </pic:nvPicPr>
                  <pic:blipFill>
                    <a:blip r:embed="rId37"/>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rPr>
        <w:t xml:space="preserve">Figure 4</w:t>
      </w:r>
      <w:r>
        <w:t xml:space="preserve"> </w:t>
      </w:r>
      <w:r>
        <w:drawing>
          <wp:inline>
            <wp:extent cx="5334000" cy="4000500"/>
            <wp:effectExtent b="0" l="0" r="0" t="0"/>
            <wp:docPr descr="" id="1" name="Picture"/>
            <a:graphic>
              <a:graphicData uri="http://schemas.openxmlformats.org/drawingml/2006/picture">
                <pic:pic>
                  <pic:nvPicPr>
                    <pic:cNvPr descr="SpurginBosse_Hapmap_MS_files/figure-docx/Figure%204-1.png" id="0" name="Picture"/>
                    <pic:cNvPicPr>
                      <a:picLocks noChangeArrowheads="1" noChangeAspect="1"/>
                    </pic:cNvPicPr>
                  </pic:nvPicPr>
                  <pic:blipFill>
                    <a:blip r:embed="rId38"/>
                    <a:stretch>
                      <a:fillRect/>
                    </a:stretch>
                  </pic:blipFill>
                  <pic:spPr bwMode="auto">
                    <a:xfrm>
                      <a:off x="0" y="0"/>
                      <a:ext cx="5334000" cy="4000500"/>
                    </a:xfrm>
                    <a:prstGeom prst="rect">
                      <a:avLst/>
                    </a:prstGeom>
                    <a:noFill/>
                    <a:ln w="9525">
                      <a:noFill/>
                      <a:headEnd/>
                      <a:tailEnd/>
                    </a:ln>
                  </pic:spPr>
                </pic:pic>
              </a:graphicData>
            </a:graphic>
          </wp:inline>
        </w:drawing>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d2878a12"/>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num w:numId="1">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35" Target="media/rId35.png" /><Relationship Type="http://schemas.openxmlformats.org/officeDocument/2006/relationships/image" Id="rId36" Target="media/rId36.png" /><Relationship Type="http://schemas.openxmlformats.org/officeDocument/2006/relationships/image" Id="rId37" Target="media/rId37.png" /><Relationship Type="http://schemas.openxmlformats.org/officeDocument/2006/relationships/image" Id="rId38" Target="media/rId38.png" /><Relationship Type="http://schemas.openxmlformats.org/officeDocument/2006/relationships/hyperlink" Id="rId22" Target="mailto:j.slate@sheffield.ac.uk" TargetMode="External" /></Relationships>
</file>

<file path=word/_rels/footnotes.xml.rels><?xml version="1.0" encoding="UTF-8"?>
<Relationships xmlns="http://schemas.openxmlformats.org/package/2006/relationships"><Relationship Type="http://schemas.openxmlformats.org/officeDocument/2006/relationships/hyperlink" Id="rId22" Target="mailto:j.slate@sheffield.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terms:created xsi:type="dcterms:W3CDTF">2017-08-07T16:28:18Z</dcterms:created>
  <dcterms:modified xsi:type="dcterms:W3CDTF">2017-08-07T16:28:18Z</dcterms:modified>
</cp:coreProperties>
</file>