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pPr>
        <w:pStyle w:val="Heading2"/>
      </w:pPr>
      <w:r>
        <w:t xml:space="preserve">Regional summary</w:t>
      </w:r>
    </w:p>
    <w:p>
      <w:r>
        <w:t xml:space="preserve">Plain </w:t>
      </w:r>
      <w:r>
        <w:rPr>
          <w:b/>
        </w:rPr>
        <w:t xml:space="preserve">bold</w:t>
      </w:r>
      <w:r>
        <w:t xml:space="preserve"> </w:t>
      </w:r>
      <w:r>
        <w:rPr>
          <w:i/>
        </w:rPr>
        <w:t xml:space="preserve">italic</w:t>
      </w:r>
      <w:r>
        <w:t xml:space="preserve"> </w:t>
      </w:r>
      <w:r>
        <w:rPr>
          <w:u w:val="single"/>
        </w:rPr>
        <w:t xml:space="preserve">underlined</w:t>
      </w:r>
      <w:r>
        <w:t xml:space="preserve"> </w:t>
      </w:r>
      <w:r>
        <w:rPr>
          <w:strike/>
        </w:rPr>
        <w:t xml:space="preserve">struck</w:t>
      </w:r>
      <w:r>
        <w:t xml:space="preserve"> and A &amp; B &lt; C.</w:t>
      </w:r>
    </w:p>
    <w:p>
      <w:pPr>
        <w:pStyle w:val="Quote"/>
      </w:pPr>
      <w:r>
        <w:t xml:space="preserve">Growth held steady.</w:t>
      </w:r>
    </w:p>
    <w:p>
      <w:pPr>
        <w:numPr>
          <w:ilvl w:val="0"/>
          <w:numId w:val="1"/>
        </w:numPr>
      </w:pPr>
      <w:r>
        <w:t xml:space="preserve">First bullet</w:t>
      </w:r>
    </w:p>
    <w:p>
      <w:pPr>
        <w:numPr>
          <w:ilvl w:val="1"/>
          <w:numId w:val="1"/>
        </w:numPr>
      </w:pPr>
      <w:r>
        <w:t xml:space="preserve">Nested bullet</w:t>
      </w:r>
    </w:p>
    <w:p>
      <w:pPr>
        <w:numPr>
          <w:ilvl w:val="0"/>
          <w:numId w:val="2"/>
        </w:numPr>
      </w:pPr>
      <w:r>
        <w:t xml:space="preserve">First step</w:t>
      </w:r>
    </w:p>
    <w:p>
      <w:pPr>
        <w:numPr>
          <w:ilvl w:val="0"/>
          <w:numId w:val="2"/>
        </w:numPr>
      </w:pPr>
      <w:r>
        <w:t xml:space="preserve">Second step</w:t>
      </w:r>
    </w:p>
    <w:tbl>
      <w:tblPr/>
      <w:tblGrid>
        <w:gridCol w:w="4000"/>
        <w:gridCol w:w="4000"/>
      </w:tblGrid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Total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42</w:t>
            </w:r>
          </w:p>
        </w:tc>
      </w:tr>
      <w:tr>
        <w:tc>
          <w:tcPr/>
          <w:p>
            <w:r>
              <w:t xml:space="preserve">South</w:t>
            </w:r>
          </w:p>
        </w:tc>
        <w:tc>
          <w:tcPr/>
          <w:p>
            <w:r>
              <w:t xml:space="preserve">17</w:t>
            </w:r>
          </w:p>
        </w:tc>
      </w:tr>
    </w:tbl>
    <w:p>
      <w:r>
        <w:t>Line one</w:t>
        <w:br/>
        <w:t>line two</w:t>
      </w:r>
    </w:p>
    <w:p>
      <w:r>
        <w:drawing>
          <w:inline/>
        </w:drawing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lvlJc w:val="left"/>
    </w:lvl>
    <w:lvl w:ilvl="1">
      <w:start w:val="1"/>
      <w:numFmt w:val="bullet"/>
      <w:lvlText w:val="%2."/>
      <w:lvlJc w:val="left"/>
    </w:lvl>
    <w:lvl w:ilvl="2">
      <w:start w:val="1"/>
      <w:numFmt w:val="bullet"/>
      <w:lvlText w:val="%3."/>
      <w:lvlJc w:val="left"/>
    </w:lvl>
  </w:abstractNum>
  <w:abstractNum w:abstractNumId="1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