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/>
      </w:pPr>
      <w:r>
        <w:rPr>
          <w:rFonts w:ascii="Calibri" w:hAnsi="Calibri"/>
          <w:b/>
          <w:i w:val="false"/>
          <w:color w:val="1A365D"/>
          <w:sz w:val="44"/>
        </w:rPr>
        <w:t>Propuesta de Asesoría Integral en IA: Producción y Publicación de Manual Académico</w:t>
      </w:r>
      <w:r>
        <w:rPr>
          <w:rFonts w:ascii="Calibri" w:hAnsi="Calibri"/>
          <w:b w:val="false"/>
          <w:i/>
          <w:color w:val="4A5568"/>
          <w:sz w:val="24"/>
        </w:rPr>
        <w:br/>
        <w:t>Fronteria.co : Consultoría Estratégica de Sistemas e Inteligencia Artificial</w:t>
      </w:r>
    </w:p>
    <w:p>
      <w:pPr>
        <w:pStyle w:val="Normal"/>
        <w:keepNext w:val="true"/>
        <w:pBdr>
          <w:bottom w:val="single" w:sz="6" w:space="4" w:color="A0AEC0"/>
        </w:pBdr>
        <w:spacing w:before="360" w:after="160"/>
        <w:rPr/>
      </w:pPr>
      <w:r>
        <w:rPr>
          <w:rFonts w:ascii="Calibri" w:hAnsi="Calibri"/>
          <w:b/>
          <w:i w:val="false"/>
          <w:color w:val="1A365D"/>
          <w:sz w:val="28"/>
        </w:rPr>
        <w:t>1. Arquitectura del Libro: De Word a un Sistema Modular</w:t>
      </w:r>
    </w:p>
    <w:p>
      <w:pPr>
        <w:pStyle w:val="Normal"/>
        <w:spacing w:lineRule="auto" w:line="276" w:before="0" w:after="120"/>
        <w:rPr/>
      </w:pPr>
      <w:r>
        <w:rPr>
          <w:rFonts w:ascii="Calibri" w:hAnsi="Calibri"/>
          <w:b w:val="false"/>
          <w:i w:val="false"/>
          <w:color w:val="2D3748"/>
          <w:sz w:val="22"/>
        </w:rPr>
        <w:t>El formato actual (un solo archivo de Word) genera inestabilidad latente, desconfiguración de estilos y serias dificultades para actualizaciones concurrentes. Propongo reestructurar el manuscrito bajo el concepto arquitectónico de Documento Maestro y Capítulos Independientes (directorios atómicos).</w:t>
      </w:r>
    </w:p>
    <w:p>
      <w:pPr>
        <w:pStyle w:val="Normal"/>
        <w:spacing w:before="120" w:after="120"/>
        <w:ind w:left="288"/>
        <w:rPr/>
      </w:pPr>
      <w:r>
        <w:rPr>
          <w:rFonts w:ascii="Consolas" w:hAnsi="Consolas"/>
          <w:b w:val="false"/>
          <w:i w:val="false"/>
          <w:color w:val="4A5568"/>
          <w:sz w:val="19"/>
        </w:rPr>
        <w:t xml:space="preserve">📁 </w:t>
      </w:r>
      <w:r>
        <w:rPr>
          <w:rFonts w:ascii="Consolas" w:hAnsi="Consolas"/>
          <w:b w:val="false"/>
          <w:i w:val="false"/>
          <w:color w:val="4A5568"/>
          <w:sz w:val="19"/>
        </w:rPr>
        <w:t>MANUAL_COMERCIO_EXTERIOR/</w:t>
        <w:br/>
        <w:t>│</w:t>
        <w:br/>
        <w:t>├── 📄 DOCUMENTO_MAESTRO (Une de forma dinámica todo al exportar)</w:t>
        <w:br/>
        <w:t>├── 📁 01_Introduccion_Contexto/</w:t>
        <w:br/>
        <w:t>│   └── 📄 Cap_01_Teorias_y_Evolucion.docx</w:t>
        <w:br/>
        <w:t>├── 📁 02_Gestion_Aduanera/</w:t>
        <w:br/>
        <w:t>│   └── 📄 Cap_02_Procesos_Ecuapass_RUT.docx</w:t>
        <w:br/>
        <w:t>├── 📁 03_Tablas_y_Anexos/</w:t>
        <w:br/>
        <w:t>│   ├── 📊 Matriz_Incoterms_2020.xlsx</w:t>
        <w:br/>
        <w:t>│   └── 📁 Imagenes_Flujogramas/</w:t>
        <w:br/>
        <w:t>└── 📁 04_Formatos_Exportacion/</w:t>
        <w:br/>
        <w:t xml:space="preserve">    ├── 📄 Manual_Version_Digital.epub</w:t>
        <w:br/>
        <w:t xml:space="preserve">    └── 📄 Manual_Version_Impresa.pdf</w:t>
      </w:r>
    </w:p>
    <w:p>
      <w:pPr>
        <w:pStyle w:val="Normal"/>
        <w:spacing w:lineRule="auto" w:line="276" w:before="0" w:after="120"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Beneficio Estratégico: </w:t>
      </w:r>
      <w:r>
        <w:rPr>
          <w:rFonts w:ascii="Calibri" w:hAnsi="Calibri"/>
          <w:b w:val="false"/>
          <w:i w:val="false"/>
          <w:color w:val="2D3748"/>
          <w:sz w:val="22"/>
        </w:rPr>
        <w:t>Esta segregación modular mitiga completamente el riesgo operativo: permite modificar de forma aislada la lógica normativa o aduanera de un capítulo técnico específico sin alterar el diseño global, la paginación ni comprometer la integridad tipográfica de los capítulos restantes.</w:t>
      </w:r>
    </w:p>
    <w:p>
      <w:pPr>
        <w:pStyle w:val="Normal"/>
        <w:keepNext w:val="true"/>
        <w:pBdr>
          <w:bottom w:val="single" w:sz="6" w:space="4" w:color="A0AEC0"/>
        </w:pBdr>
        <w:spacing w:before="360" w:after="160"/>
        <w:rPr/>
      </w:pPr>
      <w:r>
        <w:rPr>
          <w:rFonts w:ascii="Calibri" w:hAnsi="Calibri"/>
          <w:b/>
          <w:i w:val="false"/>
          <w:color w:val="1A365D"/>
          <w:sz w:val="28"/>
        </w:rPr>
        <w:t>2. Componentes Académicos y Estructura Formal</w:t>
      </w:r>
    </w:p>
    <w:p>
      <w:pPr>
        <w:pStyle w:val="Normal"/>
        <w:spacing w:lineRule="auto" w:line="276" w:before="0" w:after="120"/>
        <w:rPr/>
      </w:pPr>
      <w:r>
        <w:rPr>
          <w:rFonts w:ascii="Calibri" w:hAnsi="Calibri"/>
          <w:b w:val="false"/>
          <w:i w:val="false"/>
          <w:color w:val="2D3748"/>
          <w:sz w:val="22"/>
        </w:rPr>
        <w:t>Para transformar el documento actual en un manual universitario riguroso que proyecte la solidez técnica de la organización, implementaremos componentes estructurales avanzados totalmente automatizados: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Tabla de Contenido Dinámica: </w:t>
      </w:r>
      <w:r>
        <w:rPr>
          <w:rFonts w:ascii="Calibri" w:hAnsi="Calibri"/>
          <w:b w:val="false"/>
          <w:i w:val="false"/>
          <w:color w:val="2D3748"/>
          <w:sz w:val="22"/>
        </w:rPr>
        <w:t>Vinculada jerárquicamente al documento maestro. Cualquier reordenamiento de subcapítulos se refleja al instante sin reescritura manual.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Índice Analítico o Alfabético: </w:t>
      </w:r>
      <w:r>
        <w:rPr>
          <w:rFonts w:ascii="Calibri" w:hAnsi="Calibri"/>
          <w:b w:val="false"/>
          <w:i w:val="false"/>
          <w:color w:val="2D3748"/>
          <w:sz w:val="22"/>
        </w:rPr>
        <w:t>Un glosario de términos técnicos indexados (ej. Ecuapass, Incoterms, Aranceles) al final de la obra para facilitar la consulta rápida de los estudiantes.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Índice de Figuras y Tablas: </w:t>
      </w:r>
      <w:r>
        <w:rPr>
          <w:rFonts w:ascii="Calibri" w:hAnsi="Calibri"/>
          <w:b w:val="false"/>
          <w:i w:val="false"/>
          <w:color w:val="2D3748"/>
          <w:sz w:val="22"/>
        </w:rPr>
        <w:t>Un registro formal al inicio del manual que enumera cronológicamente flujogramas logísticos, mapas de procesos y matrices de datos aduaneros.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Notas al Pie de Página y Citas Automatizadas: </w:t>
      </w:r>
      <w:r>
        <w:rPr>
          <w:rFonts w:ascii="Calibri" w:hAnsi="Calibri"/>
          <w:b w:val="false"/>
          <w:i w:val="false"/>
          <w:color w:val="2D3748"/>
          <w:sz w:val="22"/>
        </w:rPr>
        <w:t>Estructuración de referencias bibliográficas y normativas legales bajo el estándar APA 7ma edición, otorgando el debido peso académico y blindaje de propiedad intelectual.</w:t>
      </w:r>
    </w:p>
    <w:p>
      <w:pPr>
        <w:pStyle w:val="Normal"/>
        <w:keepNext w:val="true"/>
        <w:pBdr>
          <w:bottom w:val="single" w:sz="6" w:space="4" w:color="A0AEC0"/>
        </w:pBdr>
        <w:spacing w:before="360" w:after="160"/>
        <w:rPr/>
      </w:pPr>
      <w:r>
        <w:rPr>
          <w:rFonts w:ascii="Calibri" w:hAnsi="Calibri"/>
          <w:b/>
          <w:i w:val="false"/>
          <w:color w:val="1A365D"/>
          <w:sz w:val="28"/>
        </w:rPr>
        <w:t>3. Ecosistema de Inteligencia Artificial Propuesto</w:t>
      </w:r>
    </w:p>
    <w:p>
      <w:pPr>
        <w:pStyle w:val="Normal"/>
        <w:spacing w:lineRule="auto" w:line="276" w:before="0" w:after="120"/>
        <w:rPr/>
      </w:pPr>
      <w:r>
        <w:rPr>
          <w:rFonts w:ascii="Calibri" w:hAnsi="Calibri"/>
          <w:b w:val="false"/>
          <w:i w:val="false"/>
          <w:color w:val="2D3748"/>
          <w:sz w:val="22"/>
        </w:rPr>
        <w:t>Para maximizar la eficiencia de esta obra y sentar las bases tecnológicas para futuros proyectos editoriales, implementaremos una infraestructura de IA en dos niveles diferenciados:</w:t>
      </w:r>
    </w:p>
    <w:p>
      <w:pPr>
        <w:pStyle w:val="Normal"/>
        <w:keepNext w:val="true"/>
        <w:spacing w:before="240" w:after="80"/>
        <w:rPr/>
      </w:pPr>
      <w:r>
        <w:rPr>
          <w:rFonts w:ascii="Calibri" w:hAnsi="Calibri"/>
          <w:b/>
          <w:i w:val="false"/>
          <w:color w:val="4A5568"/>
          <w:sz w:val="24"/>
        </w:rPr>
        <w:t xml:space="preserve">A. </w:t>
      </w:r>
      <w:r>
        <w:rPr>
          <w:rFonts w:ascii="Calibri" w:hAnsi="Calibri"/>
          <w:b/>
          <w:i w:val="false"/>
          <w:color w:val="4A5568"/>
          <w:sz w:val="24"/>
        </w:rPr>
        <w:t>IA General para revisión y fortalecimiento de contenido: Claude 3.5 Sonnet</w:t>
        <w:tab/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Style w:val="Strong"/>
          <w:rFonts w:ascii="Calibri" w:hAnsi="Calibri"/>
          <w:i w:val="false"/>
          <w:color w:val="2D3748"/>
          <w:sz w:val="22"/>
        </w:rPr>
        <w:t>Objetivo:</w:t>
      </w:r>
      <w:r>
        <w:rPr>
          <w:rFonts w:ascii="Calibri" w:hAnsi="Calibri"/>
          <w:b w:val="false"/>
          <w:i w:val="false"/>
          <w:color w:val="2D3748"/>
          <w:sz w:val="22"/>
        </w:rPr>
        <w:t xml:space="preserve"> Apoyar el proceso de revisión, actualización y mejora integral del manuscrito.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Style w:val="Strong"/>
          <w:rFonts w:ascii="Calibri" w:hAnsi="Calibri"/>
          <w:i w:val="false"/>
          <w:color w:val="2D3748"/>
          <w:sz w:val="22"/>
        </w:rPr>
        <w:t>Aplicación:</w:t>
      </w:r>
      <w:r>
        <w:rPr>
          <w:rFonts w:ascii="Calibri" w:hAnsi="Calibri"/>
          <w:b w:val="false"/>
          <w:i w:val="false"/>
          <w:color w:val="2D3748"/>
          <w:sz w:val="22"/>
        </w:rPr>
        <w:t xml:space="preserve"> Se utilizará como herramienta de apoyo editorial para revisar la redacción, mejorar la claridad de las ideas, fortalecer la estructura argumentativa y asegurar la coherencia entre capítulos. Su función principal será ayudar a transformar el contenido existente en un texto con un nivel académico y profesional más sólido, integrando adecuadamente la experiencia práctica del autor con los conceptos teóricos y normativos correspondientes. Durante este proceso se procurará conservar el estilo propio del autor, evitando modificaciones que alteren su forma de comunicar conocimientos y experiencias.</w:t>
      </w:r>
    </w:p>
    <w:p>
      <w:pPr>
        <w:pStyle w:val="Normal"/>
        <w:keepNext w:val="true"/>
        <w:spacing w:before="240" w:after="80"/>
        <w:rPr/>
      </w:pPr>
      <w:r>
        <w:rPr>
          <w:rFonts w:ascii="Calibri" w:hAnsi="Calibri"/>
          <w:b/>
          <w:i w:val="false"/>
          <w:color w:val="4A5568"/>
          <w:sz w:val="24"/>
        </w:rPr>
        <w:t>B. IA Especializada (Estructura y Compilación Avanzada): Scrivener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Misión: </w:t>
      </w:r>
      <w:r>
        <w:rPr>
          <w:rFonts w:ascii="Calibri" w:hAnsi="Calibri"/>
          <w:b w:val="false"/>
          <w:i w:val="false"/>
          <w:color w:val="2D3748"/>
          <w:sz w:val="22"/>
        </w:rPr>
        <w:t>Entorno integrado de desarrollo editorial.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Aplicación: </w:t>
      </w:r>
      <w:r>
        <w:rPr>
          <w:rFonts w:ascii="Calibri" w:hAnsi="Calibri"/>
          <w:b w:val="false"/>
          <w:i w:val="false"/>
          <w:color w:val="2D3748"/>
          <w:sz w:val="22"/>
        </w:rPr>
        <w:t>Se probará este software estándar de la industria para la gestión modular. Permitirá arrastrar y soltar subcapítulos, administrar las notas al pie en paneles de inspección independientes y compilar índices complejos con un solo clic. Esta implementación funcionará como un proyecto piloto escalable para la producción documental futura.</w:t>
      </w:r>
    </w:p>
    <w:p>
      <w:pPr>
        <w:pStyle w:val="Normal"/>
        <w:keepNext w:val="true"/>
        <w:pBdr>
          <w:bottom w:val="single" w:sz="6" w:space="4" w:color="A0AEC0"/>
        </w:pBdr>
        <w:spacing w:before="360" w:after="160"/>
        <w:rPr/>
      </w:pPr>
      <w:r>
        <w:rPr>
          <w:rFonts w:ascii="Calibri" w:hAnsi="Calibri"/>
          <w:b/>
          <w:i w:val="false"/>
          <w:color w:val="1A365D"/>
          <w:sz w:val="28"/>
        </w:rPr>
        <w:t>4. Flujo de Trabajo Colaborativo y Control de Versiones</w:t>
      </w:r>
    </w:p>
    <w:p>
      <w:pPr>
        <w:pStyle w:val="Normal"/>
        <w:spacing w:lineRule="auto" w:line="276" w:before="0" w:after="120"/>
        <w:rPr/>
      </w:pPr>
      <w:r>
        <w:rPr>
          <w:rFonts w:ascii="Calibri" w:hAnsi="Calibri"/>
          <w:b w:val="false"/>
          <w:i w:val="false"/>
          <w:color w:val="2D3748"/>
          <w:sz w:val="22"/>
        </w:rPr>
        <w:t>Con el fin de asegurar una coautoría fluida, transparente y libre de colisiones de datos, centralizaremos los entregables en entornos en la nube corporativa (Google Drive o OneDrive) bajo tres directrices operativas: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Principio de Congelamiento de Capítulos: </w:t>
      </w:r>
      <w:r>
        <w:rPr>
          <w:rFonts w:ascii="Calibri" w:hAnsi="Calibri"/>
          <w:b w:val="false"/>
          <w:i w:val="false"/>
          <w:color w:val="2D3748"/>
          <w:sz w:val="22"/>
        </w:rPr>
        <w:t>Se trabajará de forma secuencial y atómica. Mientras el consultor editan activamente un segmento (ej. Capítulo 2), el autor mantendrá acceso exclusivo de 'Sólo Lectura' para prevenir sobreescrituras.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Nomenclatura Estricta de Archivos: </w:t>
      </w:r>
      <w:r>
        <w:rPr>
          <w:rFonts w:ascii="Calibri" w:hAnsi="Calibri"/>
          <w:b w:val="false"/>
          <w:i w:val="false"/>
          <w:color w:val="2D3748"/>
          <w:sz w:val="22"/>
        </w:rPr>
        <w:t>Para garantizar la trazabilidad total, se implementará el siguiente versionamiento inequívoco:</w:t>
      </w:r>
    </w:p>
    <w:p>
      <w:pPr>
        <w:pStyle w:val="Normal"/>
        <w:spacing w:before="0" w:after="40"/>
        <w:ind w:left="576"/>
        <w:rPr/>
      </w:pPr>
      <w:r>
        <w:rPr>
          <w:rFonts w:ascii="Calibri" w:hAnsi="Calibri"/>
          <w:b w:val="false"/>
          <w:i w:val="false"/>
          <w:color w:val="2D3748"/>
          <w:sz w:val="21"/>
        </w:rPr>
        <w:t xml:space="preserve">•  </w:t>
      </w:r>
      <w:r>
        <w:rPr>
          <w:rFonts w:ascii="Calibri" w:hAnsi="Calibri"/>
          <w:b w:val="false"/>
          <w:i w:val="false"/>
          <w:color w:val="2D3748"/>
          <w:sz w:val="21"/>
        </w:rPr>
        <w:t>Cap_01_Regulaciones_V1.0_Borrador (Texto original crudo del autor)</w:t>
      </w:r>
    </w:p>
    <w:p>
      <w:pPr>
        <w:pStyle w:val="Normal"/>
        <w:spacing w:before="0" w:after="40"/>
        <w:ind w:left="576"/>
        <w:rPr/>
      </w:pPr>
      <w:r>
        <w:rPr>
          <w:rFonts w:ascii="Calibri" w:hAnsi="Calibri"/>
          <w:b w:val="false"/>
          <w:i w:val="false"/>
          <w:color w:val="2D3748"/>
          <w:sz w:val="21"/>
        </w:rPr>
        <w:t xml:space="preserve">•  </w:t>
      </w:r>
      <w:r>
        <w:rPr>
          <w:rFonts w:ascii="Calibri" w:hAnsi="Calibri"/>
          <w:b w:val="false"/>
          <w:i w:val="false"/>
          <w:color w:val="2D3748"/>
          <w:sz w:val="21"/>
        </w:rPr>
        <w:t>Cap_01_Regulaciones_V1.2_Revisado_IA (Optimizado por Claude en tono y estilo)</w:t>
      </w:r>
    </w:p>
    <w:p>
      <w:pPr>
        <w:pStyle w:val="Normal"/>
        <w:spacing w:before="0" w:after="80"/>
        <w:ind w:left="576"/>
        <w:rPr/>
      </w:pPr>
      <w:r>
        <w:rPr>
          <w:rFonts w:ascii="Calibri" w:hAnsi="Calibri"/>
          <w:b w:val="false"/>
          <w:i w:val="false"/>
          <w:color w:val="2D3748"/>
          <w:sz w:val="21"/>
        </w:rPr>
        <w:t xml:space="preserve">•  </w:t>
      </w:r>
      <w:r>
        <w:rPr>
          <w:rFonts w:ascii="Calibri" w:hAnsi="Calibri"/>
          <w:b w:val="false"/>
          <w:i w:val="false"/>
          <w:color w:val="2D3748"/>
          <w:sz w:val="21"/>
        </w:rPr>
        <w:t>Cap_01_Regulaciones_V2.0_APROBADO (Validado formalmente y congelado para el Maestro)</w:t>
      </w:r>
    </w:p>
    <w:p>
      <w:pPr>
        <w:pStyle w:val="Normal"/>
        <w:keepNext w:val="true"/>
        <w:pBdr>
          <w:bottom w:val="single" w:sz="6" w:space="4" w:color="A0AEC0"/>
        </w:pBdr>
        <w:spacing w:before="360" w:after="160"/>
        <w:rPr/>
      </w:pPr>
      <w:r>
        <w:rPr>
          <w:rFonts w:ascii="Calibri" w:hAnsi="Calibri"/>
          <w:b/>
          <w:i w:val="false"/>
          <w:color w:val="1A365D"/>
          <w:sz w:val="28"/>
        </w:rPr>
        <w:t>5. Plan de Publicación en Amazon KDP (Paso a Paso)</w:t>
      </w:r>
    </w:p>
    <w:p>
      <w:pPr>
        <w:pStyle w:val="Normal"/>
        <w:spacing w:lineRule="auto" w:line="276" w:before="0" w:after="120"/>
        <w:rPr/>
      </w:pPr>
      <w:r>
        <w:rPr>
          <w:rFonts w:ascii="Calibri" w:hAnsi="Calibri"/>
          <w:b w:val="false"/>
          <w:i w:val="false"/>
          <w:color w:val="2D3748"/>
          <w:sz w:val="22"/>
        </w:rPr>
        <w:t>Desplegaremos el manual en la plataforma global Amazon KDP para habilitar de inmediato los canales de venta digital (eBook) e impreso bajo demanda física (Paperback), eliminando costos fijos de stock o inversión en inventarios previos.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Fase 1: Adaptación Estricta de Formatos: </w:t>
      </w:r>
      <w:r>
        <w:rPr>
          <w:rFonts w:ascii="Calibri" w:hAnsi="Calibri"/>
          <w:b w:val="false"/>
          <w:i w:val="false"/>
          <w:color w:val="2D3748"/>
          <w:sz w:val="22"/>
        </w:rPr>
        <w:t>Generación de archivo fluido .EPUB para la correcta visualización del eBook en múltiples dispositivos. Paralelamente, maquetación de un PDF de alta resolución ajustado a tamaños académicos normalizados (6" x 9" o 7" x 10") calculando con precisión matemática los márgenes internos (gutters) para la encuadernación física.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Fase 2: Arquitectura Fiscal y Bancaria desde Colombia: </w:t>
      </w:r>
      <w:r>
        <w:rPr>
          <w:rFonts w:ascii="Calibri" w:hAnsi="Calibri"/>
          <w:b w:val="false"/>
          <w:i w:val="false"/>
          <w:color w:val="2D3748"/>
          <w:sz w:val="22"/>
        </w:rPr>
        <w:t>Configuración del Perfil Fiscal de la empresa utilizando el RUT/NIT para mitigar la doble retención transfronteriza. Apertura y enlace de una cuenta bancaria virtual norteamericana (vía Payoneer o Wise) que capturará de forma directa y mensual las regalías globales en dólares sin mínimos, facilitando la repatriación de capital al banco comercial local con comisiones mínimas.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Fase 3: Estructuración Financiera (Costos de Impresión y Retornos): </w:t>
      </w:r>
      <w:r>
        <w:rPr>
          <w:rFonts w:ascii="Calibri" w:hAnsi="Calibri"/>
          <w:b w:val="false"/>
          <w:i w:val="false"/>
          <w:color w:val="2D3748"/>
          <w:sz w:val="22"/>
        </w:rPr>
        <w:t>Amazon actúa como socio industrial, absorbiendo los costos de impresión bajo demanda directamente de las transacciones.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bottom w:val="single" w:sz="4" w:space="0" w:color="E2E8F0"/>
            </w:tcBorders>
            <w:shd w:fill="1A365D"/>
          </w:tcPr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ascii="Calibri" w:hAnsi="Calibri"/>
                <w:b/>
                <w:i w:val="false"/>
                <w:color w:val="FFFFFF"/>
                <w:sz w:val="21"/>
              </w:rPr>
              <w:t>Concepto Financiero</w:t>
            </w:r>
          </w:p>
        </w:tc>
        <w:tc>
          <w:tcPr>
            <w:tcW w:w="2340" w:type="dxa"/>
            <w:tcBorders>
              <w:bottom w:val="single" w:sz="4" w:space="0" w:color="E2E8F0"/>
            </w:tcBorders>
            <w:shd w:fill="1A365D"/>
          </w:tcPr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ascii="Calibri" w:hAnsi="Calibri"/>
                <w:b/>
                <w:i w:val="false"/>
                <w:color w:val="FFFFFF"/>
                <w:sz w:val="21"/>
              </w:rPr>
              <w:t>Monto / Tasa</w:t>
            </w:r>
          </w:p>
        </w:tc>
        <w:tc>
          <w:tcPr>
            <w:tcW w:w="2340" w:type="dxa"/>
            <w:tcBorders>
              <w:bottom w:val="single" w:sz="4" w:space="0" w:color="E2E8F0"/>
            </w:tcBorders>
            <w:shd w:fill="1A365D"/>
          </w:tcPr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ascii="Calibri" w:hAnsi="Calibri"/>
                <w:b/>
                <w:i w:val="false"/>
                <w:color w:val="FFFFFF"/>
                <w:sz w:val="21"/>
              </w:rPr>
              <w:t>Costo Impresión</w:t>
            </w:r>
          </w:p>
        </w:tc>
        <w:tc>
          <w:tcPr>
            <w:tcW w:w="2339" w:type="dxa"/>
            <w:tcBorders>
              <w:bottom w:val="single" w:sz="4" w:space="0" w:color="E2E8F0"/>
            </w:tcBorders>
            <w:shd w:fill="1A365D"/>
          </w:tcPr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ascii="Calibri" w:hAnsi="Calibri"/>
                <w:b/>
                <w:i w:val="false"/>
                <w:color w:val="FFFFFF"/>
                <w:sz w:val="21"/>
              </w:rPr>
              <w:t>Ganancia Neta (Royalty)</w:t>
            </w:r>
          </w:p>
        </w:tc>
      </w:tr>
      <w:tr>
        <w:trPr/>
        <w:tc>
          <w:tcPr>
            <w:tcW w:w="2340" w:type="dxa"/>
            <w:tcBorders>
              <w:bottom w:val="single" w:sz="4" w:space="0" w:color="E2E8F0"/>
            </w:tcBorders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ascii="Calibri" w:hAnsi="Calibri"/>
                <w:b/>
                <w:i w:val="false"/>
                <w:color w:val="2D3748"/>
                <w:sz w:val="20"/>
              </w:rPr>
              <w:t>Versión Digital (eBook)</w:t>
            </w:r>
          </w:p>
        </w:tc>
        <w:tc>
          <w:tcPr>
            <w:tcW w:w="2340" w:type="dxa"/>
            <w:tcBorders>
              <w:bottom w:val="single" w:sz="4" w:space="0" w:color="E2E8F0"/>
            </w:tcBorders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Calibri" w:hAnsi="Calibri"/>
                <w:b w:val="false"/>
                <w:i w:val="false"/>
                <w:color w:val="2D3748"/>
                <w:sz w:val="20"/>
              </w:rPr>
              <w:t>Precio Sug: $9.99 USD</w:t>
            </w:r>
          </w:p>
        </w:tc>
        <w:tc>
          <w:tcPr>
            <w:tcW w:w="2340" w:type="dxa"/>
            <w:tcBorders>
              <w:bottom w:val="single" w:sz="4" w:space="0" w:color="E2E8F0"/>
            </w:tcBorders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Calibri" w:hAnsi="Calibri"/>
                <w:b w:val="false"/>
                <w:i w:val="false"/>
                <w:color w:val="2D3748"/>
                <w:sz w:val="20"/>
              </w:rPr>
              <w:t>$0.00 USD (Digital)</w:t>
            </w:r>
          </w:p>
        </w:tc>
        <w:tc>
          <w:tcPr>
            <w:tcW w:w="2339" w:type="dxa"/>
            <w:tcBorders>
              <w:bottom w:val="single" w:sz="4" w:space="0" w:color="E2E8F0"/>
            </w:tcBorders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Calibri" w:hAnsi="Calibri"/>
                <w:b w:val="false"/>
                <w:i w:val="false"/>
                <w:color w:val="2D3748"/>
                <w:sz w:val="20"/>
              </w:rPr>
              <w:t>70% Net / $7.00 USD</w:t>
            </w:r>
          </w:p>
        </w:tc>
      </w:tr>
      <w:tr>
        <w:trPr/>
        <w:tc>
          <w:tcPr>
            <w:tcW w:w="2340" w:type="dxa"/>
            <w:tcBorders>
              <w:bottom w:val="single" w:sz="4" w:space="0" w:color="E2E8F0"/>
            </w:tcBorders>
            <w:shd w:fill="F7FAFC"/>
          </w:tcPr>
          <w:p>
            <w:pPr>
              <w:pStyle w:val="Normal"/>
              <w:spacing w:before="60" w:after="60"/>
              <w:jc w:val="left"/>
              <w:rPr/>
            </w:pPr>
            <w:r>
              <w:rPr>
                <w:rFonts w:ascii="Calibri" w:hAnsi="Calibri"/>
                <w:b/>
                <w:i w:val="false"/>
                <w:color w:val="2D3748"/>
                <w:sz w:val="20"/>
              </w:rPr>
              <w:t>Versión Impresa (Tapa Blanda)</w:t>
            </w:r>
          </w:p>
        </w:tc>
        <w:tc>
          <w:tcPr>
            <w:tcW w:w="2340" w:type="dxa"/>
            <w:tcBorders>
              <w:bottom w:val="single" w:sz="4" w:space="0" w:color="E2E8F0"/>
            </w:tcBorders>
            <w:shd w:fill="F7FAFC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Calibri" w:hAnsi="Calibri"/>
                <w:b w:val="false"/>
                <w:i w:val="false"/>
                <w:color w:val="2D3748"/>
                <w:sz w:val="20"/>
              </w:rPr>
              <w:t>Precio Sug: $20.00 USD</w:t>
            </w:r>
          </w:p>
        </w:tc>
        <w:tc>
          <w:tcPr>
            <w:tcW w:w="2340" w:type="dxa"/>
            <w:tcBorders>
              <w:bottom w:val="single" w:sz="4" w:space="0" w:color="E2E8F0"/>
            </w:tcBorders>
            <w:shd w:fill="F7FAFC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Calibri" w:hAnsi="Calibri"/>
                <w:b w:val="false"/>
                <w:i w:val="false"/>
                <w:color w:val="2D3748"/>
                <w:sz w:val="20"/>
              </w:rPr>
              <w:t>$4.00 USD (Est.)</w:t>
            </w:r>
          </w:p>
        </w:tc>
        <w:tc>
          <w:tcPr>
            <w:tcW w:w="2339" w:type="dxa"/>
            <w:tcBorders>
              <w:bottom w:val="single" w:sz="4" w:space="0" w:color="E2E8F0"/>
            </w:tcBorders>
            <w:shd w:fill="F7FAFC"/>
          </w:tcPr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ascii="Calibri" w:hAnsi="Calibri"/>
                <w:b w:val="false"/>
                <w:i w:val="false"/>
                <w:color w:val="2D3748"/>
                <w:sz w:val="20"/>
              </w:rPr>
              <w:t>60% Base - Impresión = $8.00 USD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keepNext w:val="true"/>
        <w:pBdr>
          <w:bottom w:val="single" w:sz="6" w:space="4" w:color="A0AEC0"/>
        </w:pBdr>
        <w:spacing w:before="360" w:after="160"/>
        <w:rPr/>
      </w:pPr>
      <w:r>
        <w:rPr>
          <w:rFonts w:ascii="Calibri" w:hAnsi="Calibri"/>
          <w:b/>
          <w:i w:val="false"/>
          <w:color w:val="1A365D"/>
          <w:sz w:val="28"/>
        </w:rPr>
        <w:t>6. Cronograma Ejecutivo de Implementación (4 Semanas)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Semana 1: Descompresión y Canales: </w:t>
      </w:r>
      <w:r>
        <w:rPr>
          <w:rFonts w:ascii="Calibri" w:hAnsi="Calibri"/>
          <w:b w:val="false"/>
          <w:i w:val="false"/>
          <w:color w:val="2D3748"/>
          <w:sz w:val="22"/>
        </w:rPr>
        <w:t>Migración completa del archivo Word monolítico al sistema modular estructurado. Simultáneamente, apertura formal y validación de la cuenta de Amazon KDP y pasarelas de pago virtuales.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Semana 2 y 3: Ingeniería Estructural e Inteligencia Artificial: </w:t>
      </w:r>
      <w:r>
        <w:rPr>
          <w:rFonts w:ascii="Calibri" w:hAnsi="Calibri"/>
          <w:b w:val="false"/>
          <w:i w:val="false"/>
          <w:color w:val="2D3748"/>
          <w:sz w:val="22"/>
        </w:rPr>
        <w:t>Inyección de contenido en Claude 3.5 Sonnet para optimización estilística por capítulos. Diseño, inserción y automatización técnica de tablas de datos, notas al pie e índices de figuras complejos.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Calibri" w:hAnsi="Calibri"/>
          <w:b/>
          <w:i w:val="false"/>
          <w:color w:val="2D3748"/>
          <w:sz w:val="22"/>
        </w:rPr>
        <w:t xml:space="preserve">Semana 4: Maquetación y Despliegue Global: </w:t>
      </w:r>
      <w:r>
        <w:rPr>
          <w:rFonts w:ascii="Calibri" w:hAnsi="Calibri"/>
          <w:b w:val="false"/>
          <w:i w:val="false"/>
          <w:color w:val="2D3748"/>
          <w:sz w:val="22"/>
        </w:rPr>
        <w:t>Pruebas de renderizado físico en el visualizador avanzado de Amazon, balance de márgenes, fijación estratégica de precios internacionales y publicación definitiva.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left w:val="single" w:sz="24" w:space="0" w:color="1A365D"/>
            </w:tcBorders>
            <w:shd w:fill="F7FAFC"/>
          </w:tcPr>
          <w:p>
            <w:pPr>
              <w:pStyle w:val="Normal"/>
              <w:spacing w:before="120" w:after="120"/>
              <w:ind w:left="144" w:right="144"/>
              <w:rPr/>
            </w:pPr>
            <w:r>
              <w:rPr>
                <w:rFonts w:ascii="Calibri" w:hAnsi="Calibri"/>
                <w:b/>
                <w:i w:val="false"/>
                <w:color w:val="2D3748"/>
                <w:sz w:val="21"/>
              </w:rPr>
              <w:t xml:space="preserve">Enfoque de Negocio: </w:t>
            </w:r>
            <w:r>
              <w:rPr>
                <w:rFonts w:ascii="Calibri" w:hAnsi="Calibri"/>
                <w:b w:val="false"/>
                <w:i/>
                <w:color w:val="2D3748"/>
                <w:sz w:val="21"/>
              </w:rPr>
              <w:t>Esta propuesta mitiga los costos tradicionales de edición e inventario físico mediante el uso de Inteligencia Artificial estratégica y Print-on-Demand. Posiciona de forma definitiva la marca del autor y su compañía como un referente de autoridad del Comercio Exterior a nivel académico universitario.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3</Pages>
  <Words>998</Words>
  <Characters>6218</Characters>
  <CharactersWithSpaces>7172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2026-05-28T18:43:45Z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