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0F172A"/>
          <w:sz w:val="44"/>
        </w:rPr>
        <w:t>LUCAS GÜIMIL</w:t>
      </w:r>
    </w:p>
    <w:p>
      <w:pPr>
        <w:spacing w:after="80"/>
        <w:jc w:val="center"/>
      </w:pPr>
      <w:r>
        <w:rPr>
          <w:b/>
          <w:color w:val="475569"/>
          <w:sz w:val="24"/>
        </w:rPr>
        <w:t>Software Developer | Backend &amp; AI Systems Developer</w:t>
      </w:r>
    </w:p>
    <w:p>
      <w:pPr>
        <w:spacing w:after="240"/>
        <w:jc w:val="center"/>
      </w:pPr>
      <w:r>
        <w:rPr>
          <w:color w:val="64748B"/>
          <w:sz w:val="19"/>
        </w:rPr>
        <w:t>Buenos Aires, Argentina · lucasfguimil00@gmail.com · linkedin.com/in/lucas-güimil-28bb22243 · Pasaporte UE en trámite</w:t>
      </w:r>
    </w:p>
    <w:p>
      <w:pPr>
        <w:keepNext/>
        <w:spacing w:before="280" w:after="80"/>
        <w:pBdr>
          <w:bottom w:val="single" w:sz="6" w:space="1" w:color="CCCCCC"/>
        </w:pBdr>
      </w:pPr>
      <w:r>
        <w:rPr>
          <w:b/>
          <w:color w:val="107855"/>
          <w:sz w:val="23"/>
        </w:rPr>
        <w:t>PERFIL PROFESIONAL</w:t>
      </w:r>
    </w:p>
    <w:p>
      <w:pPr>
        <w:spacing w:after="120" w:line="276" w:lineRule="auto"/>
      </w:pPr>
      <w:r>
        <w:t>Desarrollador de Software especializado en ingeniería Backend de alta criticidad y desarrollo de productos impulsados por agentes autónomos de Inteligencia Artificial. Sólida experiencia en diseño e implementación de arquitecturas de microservicios distribuidos, procesamiento de eventos transaccionales en tiempo real y consumo/exposición de APIs en el sector bancario y FinTech. Dominio de Node.js, NestJS, TypeScript, Java (Spring Boot), Python, Apache Kafka, Redis, Oracle DB, PostgreSQL, Docker y clústeres empresariales OpenShift / Google Cloud Platform (GCP). Enfoque riguroso en resiliencia, tolerancia a fallos, comprensión de lógica de negocio financiera y optimización de latencia en modelos de lenguaje (LLMs).</w:t>
      </w:r>
    </w:p>
    <w:p>
      <w:pPr>
        <w:keepNext/>
        <w:spacing w:before="280" w:after="80"/>
        <w:pBdr>
          <w:bottom w:val="single" w:sz="6" w:space="1" w:color="CCCCCC"/>
        </w:pBdr>
      </w:pPr>
      <w:r>
        <w:rPr>
          <w:b/>
          <w:color w:val="107855"/>
          <w:sz w:val="23"/>
        </w:rPr>
        <w:t>EXPERIENCIA LABORAL</w:t>
      </w:r>
    </w:p>
    <w:p>
      <w:pPr>
        <w:keepNext/>
        <w:spacing w:before="120" w:after="20"/>
      </w:pPr>
      <w:r>
        <w:rPr>
          <w:b/>
          <w:sz w:val="22"/>
        </w:rPr>
        <w:t>Desarrollo de Productos con Agentes de Inteligencia Artificial</w:t>
      </w:r>
    </w:p>
    <w:p>
      <w:pPr>
        <w:keepNext/>
        <w:spacing w:after="80"/>
      </w:pPr>
      <w:r>
        <w:rPr>
          <w:i/>
          <w:color w:val="475569"/>
          <w:sz w:val="19"/>
        </w:rPr>
        <w:t>Consultoría Global S.A. | Proyectos de Innovación · Septiembre 2026 — Presente · Buenos Aires, Argentina</w:t>
      </w:r>
    </w:p>
    <w:p>
      <w:pPr>
        <w:pStyle w:val="ListBullet"/>
        <w:spacing w:before="20" w:after="40" w:line="276" w:lineRule="auto"/>
      </w:pPr>
      <w:r>
        <w:rPr>
          <w:sz w:val="20"/>
        </w:rPr>
        <w:t>Diseño e implementación de arquitecturas orientadas a productos impulsados por agentes autónomos de Inteligencia Artificial (LLMs).</w:t>
      </w:r>
    </w:p>
    <w:p>
      <w:pPr>
        <w:pStyle w:val="ListBullet"/>
        <w:spacing w:before="20" w:after="40" w:line="276" w:lineRule="auto"/>
      </w:pPr>
      <w:r>
        <w:rPr>
          <w:sz w:val="20"/>
        </w:rPr>
        <w:t>Diseño de orquestadores multi-agente basados en grafos con memoria contextual persistente y ejecución paralela para automatización de flujos decisionales.</w:t>
      </w:r>
    </w:p>
    <w:p>
      <w:pPr>
        <w:pStyle w:val="ListBullet"/>
        <w:spacing w:before="20" w:after="40" w:line="276" w:lineRule="auto"/>
      </w:pPr>
      <w:r>
        <w:rPr>
          <w:sz w:val="20"/>
        </w:rPr>
        <w:t>Integración de Tool Calling determinístico con microservicios backend para ejecución segura de transacciones y consultas corporativas.</w:t>
      </w:r>
    </w:p>
    <w:p>
      <w:pPr>
        <w:pStyle w:val="ListBullet"/>
        <w:spacing w:before="20" w:after="40" w:line="276" w:lineRule="auto"/>
      </w:pPr>
      <w:r>
        <w:rPr>
          <w:sz w:val="20"/>
        </w:rPr>
        <w:t>Investigación, prototipado y benchmarking de latencia en modelos de lenguaje para entornos productivos con estrictos límites de cómputo.</w:t>
      </w:r>
    </w:p>
    <w:p>
      <w:pPr>
        <w:pStyle w:val="ListBullet"/>
        <w:spacing w:before="20" w:after="40" w:line="276" w:lineRule="auto"/>
      </w:pPr>
      <w:r>
        <w:rPr>
          <w:sz w:val="20"/>
        </w:rPr>
        <w:t>Implementación de guardrails y validaciones determinísticas contra alucinaciones en respuestas críticas de negocio.</w:t>
      </w:r>
    </w:p>
    <w:p>
      <w:pPr>
        <w:spacing w:before="40" w:after="160"/>
      </w:pPr>
      <w:r>
        <w:rPr>
          <w:b/>
          <w:sz w:val="19"/>
        </w:rPr>
        <w:t xml:space="preserve">Tecnologías clave: </w:t>
      </w:r>
      <w:r>
        <w:rPr>
          <w:color w:val="475569"/>
          <w:sz w:val="19"/>
        </w:rPr>
        <w:t>Python, TypeScript, LangChain, Autonomous Agents, LLMs, FastAPI, Redis, Docker.</w:t>
      </w:r>
    </w:p>
    <w:p>
      <w:pPr>
        <w:keepNext/>
        <w:spacing w:before="160" w:after="20"/>
      </w:pPr>
      <w:r>
        <w:rPr>
          <w:b/>
          <w:sz w:val="22"/>
        </w:rPr>
        <w:t>Desarrollador Full Stack / Backend</w:t>
      </w:r>
    </w:p>
    <w:p>
      <w:pPr>
        <w:keepNext/>
        <w:spacing w:after="80"/>
      </w:pPr>
      <w:r>
        <w:rPr>
          <w:i/>
          <w:color w:val="475569"/>
          <w:sz w:val="19"/>
        </w:rPr>
        <w:t>Consultoría Global S.A. (Cliente: Santander Tecnología) · 2023 — Agosto 2026 · Buenos Aires, Argentina</w:t>
      </w:r>
    </w:p>
    <w:p>
      <w:pPr>
        <w:pStyle w:val="ListBullet"/>
        <w:spacing w:before="20" w:after="40" w:line="276" w:lineRule="auto"/>
      </w:pPr>
      <w:r>
        <w:rPr>
          <w:sz w:val="20"/>
        </w:rPr>
        <w:t>Participación activa en células ágiles de ingeniería bancaria (Cross-Product y Fondos Comunes de Inversión - FCI), desarrollando microservicios backend de alta disponibilidad y tolerancia a fallos.</w:t>
      </w:r>
    </w:p>
    <w:p>
      <w:pPr>
        <w:pStyle w:val="ListBullet"/>
        <w:spacing w:before="20" w:after="40" w:line="276" w:lineRule="auto"/>
      </w:pPr>
      <w:r>
        <w:rPr>
          <w:sz w:val="20"/>
        </w:rPr>
        <w:t>Desarrollo de microservicios backend aplicando reglas de negocio complejas y validaciones financieras normativas.</w:t>
      </w:r>
    </w:p>
    <w:p>
      <w:pPr>
        <w:pStyle w:val="ListBullet"/>
        <w:spacing w:before="20" w:after="40" w:line="276" w:lineRule="auto"/>
      </w:pPr>
      <w:r>
        <w:rPr>
          <w:sz w:val="20"/>
        </w:rPr>
        <w:t>Procesamiento asíncrono de eventos transaccionales de alto volumen utilizando Apache Kafka y Redis como capa de caché distribuida.</w:t>
      </w:r>
    </w:p>
    <w:p>
      <w:pPr>
        <w:pStyle w:val="ListBullet"/>
        <w:spacing w:before="20" w:after="40" w:line="276" w:lineRule="auto"/>
      </w:pPr>
      <w:r>
        <w:rPr>
          <w:sz w:val="20"/>
        </w:rPr>
        <w:t>Integración bidireccional y consumo de APIs core bancarias, servicios legacy SOAP y modernas interfaces RESTful.</w:t>
      </w:r>
    </w:p>
    <w:p>
      <w:pPr>
        <w:pStyle w:val="ListBullet"/>
        <w:spacing w:before="20" w:after="40" w:line="276" w:lineRule="auto"/>
      </w:pPr>
      <w:r>
        <w:rPr>
          <w:sz w:val="20"/>
        </w:rPr>
        <w:t>Diseño, normalización e indexación de esquemas de datos relacionales en Oracle DB y PostgreSQL para auditorías contables y transaccionales.</w:t>
      </w:r>
    </w:p>
    <w:p>
      <w:pPr>
        <w:pStyle w:val="ListBullet"/>
        <w:spacing w:before="20" w:after="40" w:line="276" w:lineRule="auto"/>
      </w:pPr>
      <w:r>
        <w:rPr>
          <w:sz w:val="20"/>
        </w:rPr>
        <w:t>Despliegues en contenedores sobre clústeres empresariales de Red Hat OpenShift y Google Cloud Platform (GCP).</w:t>
      </w:r>
    </w:p>
    <w:p>
      <w:pPr>
        <w:pStyle w:val="ListBullet"/>
        <w:spacing w:before="20" w:after="40" w:line="276" w:lineRule="auto"/>
      </w:pPr>
      <w:r>
        <w:rPr>
          <w:sz w:val="20"/>
        </w:rPr>
        <w:t>Aplicación rigurosa de buenas prácticas de desarrollo, control de versiones con Git y metodologías ágiles (Scrum).</w:t>
      </w:r>
    </w:p>
    <w:p>
      <w:pPr>
        <w:spacing w:before="40" w:after="160"/>
      </w:pPr>
      <w:r>
        <w:rPr>
          <w:b/>
          <w:sz w:val="19"/>
        </w:rPr>
        <w:t xml:space="preserve">Tecnologías clave: </w:t>
      </w:r>
      <w:r>
        <w:rPr>
          <w:color w:val="475569"/>
          <w:sz w:val="19"/>
        </w:rPr>
        <w:t>Node.js, NestJS, TypeScript, Java, Spring Boot, Apache Kafka, Redis, Oracle DB, PostgreSQL, OpenShift, GCP.</w:t>
      </w:r>
    </w:p>
    <w:p>
      <w:pPr>
        <w:keepNext/>
        <w:spacing w:before="280" w:after="80"/>
        <w:pBdr>
          <w:bottom w:val="single" w:sz="6" w:space="1" w:color="CCCCCC"/>
        </w:pBdr>
      </w:pPr>
      <w:r>
        <w:rPr>
          <w:b/>
          <w:color w:val="107855"/>
          <w:sz w:val="23"/>
        </w:rPr>
        <w:t>HABILIDADES TÉCNICAS</w:t>
      </w:r>
    </w:p>
    <w:p>
      <w:pPr>
        <w:spacing w:before="20" w:after="40"/>
      </w:pPr>
      <w:r>
        <w:rPr>
          <w:b/>
          <w:sz w:val="19"/>
        </w:rPr>
        <w:t xml:space="preserve">• Lenguajes de Programación: </w:t>
      </w:r>
      <w:r>
        <w:rPr>
          <w:sz w:val="19"/>
        </w:rPr>
        <w:t>TypeScript, JavaScript, Python, Java, SQL, C#, C++, HTML5, CSS3.</w:t>
      </w:r>
    </w:p>
    <w:p>
      <w:pPr>
        <w:spacing w:before="20" w:after="40"/>
      </w:pPr>
      <w:r>
        <w:rPr>
          <w:b/>
          <w:sz w:val="19"/>
        </w:rPr>
        <w:t xml:space="preserve">• Backend &amp; Frameworks: </w:t>
      </w:r>
      <w:r>
        <w:rPr>
          <w:sz w:val="19"/>
        </w:rPr>
        <w:t>Node.js, NestJS, Express, FastAPI, Spring Boot, Microservicios, REST APIs, SOAP.</w:t>
      </w:r>
    </w:p>
    <w:p>
      <w:pPr>
        <w:spacing w:before="20" w:after="40"/>
      </w:pPr>
      <w:r>
        <w:rPr>
          <w:b/>
          <w:sz w:val="19"/>
        </w:rPr>
        <w:t xml:space="preserve">• Inteligencia Artificial &amp; LLMs: </w:t>
      </w:r>
      <w:r>
        <w:rPr>
          <w:sz w:val="19"/>
        </w:rPr>
        <w:t>Autonomous Agents, LangChain, Tool Calling, Vector Databases, Prompt Engineering, Guardrails, OpenAI API.</w:t>
      </w:r>
    </w:p>
    <w:p>
      <w:pPr>
        <w:spacing w:before="20" w:after="40"/>
      </w:pPr>
      <w:r>
        <w:rPr>
          <w:b/>
          <w:sz w:val="19"/>
        </w:rPr>
        <w:t xml:space="preserve">• Bases de Datos &amp; Caché: </w:t>
      </w:r>
      <w:r>
        <w:rPr>
          <w:sz w:val="19"/>
        </w:rPr>
        <w:t>PostgreSQL, Oracle DB, MongoDB, Redis, MySQL, Prisma, TypeORM, Optimización de consultas SQL.</w:t>
      </w:r>
    </w:p>
    <w:p>
      <w:pPr>
        <w:spacing w:before="20" w:after="40"/>
      </w:pPr>
      <w:r>
        <w:rPr>
          <w:b/>
          <w:sz w:val="19"/>
        </w:rPr>
        <w:t xml:space="preserve">• Streaming, Cloud &amp; DevOps: </w:t>
      </w:r>
      <w:r>
        <w:rPr>
          <w:sz w:val="19"/>
        </w:rPr>
        <w:t>Apache Kafka, Redis Cluster, Docker, Red Hat OpenShift, Google Cloud Platform (GCP), CI/CD (GitHub Actions, GitLab CI).</w:t>
      </w:r>
    </w:p>
    <w:p>
      <w:pPr>
        <w:spacing w:before="20" w:after="40"/>
      </w:pPr>
      <w:r>
        <w:rPr>
          <w:b/>
          <w:sz w:val="19"/>
        </w:rPr>
        <w:t xml:space="preserve">• Testing &amp; Calidad de Código: </w:t>
      </w:r>
      <w:r>
        <w:rPr>
          <w:sz w:val="19"/>
        </w:rPr>
        <w:t>Jest, Vitest, JUnit 5, Mockito, Postman, Newman, Unit Testing, Integration Testing.</w:t>
      </w:r>
    </w:p>
    <w:p>
      <w:pPr>
        <w:spacing w:before="20" w:after="40"/>
      </w:pPr>
      <w:r>
        <w:rPr>
          <w:b/>
          <w:sz w:val="19"/>
        </w:rPr>
        <w:t xml:space="preserve">• Herramientas &amp; Metodologías: </w:t>
      </w:r>
      <w:r>
        <w:rPr>
          <w:sz w:val="19"/>
        </w:rPr>
        <w:t>Git, Metodología Scrum, Arquitectura Limpia (Clean Architecture), Arquitectura Orientada a Eventos (EDA), Claude Code.</w:t>
      </w:r>
    </w:p>
    <w:p>
      <w:pPr>
        <w:keepNext/>
        <w:spacing w:before="280" w:after="80"/>
        <w:pBdr>
          <w:bottom w:val="single" w:sz="6" w:space="1" w:color="CCCCCC"/>
        </w:pBdr>
      </w:pPr>
      <w:r>
        <w:rPr>
          <w:b/>
          <w:color w:val="107855"/>
          <w:sz w:val="23"/>
        </w:rPr>
        <w:t>EDUCACIÓN</w:t>
      </w:r>
    </w:p>
    <w:p>
      <w:pPr>
        <w:spacing w:before="60" w:after="20"/>
      </w:pPr>
      <w:r>
        <w:rPr>
          <w:b/>
          <w:sz w:val="21"/>
        </w:rPr>
        <w:t>Tecnicatura Superior en Sistemas</w:t>
      </w:r>
    </w:p>
    <w:p>
      <w:pPr>
        <w:spacing w:after="80"/>
      </w:pPr>
      <w:r>
        <w:rPr>
          <w:color w:val="475569"/>
          <w:sz w:val="19"/>
        </w:rPr>
        <w:t>Estudios Superiores de Buenos Aires (2022 — 2025)</w:t>
      </w:r>
    </w:p>
    <w:p>
      <w:pPr>
        <w:keepNext/>
        <w:spacing w:before="280" w:after="80"/>
        <w:pBdr>
          <w:bottom w:val="single" w:sz="6" w:space="1" w:color="CCCCCC"/>
        </w:pBdr>
      </w:pPr>
      <w:r>
        <w:rPr>
          <w:b/>
          <w:color w:val="107855"/>
          <w:sz w:val="23"/>
        </w:rPr>
        <w:t>IDIOMAS &amp; INFORMACIÓN ADICIONAL</w:t>
      </w:r>
    </w:p>
    <w:p>
      <w:pPr>
        <w:spacing w:before="40" w:after="40"/>
      </w:pPr>
      <w:r>
        <w:rPr>
          <w:b/>
        </w:rPr>
        <w:t xml:space="preserve">• Inglés: </w:t>
      </w:r>
      <w:r>
        <w:t>Nivel C1 — Escrito y conversacional avanzado (capacidad plena de trabajo profesional internacional).</w:t>
      </w:r>
    </w:p>
    <w:p>
      <w:pPr>
        <w:spacing w:before="20" w:after="40"/>
      </w:pPr>
      <w:r>
        <w:rPr>
          <w:b/>
        </w:rPr>
        <w:t xml:space="preserve">• Español: </w:t>
      </w:r>
      <w:r>
        <w:t>Nativo.</w:t>
      </w:r>
    </w:p>
    <w:p>
      <w:pPr>
        <w:spacing w:before="20" w:after="40"/>
      </w:pPr>
      <w:r>
        <w:rPr>
          <w:b/>
        </w:rPr>
        <w:t xml:space="preserve">• Ciudadanía: </w:t>
      </w:r>
      <w:r>
        <w:t>Pasaporte de la Unión Europea (en trámite).</w:t>
      </w:r>
    </w:p>
    <w:p>
      <w:pPr>
        <w:spacing w:before="20" w:after="40"/>
      </w:pPr>
      <w:r>
        <w:rPr>
          <w:b/>
        </w:rPr>
        <w:t xml:space="preserve">• Modalidad: </w:t>
      </w:r>
      <w:r>
        <w:t>Disponible para roles Remotos o Híbridos (Buenos Aires / Internacional).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