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222222"/>
          <w:sz w:val="24"/>
          <w:rtl w:val="0"/>
        </w:rPr>
        <w:t xml:space="preserve">Product Manager</w:t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You will be responsible for the delivery, on-going success and continuous improvement of one or more digital products and/or platforms.  You will: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Lead one or more multi disciplinary agile delivery teams to deliver excellent new products and/or iterations to existing products to meet user needs.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Gather user requirements based on a communicable understanding of diverse audience groups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Define and get user buy in for product definition and delivery approach.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Create effective, prioritised product descriptions and delivery plans to meet user needs in a cost effective way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Interpret user research in order to make the correct product decisions, noting that users do not always know what they want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Keep continually abreast of changes to user habits, preferences and behaviours across various digital platforms and their implications for successful delivery of government digital services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Underpin the delivery and iteration of digital services through effective analysis of qualitative and quantitative user data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Disseminate an understanding of the digital marketplace, including best practice, costs, suppliers, methodologies and skills to both internal and external stakeholders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Communicate credibly with a wide range of digital delivery disciplines and talent both internally and externally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tabs>
          <w:tab w:val="left" w:pos="762"/>
          <w:tab w:val="left" w:pos="1077"/>
        </w:tabs>
        <w:spacing w:lineRule="auto" w:after="0" w:line="328" w:before="0"/>
        <w:ind w:left="1077" w:hanging="358"/>
      </w:pP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Be actively involved across partner and user communities to promote </w:t>
      </w:r>
      <w:r w:rsidRPr="00000000" w:rsidR="00000000" w:rsidDel="00000000">
        <w:rPr>
          <w:rFonts w:cs="Arial" w:hAnsi="Arial" w:eastAsia="Arial" w:ascii="Arial"/>
          <w:color w:val="222222"/>
          <w:sz w:val="24"/>
          <w:rtl w:val="0"/>
        </w:rPr>
        <w:t xml:space="preserve">the department’s </w:t>
      </w:r>
      <w:r w:rsidRPr="00000000" w:rsidR="00000000" w:rsidDel="00000000">
        <w:rPr>
          <w:rFonts w:cs="Arial" w:hAnsi="Arial" w:eastAsia="Arial" w:ascii="Arial"/>
          <w:color w:val="222222"/>
          <w:sz w:val="24"/>
          <w:vertAlign w:val="baseline"/>
          <w:rtl w:val="0"/>
        </w:rPr>
        <w:t xml:space="preserve">principles and foster a collaborative approach to solution delivery and engagement.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40" w:before="100"/>
        <w:ind w:firstLine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ind w:firstLine="0"/>
      </w:pPr>
      <w:r w:rsidRPr="00000000" w:rsidR="00000000" w:rsidDel="00000000">
        <w:rPr>
          <w:rFonts w:cs="Arial" w:hAnsi="Arial" w:eastAsia="Arial" w:ascii="Arial"/>
          <w:b w:val="1"/>
          <w:vertAlign w:val="baseline"/>
          <w:rtl w:val="0"/>
        </w:rPr>
        <w:t xml:space="preserve">PERSON SPECIFICATION - COMPETENCES/SKILLS REQUIRED</w:t>
      </w:r>
    </w:p>
    <w:p w:rsidP="00000000" w:rsidRPr="00000000" w:rsidR="00000000" w:rsidDel="00000000" w:rsidRDefault="00000000">
      <w:pPr>
        <w:ind w:firstLine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Setting Direction – Changing and Improving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Encourage a culture of innovation focused on adding value – give people space to think creatively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Effectively capture, utilise and share customer insight and views from a diverse range of stakeholders to ensure better policy and delivery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Spot warning signs of things going wrong and provide a decisive response to significant delivery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Setting Direction – Seeing the Big Picture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Bring together views and perspectives of stakeholders to gain a wider picture of the landscape surrounding activities and policies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vertAlign w:val="baseline"/>
          <w:rtl w:val="0"/>
        </w:rPr>
        <w:br w:type="textWrapping"/>
      </w: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Setting Direction – Making Effective Decisions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0"/>
          <w:vertAlign w:val="baseline"/>
          <w:rtl w:val="0"/>
        </w:rPr>
        <w:t xml:space="preserve"> </w:t>
        <w:br w:type="textWrapping"/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Push decision making to the right level within their teams, not allow unnecessary bureaucracy and structure to suppress innovation and delivery.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Engaging People – Leading and Communicating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Confidently engage with stakeholders and colleagues at all levels to generate commitment to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Engaging People – Collaborating and Partnering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Actively involve partners to deliver a business outcome through collaboration that achieves better results for citizens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Effectively manage team dynamics when working across Departmental and other boundaries.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Engaging People – Building Capability for 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Ensure that individual and organisational learning and talent development opportunities are fully exploited in order to enhance organisational capability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Delivering Results – Managing a Quality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Work effectively with different organisations such as private sector and voluntary groups (in tandem with commercial experts) to commission and source solutions to achieve policy and organisational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Interact confidently and effectively as an intelligent and highly credible customer with counterparts from the commercial delivery organisations and commercial experts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Delivering Results – Delivering at 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Clarify business priorities, roles and responsibilities and secure individual and team ownership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Specialist Skills / Expertise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tabs>
          <w:tab w:val="left" w:pos="720"/>
        </w:tabs>
        <w:spacing w:lineRule="auto" w:after="0" w:line="240" w:before="0"/>
        <w:ind w:left="720" w:hanging="358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Have been responsible for delivery and ongoing management of high quality, digital products.</w:t>
      </w: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709" w:right="992" w:top="851" w:bottom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aramond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153"/>
        <w:tab w:val="right" w:pos="8306"/>
      </w:tabs>
      <w:spacing w:lineRule="auto" w:after="0" w:line="240" w:before="0"/>
      <w:ind w:firstLine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144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16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288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36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4320" w:firstLine="82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040" w:firstLine="97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5760" w:firstLine="111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6480" w:firstLine="126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pPr>
        <w:ind w:left="720" w:firstLine="14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●"/>
      <w:pPr>
        <w:ind w:left="1077" w:firstLine="2154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1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0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0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Garamond" w:hAnsi="Garamond" w:eastAsia="Garamond" w:ascii="Garamond"/>
      <w:b w:val="1"/>
      <w:i w:val="0"/>
      <w:smallCaps w:val="0"/>
      <w:strike w:val="0"/>
      <w:color w:val="000000"/>
      <w:sz w:val="28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Manager - generic.docx</dc:title>
</cp:coreProperties>
</file>