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0"/>
        <w:jc w:val="center"/>
      </w:pPr>
      <w:r>
        <w:rPr>
          <w:rFonts w:ascii="Calibri" w:hAnsi="Calibri"/>
          <w:b/>
          <w:color w:val="D99B2B"/>
          <w:sz w:val="18"/>
        </w:rPr>
        <w:t>FINS5545 FINANCIAL MARKET DATA LITERACY | PROJECT B</w:t>
      </w:r>
    </w:p>
    <w:p>
      <w:pPr>
        <w:pStyle w:val="Title"/>
        <w:jc w:val="center"/>
      </w:pPr>
      <w:r>
        <w:rPr>
          <w:rFonts w:ascii="Calibri" w:hAnsi="Calibri"/>
          <w:b/>
          <w:color w:val="16324F"/>
          <w:sz w:val="54"/>
        </w:rPr>
        <w:t>MarketReady Funds</w:t>
      </w:r>
    </w:p>
    <w:p>
      <w:pPr>
        <w:spacing w:after="200"/>
        <w:jc w:val="center"/>
      </w:pPr>
      <w:r>
        <w:rPr>
          <w:rFonts w:ascii="Calibri" w:hAnsi="Calibri"/>
          <w:b w:val="0"/>
          <w:color w:val="2A9D8F"/>
          <w:sz w:val="26"/>
        </w:rPr>
        <w:t>Systematic multi-asset funds with coverage-aware news sentiment</w:t>
      </w:r>
    </w:p>
    <w:p>
      <w:pPr>
        <w:spacing w:after="160"/>
        <w:jc w:val="center"/>
      </w:pPr>
      <w:r>
        <w:rPr>
          <w:rFonts w:ascii="Calibri" w:hAnsi="Calibri"/>
          <w:i/>
          <w:color w:val="64748B"/>
          <w:sz w:val="17"/>
        </w:rPr>
        <w:t>z5603162 | Source sample: 1 January 2020 to 31 December 2023</w:t>
      </w:r>
    </w:p>
    <w:p>
      <w:pPr>
        <w:spacing w:after="160"/>
        <w:jc w:val="center"/>
      </w:pPr>
      <w:r>
        <w:rPr>
          <w:rFonts w:ascii="Calibri" w:hAnsi="Calibri"/>
          <w:i/>
          <w:color w:val="64748B"/>
          <w:sz w:val="17"/>
        </w:rPr>
        <w:t>Out-of-sample fund evidence: 1 January 2021 to 31 December 2023</w:t>
      </w:r>
    </w:p>
    <w:p>
      <w:pPr>
        <w:pStyle w:val="Heading1"/>
      </w:pPr>
      <w:r>
        <w:t>Executive summary</w:t>
      </w:r>
    </w:p>
    <w:p>
      <w:pPr/>
      <w:r>
        <w:rPr>
          <w:rFonts w:ascii="Calibri" w:hAnsi="Calibri"/>
        </w:rPr>
        <w:t>MarketReady Funds turns the course equity, crypto, and headline datasets into 12 separately investable systematic products and a decision-focused Streamlit interface. The product covers three asset families and four portfolio rules, so investors can separate a choice about market exposure from a choice about portfolio construction. All reported fund returns are walk-forward, allow holdings to drift between monthly rebalances, and deduct 5 basis points per unit of realised turnover. They are net of that estimated trading cost but before management fees, taxes, spreads, and market impact.</w:t>
      </w:r>
    </w:p>
    <w:p>
      <w:pPr>
        <w:spacing w:before="80" w:after="140"/>
        <w:ind w:left="227" w:right="113"/>
        <w:shd w:fill="EEF4F7"/>
        <w:pBdr>
          <w:left w:val="single" w:sz="22" w:space="8" w:color="2A9D8F"/>
        </w:pBdr>
      </w:pPr>
      <w:r>
        <w:rPr>
          <w:rFonts w:ascii="Calibri" w:hAnsi="Calibri"/>
          <w:b/>
          <w:color w:val="16324F"/>
          <w:sz w:val="18"/>
        </w:rPr>
        <w:t xml:space="preserve">Audited headline results: </w:t>
      </w:r>
      <w:r>
        <w:rPr>
          <w:rFonts w:ascii="Calibri" w:hAnsi="Calibri"/>
        </w:rPr>
        <w:t>Crypto Minimum Variance records the highest Sharpe ratio (1.03) but also a 71.9% maximum drawdown. Combined Risk Parity delivers a 0.89 Sharpe ratio with a 19.5% drawdown. The finance-extended VADER model changes 3.2% of headline scores, but the lagged signal's one- and five-day mean rank ICs are only 0.006 and -0.002. Its equity tilt reduces Sharpe from 0.722 to 0.695, while improving maximum drawdown by 0.46%.</w:t>
      </w:r>
    </w:p>
    <w:p>
      <w:pPr/>
      <w:r>
        <w:rPr>
          <w:rFonts w:ascii="Calibri" w:hAnsi="Calibri"/>
        </w:rPr>
        <w:t>The main economic result is not that optimisation always wins. Equity Equal Weight produces a 0.82 Sharpe ratio, ahead of the three optimised equity funds. Mean-sensitive Maximum Sharpe is the weakest equity rule. By contrast, the Combined Risk Parity fund balances the high upside of crypto against its large losses more effectively than the other combined products. These comparisons support a product range rather than a single claimed winner.</w:t>
      </w:r>
    </w:p>
    <w:p>
      <w:pPr/>
      <w:r>
        <w:rPr>
          <w:rFonts w:ascii="Calibri" w:hAnsi="Calibri"/>
        </w:rPr>
        <w:t>The sentiment extension is deliberately reported as a negative result. Its near-zero rank correlations and non-positive high-minus-low spreads do not support a profitable cross-sectional ranking in this sample; higher turnover then adds cost. The app therefore presents sentiment as an analytic with explicit coverage, not as a promise of alpha or a forecast.</w:t>
      </w:r>
    </w:p>
    <w:p>
      <w:r>
        <w:br w:type="page"/>
      </w:r>
    </w:p>
    <w:p>
      <w:pPr>
        <w:pStyle w:val="Heading1"/>
      </w:pPr>
      <w:r>
        <w:t>1. Product, investor, and data scope</w:t>
      </w:r>
    </w:p>
    <w:p>
      <w:pPr>
        <w:pStyle w:val="Heading2"/>
      </w:pPr>
      <w:r>
        <w:t>The product</w:t>
      </w:r>
    </w:p>
    <w:p>
      <w:pPr/>
      <w:r>
        <w:rPr>
          <w:rFonts w:ascii="Calibri" w:hAnsi="Calibri"/>
        </w:rPr>
        <w:t>MarketReady Funds is aimed at a financially literate self-directed investor who wants rules-based diversification but needs to understand the evidence before allocating. The investable object is each fund, defined by one asset family and one portfolio method. Management could charge a fee on assets in those funds; the prototype does not process orders or money. Its value is transparent comparison: the same metrics, information clock, transaction-cost rule, and visual language apply to every product.</w:t>
      </w:r>
    </w:p>
    <w:p>
      <w:pPr>
        <w:pStyle w:val="Heading2"/>
      </w:pPr>
      <w:r>
        <w:t>Investor journey</w:t>
      </w:r>
    </w:p>
    <w:p>
      <w:pPr>
        <w:numPr>
          <w:ilvl w:val="0"/>
          <w:numId w:val="10"/>
        </w:numPr>
      </w:pPr>
      <w:r>
        <w:rPr>
          <w:rFonts w:ascii="Calibri" w:hAnsi="Calibri"/>
          <w:b/>
          <w:color w:val="16324F"/>
        </w:rPr>
        <w:t xml:space="preserve">Compare. </w:t>
      </w:r>
      <w:r>
        <w:rPr>
          <w:rFonts w:ascii="Calibri" w:hAnsi="Calibri"/>
        </w:rPr>
        <w:t>Filter the 12-fund marketplace and compare risk-adjusted growth.</w:t>
      </w:r>
    </w:p>
    <w:p>
      <w:pPr>
        <w:numPr>
          <w:ilvl w:val="0"/>
          <w:numId w:val="10"/>
        </w:numPr>
      </w:pPr>
      <w:r>
        <w:rPr>
          <w:rFonts w:ascii="Calibri" w:hAnsi="Calibri"/>
          <w:b/>
          <w:color w:val="16324F"/>
        </w:rPr>
        <w:t xml:space="preserve">Inspect. </w:t>
      </w:r>
      <w:r>
        <w:rPr>
          <w:rFonts w:ascii="Calibri" w:hAnsi="Calibri"/>
        </w:rPr>
        <w:t>Open a fact sheet with return, risk, drawdown, and current targets.</w:t>
      </w:r>
    </w:p>
    <w:p>
      <w:pPr>
        <w:numPr>
          <w:ilvl w:val="0"/>
          <w:numId w:val="10"/>
        </w:numPr>
      </w:pPr>
      <w:r>
        <w:rPr>
          <w:rFonts w:ascii="Calibri" w:hAnsi="Calibri"/>
          <w:b/>
          <w:color w:val="16324F"/>
        </w:rPr>
        <w:t xml:space="preserve">Allocate. </w:t>
      </w:r>
      <w:r>
        <w:rPr>
          <w:rFonts w:ascii="Calibri" w:hAnsi="Calibri"/>
        </w:rPr>
        <w:t>Combine up to five funds and simulate a normalized historical mix.</w:t>
      </w:r>
    </w:p>
    <w:p>
      <w:pPr>
        <w:numPr>
          <w:ilvl w:val="0"/>
          <w:numId w:val="10"/>
        </w:numPr>
      </w:pPr>
      <w:r>
        <w:rPr>
          <w:rFonts w:ascii="Calibri" w:hAnsi="Calibri"/>
          <w:b/>
          <w:color w:val="16324F"/>
        </w:rPr>
        <w:t xml:space="preserve">Contextualise. </w:t>
      </w:r>
      <w:r>
        <w:rPr>
          <w:rFonts w:ascii="Calibri" w:hAnsi="Calibri"/>
        </w:rPr>
        <w:t>Read sector news tone beside coverage and the fusion diagnostic.</w:t>
      </w:r>
    </w:p>
    <w:p>
      <w:pPr>
        <w:pStyle w:val="Heading2"/>
      </w:pPr>
      <w:r>
        <w:t>Data foundation and provenance</w:t>
      </w:r>
    </w:p>
    <w:p>
      <w:pPr>
        <w:pStyle w:val="Caption"/>
      </w:pPr>
      <w:r>
        <w:rPr>
          <w:rFonts w:ascii="Calibri" w:hAnsi="Calibri"/>
          <w:i/>
          <w:color w:val="64748B"/>
          <w:sz w:val="15"/>
        </w:rPr>
        <w:t xml:space="preserve">Table </w:t>
      </w:r>
      <w:bookmarkStart w:id="20" w:name="_RefTblInputs"/>
      <w:r>
        <w:rPr>
          <w:rFonts w:ascii="Calibri" w:hAnsi="Calibri"/>
          <w:i/>
          <w:color w:val="64748B"/>
          <w:sz w:val="15"/>
        </w:rPr>
        <w:fldChar w:fldCharType="begin"/>
      </w:r>
      <w:r>
        <w:rPr>
          <w:rFonts w:ascii="Calibri" w:hAnsi="Calibri"/>
          <w:i/>
          <w:color w:val="64748B"/>
          <w:sz w:val="15"/>
        </w:rPr>
        <w:instrText xml:space="preserve"> SEQ Table \* ARABIC </w:instrText>
      </w:r>
      <w:r>
        <w:rPr>
          <w:rFonts w:ascii="Calibri" w:hAnsi="Calibri"/>
          <w:i/>
          <w:color w:val="64748B"/>
          <w:sz w:val="15"/>
        </w:rPr>
        <w:fldChar w:fldCharType="separate"/>
      </w:r>
      <w:r>
        <w:rPr>
          <w:rFonts w:ascii="Calibri" w:hAnsi="Calibri"/>
          <w:i/>
          <w:color w:val="64748B"/>
          <w:sz w:val="15"/>
        </w:rPr>
        <w:t>1</w:t>
      </w:r>
      <w:r>
        <w:rPr>
          <w:rFonts w:ascii="Calibri" w:hAnsi="Calibri"/>
          <w:i/>
          <w:color w:val="64748B"/>
          <w:sz w:val="15"/>
        </w:rPr>
        <w:fldChar w:fldCharType="end"/>
      </w:r>
      <w:bookmarkEnd w:id="20"/>
      <w:r>
        <w:rPr>
          <w:rFonts w:ascii="Calibri" w:hAnsi="Calibri"/>
          <w:i/>
          <w:color w:val="64748B"/>
          <w:sz w:val="15"/>
        </w:rPr>
        <w:t>. Inputs retained for Station 3. Dates are capped at 31 December 2023. Source: FINS5545 provided bundle and author calculations.</w:t>
      </w:r>
    </w:p>
    <w:tbl>
      <w:tblPr>
        <w:tblStyle w:val="TableGrid"/>
        <w:tblW w:type="dxa" w:w="9720"/>
        <w:tblLayout w:type="fixed"/>
        <w:tblLook w:firstColumn="1" w:firstRow="1" w:lastColumn="0" w:lastRow="0" w:noHBand="0" w:noVBand="1" w:val="04A0"/>
        <w:jc w:val="left"/>
        <w:tblInd w:type="dxa" w:w="120"/>
      </w:tblPr>
      <w:tblGrid>
        <w:gridCol w:w="1944"/>
        <w:gridCol w:w="1512"/>
        <w:gridCol w:w="2304"/>
        <w:gridCol w:w="3960"/>
      </w:tblGrid>
      <w:tr>
        <w:trPr>
          <w:tblHeader w:val="true"/>
        </w:trPr>
        <w:tc>
          <w:tcPr>
            <w:tcW w:type="dxa" w:w="1944"/>
            <w:tcMar>
              <w:top w:w="70" w:type="dxa"/>
              <w:bottom w:w="70" w:type="dxa"/>
              <w:start w:w="120" w:type="dxa"/>
              <w:end w:w="120" w:type="dxa"/>
            </w:tcMar>
            <w:vAlign w:val="center"/>
            <w:shd w:fill="16324F"/>
          </w:tcPr>
          <w:p>
            <w:pPr>
              <w:spacing w:after="0"/>
              <w:jc w:val="center"/>
            </w:pPr>
            <w:r>
              <w:rPr>
                <w:rFonts w:ascii="Calibri" w:hAnsi="Calibri"/>
                <w:b/>
                <w:color w:val="FFFFFF"/>
                <w:sz w:val="15"/>
              </w:rPr>
              <w:t>Input</w:t>
            </w:r>
          </w:p>
        </w:tc>
        <w:tc>
          <w:tcPr>
            <w:tcW w:type="dxa" w:w="1512"/>
            <w:tcMar>
              <w:top w:w="70" w:type="dxa"/>
              <w:bottom w:w="70" w:type="dxa"/>
              <w:start w:w="120" w:type="dxa"/>
              <w:end w:w="120" w:type="dxa"/>
            </w:tcMar>
            <w:vAlign w:val="center"/>
            <w:shd w:fill="16324F"/>
          </w:tcPr>
          <w:p>
            <w:pPr>
              <w:spacing w:after="0"/>
              <w:jc w:val="center"/>
            </w:pPr>
            <w:r>
              <w:rPr>
                <w:rFonts w:ascii="Calibri" w:hAnsi="Calibri"/>
                <w:b/>
                <w:color w:val="FFFFFF"/>
                <w:sz w:val="15"/>
              </w:rPr>
              <w:t>Retained rows</w:t>
            </w:r>
          </w:p>
        </w:tc>
        <w:tc>
          <w:tcPr>
            <w:tcW w:type="dxa" w:w="2304"/>
            <w:tcMar>
              <w:top w:w="70" w:type="dxa"/>
              <w:bottom w:w="70" w:type="dxa"/>
              <w:start w:w="120" w:type="dxa"/>
              <w:end w:w="120" w:type="dxa"/>
            </w:tcMar>
            <w:vAlign w:val="center"/>
            <w:shd w:fill="16324F"/>
          </w:tcPr>
          <w:p>
            <w:pPr>
              <w:spacing w:after="0"/>
              <w:jc w:val="center"/>
            </w:pPr>
            <w:r>
              <w:rPr>
                <w:rFonts w:ascii="Calibri" w:hAnsi="Calibri"/>
                <w:b/>
                <w:color w:val="FFFFFF"/>
                <w:sz w:val="15"/>
              </w:rPr>
              <w:t>Frequency</w:t>
            </w:r>
          </w:p>
        </w:tc>
        <w:tc>
          <w:tcPr>
            <w:tcW w:type="dxa" w:w="3960"/>
            <w:tcMar>
              <w:top w:w="70" w:type="dxa"/>
              <w:bottom w:w="70" w:type="dxa"/>
              <w:start w:w="120" w:type="dxa"/>
              <w:end w:w="120" w:type="dxa"/>
            </w:tcMar>
            <w:vAlign w:val="center"/>
            <w:shd w:fill="16324F"/>
          </w:tcPr>
          <w:p>
            <w:pPr>
              <w:spacing w:after="0"/>
              <w:jc w:val="center"/>
            </w:pPr>
            <w:r>
              <w:rPr>
                <w:rFonts w:ascii="Calibri" w:hAnsi="Calibri"/>
                <w:b/>
                <w:color w:val="FFFFFF"/>
                <w:sz w:val="15"/>
              </w:rPr>
              <w:t>Use in Part B</w:t>
            </w:r>
          </w:p>
        </w:tc>
      </w:tr>
      <w:tr>
        <w:tc>
          <w:tcPr>
            <w:tcW w:type="dxa" w:w="1944"/>
            <w:vAlign w:val="center"/>
            <w:tcMar>
              <w:top w:w="70" w:type="dxa"/>
              <w:bottom w:w="70" w:type="dxa"/>
              <w:start w:w="120" w:type="dxa"/>
              <w:end w:w="120" w:type="dxa"/>
            </w:tcMar>
          </w:tcPr>
          <w:p>
            <w:pPr>
              <w:spacing w:after="0" w:line="240" w:lineRule="auto"/>
              <w:jc w:val="left"/>
            </w:pPr>
            <w:r>
              <w:rPr>
                <w:rFonts w:ascii="Calibri" w:hAnsi="Calibri"/>
                <w:color w:val="1F2933"/>
                <w:sz w:val="15"/>
              </w:rPr>
              <w:t>Equity prices</w:t>
            </w:r>
          </w:p>
        </w:tc>
        <w:tc>
          <w:tcPr>
            <w:tcW w:type="dxa" w:w="1512"/>
            <w:vAlign w:val="center"/>
            <w:tcMar>
              <w:top w:w="70" w:type="dxa"/>
              <w:bottom w:w="70" w:type="dxa"/>
              <w:start w:w="120" w:type="dxa"/>
              <w:end w:w="120" w:type="dxa"/>
            </w:tcMar>
          </w:tcPr>
          <w:p>
            <w:pPr>
              <w:spacing w:after="0" w:line="240" w:lineRule="auto"/>
              <w:jc w:val="center"/>
            </w:pPr>
            <w:r>
              <w:rPr>
                <w:rFonts w:ascii="Calibri" w:hAnsi="Calibri"/>
                <w:color w:val="1F2933"/>
                <w:sz w:val="15"/>
              </w:rPr>
              <w:t>50,300</w:t>
            </w:r>
          </w:p>
        </w:tc>
        <w:tc>
          <w:tcPr>
            <w:tcW w:type="dxa" w:w="2304"/>
            <w:vAlign w:val="center"/>
            <w:tcMar>
              <w:top w:w="70" w:type="dxa"/>
              <w:bottom w:w="70" w:type="dxa"/>
              <w:start w:w="120" w:type="dxa"/>
              <w:end w:w="120" w:type="dxa"/>
            </w:tcMar>
          </w:tcPr>
          <w:p>
            <w:pPr>
              <w:spacing w:after="0" w:line="240" w:lineRule="auto"/>
              <w:jc w:val="center"/>
            </w:pPr>
            <w:r>
              <w:rPr>
                <w:rFonts w:ascii="Calibri" w:hAnsi="Calibri"/>
                <w:color w:val="1F2933"/>
                <w:sz w:val="15"/>
              </w:rPr>
              <w:t>Equity trading days</w:t>
            </w:r>
          </w:p>
        </w:tc>
        <w:tc>
          <w:tcPr>
            <w:tcW w:type="dxa" w:w="3960"/>
            <w:vAlign w:val="center"/>
            <w:tcMar>
              <w:top w:w="70" w:type="dxa"/>
              <w:bottom w:w="70" w:type="dxa"/>
              <w:start w:w="120" w:type="dxa"/>
              <w:end w:w="120" w:type="dxa"/>
            </w:tcMar>
          </w:tcPr>
          <w:p>
            <w:pPr>
              <w:spacing w:after="0" w:line="240" w:lineRule="auto"/>
              <w:jc w:val="center"/>
            </w:pPr>
            <w:r>
              <w:rPr>
                <w:rFonts w:ascii="Calibri" w:hAnsi="Calibri"/>
                <w:color w:val="1F2933"/>
                <w:sz w:val="15"/>
              </w:rPr>
              <w:t>50 adjusted-close return series</w:t>
            </w:r>
          </w:p>
        </w:tc>
      </w:tr>
      <w:tr>
        <w:tc>
          <w:tcPr>
            <w:tcW w:type="dxa" w:w="1944"/>
            <w:vAlign w:val="center"/>
            <w:shd w:fill="F7FAFC"/>
            <w:tcMar>
              <w:top w:w="70" w:type="dxa"/>
              <w:bottom w:w="70" w:type="dxa"/>
              <w:start w:w="120" w:type="dxa"/>
              <w:end w:w="120" w:type="dxa"/>
            </w:tcMar>
          </w:tcPr>
          <w:p>
            <w:pPr>
              <w:spacing w:after="0" w:line="240" w:lineRule="auto"/>
              <w:jc w:val="left"/>
            </w:pPr>
            <w:r>
              <w:rPr>
                <w:rFonts w:ascii="Calibri" w:hAnsi="Calibri"/>
                <w:color w:val="1F2933"/>
                <w:sz w:val="15"/>
              </w:rPr>
              <w:t>Crypto prices</w:t>
            </w:r>
          </w:p>
        </w:tc>
        <w:tc>
          <w:tcPr>
            <w:tcW w:type="dxa" w:w="1512"/>
            <w:vAlign w:val="center"/>
            <w:shd w:fill="F7FAFC"/>
            <w:tcMar>
              <w:top w:w="70" w:type="dxa"/>
              <w:bottom w:w="70" w:type="dxa"/>
              <w:start w:w="120" w:type="dxa"/>
              <w:end w:w="120" w:type="dxa"/>
            </w:tcMar>
          </w:tcPr>
          <w:p>
            <w:pPr>
              <w:spacing w:after="0" w:line="240" w:lineRule="auto"/>
              <w:jc w:val="center"/>
            </w:pPr>
            <w:r>
              <w:rPr>
                <w:rFonts w:ascii="Calibri" w:hAnsi="Calibri"/>
                <w:color w:val="1F2933"/>
                <w:sz w:val="15"/>
              </w:rPr>
              <w:t>14,610</w:t>
            </w:r>
          </w:p>
        </w:tc>
        <w:tc>
          <w:tcPr>
            <w:tcW w:type="dxa" w:w="2304"/>
            <w:vAlign w:val="center"/>
            <w:shd w:fill="F7FAFC"/>
            <w:tcMar>
              <w:top w:w="70" w:type="dxa"/>
              <w:bottom w:w="70" w:type="dxa"/>
              <w:start w:w="120" w:type="dxa"/>
              <w:end w:w="120" w:type="dxa"/>
            </w:tcMar>
          </w:tcPr>
          <w:p>
            <w:pPr>
              <w:spacing w:after="0" w:line="240" w:lineRule="auto"/>
              <w:jc w:val="center"/>
            </w:pPr>
            <w:r>
              <w:rPr>
                <w:rFonts w:ascii="Calibri" w:hAnsi="Calibri"/>
                <w:color w:val="1F2933"/>
                <w:sz w:val="15"/>
              </w:rPr>
              <w:t>Seven days per week</w:t>
            </w:r>
          </w:p>
        </w:tc>
        <w:tc>
          <w:tcPr>
            <w:tcW w:type="dxa" w:w="396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5"/>
              </w:rPr>
              <w:t>10 native-calendar return series</w:t>
            </w:r>
          </w:p>
        </w:tc>
      </w:tr>
      <w:tr>
        <w:tc>
          <w:tcPr>
            <w:tcW w:type="dxa" w:w="1944"/>
            <w:vAlign w:val="center"/>
            <w:tcMar>
              <w:top w:w="70" w:type="dxa"/>
              <w:bottom w:w="70" w:type="dxa"/>
              <w:start w:w="120" w:type="dxa"/>
              <w:end w:w="120" w:type="dxa"/>
            </w:tcMar>
          </w:tcPr>
          <w:p>
            <w:pPr>
              <w:spacing w:after="0" w:line="240" w:lineRule="auto"/>
              <w:jc w:val="left"/>
            </w:pPr>
            <w:r>
              <w:rPr>
                <w:rFonts w:ascii="Calibri" w:hAnsi="Calibri"/>
                <w:color w:val="1F2933"/>
                <w:sz w:val="15"/>
              </w:rPr>
              <w:t>Unique headlines</w:t>
            </w:r>
          </w:p>
        </w:tc>
        <w:tc>
          <w:tcPr>
            <w:tcW w:type="dxa" w:w="1512"/>
            <w:vAlign w:val="center"/>
            <w:tcMar>
              <w:top w:w="70" w:type="dxa"/>
              <w:bottom w:w="70" w:type="dxa"/>
              <w:start w:w="120" w:type="dxa"/>
              <w:end w:w="120" w:type="dxa"/>
            </w:tcMar>
          </w:tcPr>
          <w:p>
            <w:pPr>
              <w:spacing w:after="0" w:line="240" w:lineRule="auto"/>
              <w:jc w:val="center"/>
            </w:pPr>
            <w:r>
              <w:rPr>
                <w:rFonts w:ascii="Calibri" w:hAnsi="Calibri"/>
                <w:color w:val="1F2933"/>
                <w:sz w:val="15"/>
              </w:rPr>
              <w:t>146,836</w:t>
            </w:r>
          </w:p>
        </w:tc>
        <w:tc>
          <w:tcPr>
            <w:tcW w:type="dxa" w:w="2304"/>
            <w:vAlign w:val="center"/>
            <w:tcMar>
              <w:top w:w="70" w:type="dxa"/>
              <w:bottom w:w="70" w:type="dxa"/>
              <w:start w:w="120" w:type="dxa"/>
              <w:end w:w="120" w:type="dxa"/>
            </w:tcMar>
          </w:tcPr>
          <w:p>
            <w:pPr>
              <w:spacing w:after="0" w:line="240" w:lineRule="auto"/>
              <w:jc w:val="center"/>
            </w:pPr>
            <w:r>
              <w:rPr>
                <w:rFonts w:ascii="Calibri" w:hAnsi="Calibri"/>
                <w:color w:val="1F2933"/>
                <w:sz w:val="15"/>
              </w:rPr>
              <w:t>Event dates</w:t>
            </w:r>
          </w:p>
        </w:tc>
        <w:tc>
          <w:tcPr>
            <w:tcW w:type="dxa" w:w="3960"/>
            <w:vAlign w:val="center"/>
            <w:tcMar>
              <w:top w:w="70" w:type="dxa"/>
              <w:bottom w:w="70" w:type="dxa"/>
              <w:start w:w="120" w:type="dxa"/>
              <w:end w:w="120" w:type="dxa"/>
            </w:tcMar>
          </w:tcPr>
          <w:p>
            <w:pPr>
              <w:spacing w:after="0" w:line="240" w:lineRule="auto"/>
              <w:jc w:val="center"/>
            </w:pPr>
            <w:r>
              <w:rPr>
                <w:rFonts w:ascii="Calibri" w:hAnsi="Calibri"/>
                <w:color w:val="1F2933"/>
                <w:sz w:val="15"/>
              </w:rPr>
              <w:t>146,830 alignable headlines scored</w:t>
            </w:r>
          </w:p>
        </w:tc>
      </w:tr>
    </w:tbl>
    <w:p>
      <w:pPr>
        <w:spacing w:after="40"/>
      </w:pPr>
    </w:p>
    <w:p>
      <w:pPr/>
      <w:r>
        <w:rPr>
          <w:rFonts w:ascii="Calibri" w:hAnsi="Calibri"/>
        </w:rPr>
        <w:t>The ETL preserves genuine extreme returns and removes only key duplicates and rows outside the stated sample. Equity and crypto returns are computed inside ticker on their native calendars. Crypto returns are then left-joined to equity dates for the combined funds, intentionally excluding weekend-only moves rather than differencing price levels after a calendar merge. Six year-end headlines cannot map to a later 2023 trading day, leaving 146,830 scored observations.</w:t>
      </w:r>
    </w:p>
    <w:p>
      <w:r>
        <w:br w:type="page"/>
      </w:r>
    </w:p>
    <w:p>
      <w:pPr>
        <w:pStyle w:val="Heading1"/>
      </w:pPr>
      <w:r>
        <w:t>2. Fund construction and the information clock</w:t>
      </w:r>
    </w:p>
    <w:p>
      <w:pPr/>
      <w:r>
        <w:rPr>
          <w:rFonts w:ascii="Calibri" w:hAnsi="Calibri"/>
        </w:rPr>
        <w:t>The first live weight is formed only after a full trailing estimation window. Equity and combined funds start on 4 January 2021 after 252 equity observations; crypto funds start on 1 January 2021 after 365 native-calendar observations. The first observed date of each month is a rebalance. If t is a rebalance date, every return used to estimate its target ends strictly before t.</w:t>
      </w:r>
    </w:p>
    <w:p>
      <w:pPr>
        <w:pStyle w:val="Equation"/>
      </w:pPr>
      <w:r>
        <w:rPr>
          <w:rFonts w:ascii="Cambria Math" w:hAnsi="Cambria Math"/>
          <w:color w:val="16324F"/>
          <w:sz w:val="20"/>
        </w:rPr>
        <w:t>target weights at t = model(returns from t - window through t - 1)</w:t>
      </w:r>
    </w:p>
    <w:p>
      <w:pPr>
        <w:pStyle w:val="Caption"/>
      </w:pPr>
      <w:r>
        <w:rPr>
          <w:rFonts w:ascii="Calibri" w:hAnsi="Calibri"/>
          <w:i/>
          <w:color w:val="64748B"/>
          <w:sz w:val="15"/>
        </w:rPr>
        <w:t xml:space="preserve">Table </w:t>
      </w:r>
      <w:bookmarkStart w:id="21" w:name="_RefTblSpecifications"/>
      <w:r>
        <w:rPr>
          <w:rFonts w:ascii="Calibri" w:hAnsi="Calibri"/>
          <w:i/>
          <w:color w:val="64748B"/>
          <w:sz w:val="15"/>
        </w:rPr>
        <w:fldChar w:fldCharType="begin"/>
      </w:r>
      <w:r>
        <w:rPr>
          <w:rFonts w:ascii="Calibri" w:hAnsi="Calibri"/>
          <w:i/>
          <w:color w:val="64748B"/>
          <w:sz w:val="15"/>
        </w:rPr>
        <w:instrText xml:space="preserve"> SEQ Table \* ARABIC </w:instrText>
      </w:r>
      <w:r>
        <w:rPr>
          <w:rFonts w:ascii="Calibri" w:hAnsi="Calibri"/>
          <w:i/>
          <w:color w:val="64748B"/>
          <w:sz w:val="15"/>
        </w:rPr>
        <w:fldChar w:fldCharType="separate"/>
      </w:r>
      <w:r>
        <w:rPr>
          <w:rFonts w:ascii="Calibri" w:hAnsi="Calibri"/>
          <w:i/>
          <w:color w:val="64748B"/>
          <w:sz w:val="15"/>
        </w:rPr>
        <w:t>2</w:t>
      </w:r>
      <w:r>
        <w:rPr>
          <w:rFonts w:ascii="Calibri" w:hAnsi="Calibri"/>
          <w:i/>
          <w:color w:val="64748B"/>
          <w:sz w:val="15"/>
        </w:rPr>
        <w:fldChar w:fldCharType="end"/>
      </w:r>
      <w:bookmarkEnd w:id="21"/>
      <w:r>
        <w:rPr>
          <w:rFonts w:ascii="Calibri" w:hAnsi="Calibri"/>
          <w:i/>
          <w:color w:val="64748B"/>
          <w:sz w:val="15"/>
        </w:rPr>
        <w:t>. Walk-forward fund specifications. Annualisation matches the asset calendar; caps are per asset. Source: author design.</w:t>
      </w:r>
    </w:p>
    <w:tbl>
      <w:tblPr>
        <w:tblStyle w:val="TableGrid"/>
        <w:tblW w:type="dxa" w:w="9288"/>
        <w:tblLayout w:type="fixed"/>
        <w:tblLook w:firstColumn="1" w:firstRow="1" w:lastColumn="0" w:lastRow="0" w:noHBand="0" w:noVBand="1" w:val="04A0"/>
        <w:jc w:val="left"/>
        <w:tblInd w:type="dxa" w:w="120"/>
      </w:tblPr>
      <w:tblGrid>
        <w:gridCol w:w="1656"/>
        <w:gridCol w:w="1080"/>
        <w:gridCol w:w="1224"/>
        <w:gridCol w:w="1728"/>
        <w:gridCol w:w="1512"/>
        <w:gridCol w:w="2088"/>
      </w:tblGrid>
      <w:tr>
        <w:trPr>
          <w:tblHeader w:val="true"/>
        </w:trPr>
        <w:tc>
          <w:tcPr>
            <w:tcW w:type="dxa" w:w="1656"/>
            <w:tcMar>
              <w:top w:w="70" w:type="dxa"/>
              <w:bottom w:w="70" w:type="dxa"/>
              <w:start w:w="120" w:type="dxa"/>
              <w:end w:w="120" w:type="dxa"/>
            </w:tcMar>
            <w:vAlign w:val="center"/>
            <w:shd w:fill="16324F"/>
          </w:tcPr>
          <w:p>
            <w:pPr>
              <w:spacing w:after="0"/>
              <w:jc w:val="center"/>
            </w:pPr>
            <w:r>
              <w:rPr>
                <w:rFonts w:ascii="Calibri" w:hAnsi="Calibri"/>
                <w:b/>
                <w:color w:val="FFFFFF"/>
                <w:sz w:val="15"/>
              </w:rPr>
              <w:t>Family</w:t>
            </w:r>
          </w:p>
        </w:tc>
        <w:tc>
          <w:tcPr>
            <w:tcW w:type="dxa" w:w="1080"/>
            <w:tcMar>
              <w:top w:w="70" w:type="dxa"/>
              <w:bottom w:w="70" w:type="dxa"/>
              <w:start w:w="120" w:type="dxa"/>
              <w:end w:w="120" w:type="dxa"/>
            </w:tcMar>
            <w:vAlign w:val="center"/>
            <w:shd w:fill="16324F"/>
          </w:tcPr>
          <w:p>
            <w:pPr>
              <w:spacing w:after="0"/>
              <w:jc w:val="center"/>
            </w:pPr>
            <w:r>
              <w:rPr>
                <w:rFonts w:ascii="Calibri" w:hAnsi="Calibri"/>
                <w:b/>
                <w:color w:val="FFFFFF"/>
                <w:sz w:val="15"/>
              </w:rPr>
              <w:t>Assets</w:t>
            </w:r>
          </w:p>
        </w:tc>
        <w:tc>
          <w:tcPr>
            <w:tcW w:type="dxa" w:w="1224"/>
            <w:tcMar>
              <w:top w:w="70" w:type="dxa"/>
              <w:bottom w:w="70" w:type="dxa"/>
              <w:start w:w="120" w:type="dxa"/>
              <w:end w:w="120" w:type="dxa"/>
            </w:tcMar>
            <w:vAlign w:val="center"/>
            <w:shd w:fill="16324F"/>
          </w:tcPr>
          <w:p>
            <w:pPr>
              <w:spacing w:after="0"/>
              <w:jc w:val="center"/>
            </w:pPr>
            <w:r>
              <w:rPr>
                <w:rFonts w:ascii="Calibri" w:hAnsi="Calibri"/>
                <w:b/>
                <w:color w:val="FFFFFF"/>
                <w:sz w:val="15"/>
              </w:rPr>
              <w:t>Window</w:t>
            </w:r>
          </w:p>
        </w:tc>
        <w:tc>
          <w:tcPr>
            <w:tcW w:type="dxa" w:w="1728"/>
            <w:tcMar>
              <w:top w:w="70" w:type="dxa"/>
              <w:bottom w:w="70" w:type="dxa"/>
              <w:start w:w="120" w:type="dxa"/>
              <w:end w:w="120" w:type="dxa"/>
            </w:tcMar>
            <w:vAlign w:val="center"/>
            <w:shd w:fill="16324F"/>
          </w:tcPr>
          <w:p>
            <w:pPr>
              <w:spacing w:after="0"/>
              <w:jc w:val="center"/>
            </w:pPr>
            <w:r>
              <w:rPr>
                <w:rFonts w:ascii="Calibri" w:hAnsi="Calibri"/>
                <w:b/>
                <w:color w:val="FFFFFF"/>
                <w:sz w:val="15"/>
              </w:rPr>
              <w:t>Annualisation</w:t>
            </w:r>
          </w:p>
        </w:tc>
        <w:tc>
          <w:tcPr>
            <w:tcW w:type="dxa" w:w="1512"/>
            <w:tcMar>
              <w:top w:w="70" w:type="dxa"/>
              <w:bottom w:w="70" w:type="dxa"/>
              <w:start w:w="120" w:type="dxa"/>
              <w:end w:w="120" w:type="dxa"/>
            </w:tcMar>
            <w:vAlign w:val="center"/>
            <w:shd w:fill="16324F"/>
          </w:tcPr>
          <w:p>
            <w:pPr>
              <w:spacing w:after="0"/>
              <w:jc w:val="center"/>
            </w:pPr>
            <w:r>
              <w:rPr>
                <w:rFonts w:ascii="Calibri" w:hAnsi="Calibri"/>
                <w:b/>
                <w:color w:val="FFFFFF"/>
                <w:sz w:val="15"/>
              </w:rPr>
              <w:t>Max weight</w:t>
            </w:r>
          </w:p>
        </w:tc>
        <w:tc>
          <w:tcPr>
            <w:tcW w:type="dxa" w:w="2088"/>
            <w:tcMar>
              <w:top w:w="70" w:type="dxa"/>
              <w:bottom w:w="70" w:type="dxa"/>
              <w:start w:w="120" w:type="dxa"/>
              <w:end w:w="120" w:type="dxa"/>
            </w:tcMar>
            <w:vAlign w:val="center"/>
            <w:shd w:fill="16324F"/>
          </w:tcPr>
          <w:p>
            <w:pPr>
              <w:spacing w:after="0"/>
              <w:jc w:val="center"/>
            </w:pPr>
            <w:r>
              <w:rPr>
                <w:rFonts w:ascii="Calibri" w:hAnsi="Calibri"/>
                <w:b/>
                <w:color w:val="FFFFFF"/>
                <w:sz w:val="15"/>
              </w:rPr>
              <w:t>Live start</w:t>
            </w:r>
          </w:p>
        </w:tc>
      </w:tr>
      <w:tr>
        <w:tc>
          <w:tcPr>
            <w:tcW w:type="dxa" w:w="1656"/>
            <w:vAlign w:val="center"/>
            <w:tcMar>
              <w:top w:w="70" w:type="dxa"/>
              <w:bottom w:w="70" w:type="dxa"/>
              <w:start w:w="120" w:type="dxa"/>
              <w:end w:w="120" w:type="dxa"/>
            </w:tcMar>
          </w:tcPr>
          <w:p>
            <w:pPr>
              <w:spacing w:after="0" w:line="240" w:lineRule="auto"/>
              <w:jc w:val="left"/>
            </w:pPr>
            <w:r>
              <w:rPr>
                <w:rFonts w:ascii="Calibri" w:hAnsi="Calibri"/>
                <w:color w:val="1F2933"/>
                <w:sz w:val="15"/>
              </w:rPr>
              <w:t>Equity</w:t>
            </w:r>
          </w:p>
        </w:tc>
        <w:tc>
          <w:tcPr>
            <w:tcW w:type="dxa" w:w="1080"/>
            <w:vAlign w:val="center"/>
            <w:tcMar>
              <w:top w:w="70" w:type="dxa"/>
              <w:bottom w:w="70" w:type="dxa"/>
              <w:start w:w="120" w:type="dxa"/>
              <w:end w:w="120" w:type="dxa"/>
            </w:tcMar>
          </w:tcPr>
          <w:p>
            <w:pPr>
              <w:spacing w:after="0" w:line="240" w:lineRule="auto"/>
              <w:jc w:val="center"/>
            </w:pPr>
            <w:r>
              <w:rPr>
                <w:rFonts w:ascii="Calibri" w:hAnsi="Calibri"/>
                <w:color w:val="1F2933"/>
                <w:sz w:val="15"/>
              </w:rPr>
              <w:t>50</w:t>
            </w:r>
          </w:p>
        </w:tc>
        <w:tc>
          <w:tcPr>
            <w:tcW w:type="dxa" w:w="1224"/>
            <w:vAlign w:val="center"/>
            <w:tcMar>
              <w:top w:w="70" w:type="dxa"/>
              <w:bottom w:w="70" w:type="dxa"/>
              <w:start w:w="120" w:type="dxa"/>
              <w:end w:w="120" w:type="dxa"/>
            </w:tcMar>
          </w:tcPr>
          <w:p>
            <w:pPr>
              <w:spacing w:after="0" w:line="240" w:lineRule="auto"/>
              <w:jc w:val="center"/>
            </w:pPr>
            <w:r>
              <w:rPr>
                <w:rFonts w:ascii="Calibri" w:hAnsi="Calibri"/>
                <w:color w:val="1F2933"/>
                <w:sz w:val="15"/>
              </w:rPr>
              <w:t>252</w:t>
            </w:r>
          </w:p>
        </w:tc>
        <w:tc>
          <w:tcPr>
            <w:tcW w:type="dxa" w:w="1728"/>
            <w:vAlign w:val="center"/>
            <w:tcMar>
              <w:top w:w="70" w:type="dxa"/>
              <w:bottom w:w="70" w:type="dxa"/>
              <w:start w:w="120" w:type="dxa"/>
              <w:end w:w="120" w:type="dxa"/>
            </w:tcMar>
          </w:tcPr>
          <w:p>
            <w:pPr>
              <w:spacing w:after="0" w:line="240" w:lineRule="auto"/>
              <w:jc w:val="center"/>
            </w:pPr>
            <w:r>
              <w:rPr>
                <w:rFonts w:ascii="Calibri" w:hAnsi="Calibri"/>
                <w:color w:val="1F2933"/>
                <w:sz w:val="15"/>
              </w:rPr>
              <w:t>252</w:t>
            </w:r>
          </w:p>
        </w:tc>
        <w:tc>
          <w:tcPr>
            <w:tcW w:type="dxa" w:w="1512"/>
            <w:vAlign w:val="center"/>
            <w:tcMar>
              <w:top w:w="70" w:type="dxa"/>
              <w:bottom w:w="70" w:type="dxa"/>
              <w:start w:w="120" w:type="dxa"/>
              <w:end w:w="120" w:type="dxa"/>
            </w:tcMar>
          </w:tcPr>
          <w:p>
            <w:pPr>
              <w:spacing w:after="0" w:line="240" w:lineRule="auto"/>
              <w:jc w:val="center"/>
            </w:pPr>
            <w:r>
              <w:rPr>
                <w:rFonts w:ascii="Calibri" w:hAnsi="Calibri"/>
                <w:color w:val="1F2933"/>
                <w:sz w:val="15"/>
              </w:rPr>
              <w:t>15%</w:t>
            </w:r>
          </w:p>
        </w:tc>
        <w:tc>
          <w:tcPr>
            <w:tcW w:type="dxa" w:w="2088"/>
            <w:vAlign w:val="center"/>
            <w:tcMar>
              <w:top w:w="70" w:type="dxa"/>
              <w:bottom w:w="70" w:type="dxa"/>
              <w:start w:w="120" w:type="dxa"/>
              <w:end w:w="120" w:type="dxa"/>
            </w:tcMar>
          </w:tcPr>
          <w:p>
            <w:pPr>
              <w:spacing w:after="0" w:line="240" w:lineRule="auto"/>
              <w:jc w:val="center"/>
            </w:pPr>
            <w:r>
              <w:rPr>
                <w:rFonts w:ascii="Calibri" w:hAnsi="Calibri"/>
                <w:color w:val="1F2933"/>
                <w:sz w:val="15"/>
              </w:rPr>
              <w:t>2021-01-04</w:t>
            </w:r>
          </w:p>
        </w:tc>
      </w:tr>
      <w:tr>
        <w:tc>
          <w:tcPr>
            <w:tcW w:type="dxa" w:w="1656"/>
            <w:vAlign w:val="center"/>
            <w:shd w:fill="F7FAFC"/>
            <w:tcMar>
              <w:top w:w="70" w:type="dxa"/>
              <w:bottom w:w="70" w:type="dxa"/>
              <w:start w:w="120" w:type="dxa"/>
              <w:end w:w="120" w:type="dxa"/>
            </w:tcMar>
          </w:tcPr>
          <w:p>
            <w:pPr>
              <w:spacing w:after="0" w:line="240" w:lineRule="auto"/>
              <w:jc w:val="left"/>
            </w:pPr>
            <w:r>
              <w:rPr>
                <w:rFonts w:ascii="Calibri" w:hAnsi="Calibri"/>
                <w:color w:val="1F2933"/>
                <w:sz w:val="15"/>
              </w:rPr>
              <w:t>Crypto</w:t>
            </w:r>
          </w:p>
        </w:tc>
        <w:tc>
          <w:tcPr>
            <w:tcW w:type="dxa" w:w="108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5"/>
              </w:rPr>
              <w:t>10</w:t>
            </w:r>
          </w:p>
        </w:tc>
        <w:tc>
          <w:tcPr>
            <w:tcW w:type="dxa" w:w="1224"/>
            <w:vAlign w:val="center"/>
            <w:shd w:fill="F7FAFC"/>
            <w:tcMar>
              <w:top w:w="70" w:type="dxa"/>
              <w:bottom w:w="70" w:type="dxa"/>
              <w:start w:w="120" w:type="dxa"/>
              <w:end w:w="120" w:type="dxa"/>
            </w:tcMar>
          </w:tcPr>
          <w:p>
            <w:pPr>
              <w:spacing w:after="0" w:line="240" w:lineRule="auto"/>
              <w:jc w:val="center"/>
            </w:pPr>
            <w:r>
              <w:rPr>
                <w:rFonts w:ascii="Calibri" w:hAnsi="Calibri"/>
                <w:color w:val="1F2933"/>
                <w:sz w:val="15"/>
              </w:rPr>
              <w:t>365</w:t>
            </w:r>
          </w:p>
        </w:tc>
        <w:tc>
          <w:tcPr>
            <w:tcW w:type="dxa" w:w="1728"/>
            <w:vAlign w:val="center"/>
            <w:shd w:fill="F7FAFC"/>
            <w:tcMar>
              <w:top w:w="70" w:type="dxa"/>
              <w:bottom w:w="70" w:type="dxa"/>
              <w:start w:w="120" w:type="dxa"/>
              <w:end w:w="120" w:type="dxa"/>
            </w:tcMar>
          </w:tcPr>
          <w:p>
            <w:pPr>
              <w:spacing w:after="0" w:line="240" w:lineRule="auto"/>
              <w:jc w:val="center"/>
            </w:pPr>
            <w:r>
              <w:rPr>
                <w:rFonts w:ascii="Calibri" w:hAnsi="Calibri"/>
                <w:color w:val="1F2933"/>
                <w:sz w:val="15"/>
              </w:rPr>
              <w:t>365</w:t>
            </w:r>
          </w:p>
        </w:tc>
        <w:tc>
          <w:tcPr>
            <w:tcW w:type="dxa" w:w="1512"/>
            <w:vAlign w:val="center"/>
            <w:shd w:fill="F7FAFC"/>
            <w:tcMar>
              <w:top w:w="70" w:type="dxa"/>
              <w:bottom w:w="70" w:type="dxa"/>
              <w:start w:w="120" w:type="dxa"/>
              <w:end w:w="120" w:type="dxa"/>
            </w:tcMar>
          </w:tcPr>
          <w:p>
            <w:pPr>
              <w:spacing w:after="0" w:line="240" w:lineRule="auto"/>
              <w:jc w:val="center"/>
            </w:pPr>
            <w:r>
              <w:rPr>
                <w:rFonts w:ascii="Calibri" w:hAnsi="Calibri"/>
                <w:color w:val="1F2933"/>
                <w:sz w:val="15"/>
              </w:rPr>
              <w:t>35%</w:t>
            </w:r>
          </w:p>
        </w:tc>
        <w:tc>
          <w:tcPr>
            <w:tcW w:type="dxa" w:w="2088"/>
            <w:vAlign w:val="center"/>
            <w:shd w:fill="F7FAFC"/>
            <w:tcMar>
              <w:top w:w="70" w:type="dxa"/>
              <w:bottom w:w="70" w:type="dxa"/>
              <w:start w:w="120" w:type="dxa"/>
              <w:end w:w="120" w:type="dxa"/>
            </w:tcMar>
          </w:tcPr>
          <w:p>
            <w:pPr>
              <w:spacing w:after="0" w:line="240" w:lineRule="auto"/>
              <w:jc w:val="center"/>
            </w:pPr>
            <w:r>
              <w:rPr>
                <w:rFonts w:ascii="Calibri" w:hAnsi="Calibri"/>
                <w:color w:val="1F2933"/>
                <w:sz w:val="15"/>
              </w:rPr>
              <w:t>2021-01-01</w:t>
            </w:r>
          </w:p>
        </w:tc>
      </w:tr>
      <w:tr>
        <w:tc>
          <w:tcPr>
            <w:tcW w:type="dxa" w:w="1656"/>
            <w:vAlign w:val="center"/>
            <w:tcMar>
              <w:top w:w="70" w:type="dxa"/>
              <w:bottom w:w="70" w:type="dxa"/>
              <w:start w:w="120" w:type="dxa"/>
              <w:end w:w="120" w:type="dxa"/>
            </w:tcMar>
          </w:tcPr>
          <w:p>
            <w:pPr>
              <w:spacing w:after="0" w:line="240" w:lineRule="auto"/>
              <w:jc w:val="left"/>
            </w:pPr>
            <w:r>
              <w:rPr>
                <w:rFonts w:ascii="Calibri" w:hAnsi="Calibri"/>
                <w:color w:val="1F2933"/>
                <w:sz w:val="15"/>
              </w:rPr>
              <w:t>Combined</w:t>
            </w:r>
          </w:p>
        </w:tc>
        <w:tc>
          <w:tcPr>
            <w:tcW w:type="dxa" w:w="1080"/>
            <w:vAlign w:val="center"/>
            <w:tcMar>
              <w:top w:w="70" w:type="dxa"/>
              <w:bottom w:w="70" w:type="dxa"/>
              <w:start w:w="120" w:type="dxa"/>
              <w:end w:w="120" w:type="dxa"/>
            </w:tcMar>
          </w:tcPr>
          <w:p>
            <w:pPr>
              <w:spacing w:after="0" w:line="240" w:lineRule="auto"/>
              <w:jc w:val="center"/>
            </w:pPr>
            <w:r>
              <w:rPr>
                <w:rFonts w:ascii="Calibri" w:hAnsi="Calibri"/>
                <w:color w:val="1F2933"/>
                <w:sz w:val="15"/>
              </w:rPr>
              <w:t>60</w:t>
            </w:r>
          </w:p>
        </w:tc>
        <w:tc>
          <w:tcPr>
            <w:tcW w:type="dxa" w:w="1224"/>
            <w:vAlign w:val="center"/>
            <w:tcMar>
              <w:top w:w="70" w:type="dxa"/>
              <w:bottom w:w="70" w:type="dxa"/>
              <w:start w:w="120" w:type="dxa"/>
              <w:end w:w="120" w:type="dxa"/>
            </w:tcMar>
          </w:tcPr>
          <w:p>
            <w:pPr>
              <w:spacing w:after="0" w:line="240" w:lineRule="auto"/>
              <w:jc w:val="center"/>
            </w:pPr>
            <w:r>
              <w:rPr>
                <w:rFonts w:ascii="Calibri" w:hAnsi="Calibri"/>
                <w:color w:val="1F2933"/>
                <w:sz w:val="15"/>
              </w:rPr>
              <w:t>252</w:t>
            </w:r>
          </w:p>
        </w:tc>
        <w:tc>
          <w:tcPr>
            <w:tcW w:type="dxa" w:w="1728"/>
            <w:vAlign w:val="center"/>
            <w:tcMar>
              <w:top w:w="70" w:type="dxa"/>
              <w:bottom w:w="70" w:type="dxa"/>
              <w:start w:w="120" w:type="dxa"/>
              <w:end w:w="120" w:type="dxa"/>
            </w:tcMar>
          </w:tcPr>
          <w:p>
            <w:pPr>
              <w:spacing w:after="0" w:line="240" w:lineRule="auto"/>
              <w:jc w:val="center"/>
            </w:pPr>
            <w:r>
              <w:rPr>
                <w:rFonts w:ascii="Calibri" w:hAnsi="Calibri"/>
                <w:color w:val="1F2933"/>
                <w:sz w:val="15"/>
              </w:rPr>
              <w:t>252</w:t>
            </w:r>
          </w:p>
        </w:tc>
        <w:tc>
          <w:tcPr>
            <w:tcW w:type="dxa" w:w="1512"/>
            <w:vAlign w:val="center"/>
            <w:tcMar>
              <w:top w:w="70" w:type="dxa"/>
              <w:bottom w:w="70" w:type="dxa"/>
              <w:start w:w="120" w:type="dxa"/>
              <w:end w:w="120" w:type="dxa"/>
            </w:tcMar>
          </w:tcPr>
          <w:p>
            <w:pPr>
              <w:spacing w:after="0" w:line="240" w:lineRule="auto"/>
              <w:jc w:val="center"/>
            </w:pPr>
            <w:r>
              <w:rPr>
                <w:rFonts w:ascii="Calibri" w:hAnsi="Calibri"/>
                <w:color w:val="1F2933"/>
                <w:sz w:val="15"/>
              </w:rPr>
              <w:t>12%</w:t>
            </w:r>
          </w:p>
        </w:tc>
        <w:tc>
          <w:tcPr>
            <w:tcW w:type="dxa" w:w="2088"/>
            <w:vAlign w:val="center"/>
            <w:tcMar>
              <w:top w:w="70" w:type="dxa"/>
              <w:bottom w:w="70" w:type="dxa"/>
              <w:start w:w="120" w:type="dxa"/>
              <w:end w:w="120" w:type="dxa"/>
            </w:tcMar>
          </w:tcPr>
          <w:p>
            <w:pPr>
              <w:spacing w:after="0" w:line="240" w:lineRule="auto"/>
              <w:jc w:val="center"/>
            </w:pPr>
            <w:r>
              <w:rPr>
                <w:rFonts w:ascii="Calibri" w:hAnsi="Calibri"/>
                <w:color w:val="1F2933"/>
                <w:sz w:val="15"/>
              </w:rPr>
              <w:t>2021-01-04</w:t>
            </w:r>
          </w:p>
        </w:tc>
      </w:tr>
    </w:tbl>
    <w:p>
      <w:pPr>
        <w:spacing w:after="40"/>
      </w:pPr>
    </w:p>
    <w:p>
      <w:pPr>
        <w:pStyle w:val="Heading2"/>
      </w:pPr>
      <w:r>
        <w:t>Four portfolio rules</w:t>
      </w:r>
    </w:p>
    <w:p>
      <w:pPr/>
      <w:r>
        <w:rPr>
          <w:rFonts w:ascii="Calibri" w:hAnsi="Calibri"/>
        </w:rPr>
        <w:t>Equal Weight is a transparent baseline. Minimum Variance minimises forecast portfolio variance. Maximum Sharpe maximises expected excess return per unit of volatility with a zero risk-free rate. Risk Parity minimises differences between assets' variance contributions. All targets are long-only and fully invested. To reduce estimation noise, annualised means are shrunk 50% toward the cross-sectional mean and the sample covariance is shrunk 10% toward its diagonal. Assets need at least 80% of the trailing window; any remaining gaps would be filled by that asset's window mean. Combined moments use already-computed crypto daily returns observed on equity dates and are annualised at 252 periods; crypto-only moments use the full seven-day series and 365.</w:t>
      </w:r>
    </w:p>
    <w:p>
      <w:pPr>
        <w:pStyle w:val="Heading2"/>
      </w:pPr>
      <w:r>
        <w:t>Execution and validation</w:t>
      </w:r>
    </w:p>
    <w:p>
      <w:pPr/>
      <w:r>
        <w:rPr>
          <w:rFonts w:ascii="Calibri" w:hAnsi="Calibri"/>
        </w:rPr>
        <w:t>After each monthly trade, asset weights drift with relative returns until the next rebalance. Turnover is one half of the absolute difference between the new target and the actual pre-trade weights. A cost of 5 basis points per unit of that turnover is deducted on the rebalance date. This model is more realistic than holding target weights constant every day, but it still omits spreads, market impact, taxes, fees, and capacity limits. Reported 'net' results refer only to this estimated trading-cost deduction; no management fee is included.</w:t>
      </w:r>
    </w:p>
    <w:p>
      <w:pPr>
        <w:spacing w:before="80" w:after="140"/>
        <w:ind w:left="227" w:right="113"/>
        <w:shd w:fill="EEF4F7"/>
        <w:pBdr>
          <w:left w:val="single" w:sz="22" w:space="8" w:color="2A9D8F"/>
        </w:pBdr>
      </w:pPr>
      <w:r>
        <w:rPr>
          <w:rFonts w:ascii="Calibri" w:hAnsi="Calibri"/>
          <w:b/>
          <w:color w:val="16324F"/>
          <w:sz w:val="18"/>
        </w:rPr>
        <w:t xml:space="preserve">Reproducibility gate: </w:t>
      </w:r>
      <w:r>
        <w:rPr>
          <w:rFonts w:ascii="Calibri" w:hAnsi="Calibri"/>
        </w:rPr>
        <w:t>The final pipeline passes 23 of 23 checks covering unique keys, first-return boundaries, forward-only headline alignment, 12 fund identities, long-only weights summing to one, strict estimation timing, method differentiation, solver reliability, sentiment bounds, signal-calendar coverage, risk-contribution reconciliation, annual outputs, and fusion weights. Across 1,129,320 repeated estimation-window cells, 0 are mean-filled and no asset-window fails the 80% coverage rule. There are 1 solver fallback event(s). On failure or a non-finite SLSQP solution, the same cap is applied to inverse variance for Minimum Variance, positive mean divided by variance for Maximum Sharpe, or inverse volatility for Risk Parity.</w:t>
      </w:r>
    </w:p>
    <w:p>
      <w:r>
        <w:br w:type="page"/>
      </w:r>
    </w:p>
    <w:p>
      <w:pPr>
        <w:pStyle w:val="Heading1"/>
      </w:pPr>
      <w:r>
        <w:t>3. Out-of-sample fund comparison</w:t>
      </w:r>
    </w:p>
    <w:p>
      <w:pPr>
        <w:pStyle w:val="Caption"/>
      </w:pPr>
      <w:r>
        <w:rPr>
          <w:rFonts w:ascii="Calibri" w:hAnsi="Calibri"/>
          <w:i/>
          <w:color w:val="64748B"/>
          <w:sz w:val="15"/>
        </w:rPr>
        <w:t xml:space="preserve">Table </w:t>
      </w:r>
      <w:bookmarkStart w:id="22" w:name="_RefTblPerformance"/>
      <w:r>
        <w:rPr>
          <w:rFonts w:ascii="Calibri" w:hAnsi="Calibri"/>
          <w:i/>
          <w:color w:val="64748B"/>
          <w:sz w:val="15"/>
        </w:rPr>
        <w:fldChar w:fldCharType="begin"/>
      </w:r>
      <w:r>
        <w:rPr>
          <w:rFonts w:ascii="Calibri" w:hAnsi="Calibri"/>
          <w:i/>
          <w:color w:val="64748B"/>
          <w:sz w:val="15"/>
        </w:rPr>
        <w:instrText xml:space="preserve"> SEQ Table \* ARABIC </w:instrText>
      </w:r>
      <w:r>
        <w:rPr>
          <w:rFonts w:ascii="Calibri" w:hAnsi="Calibri"/>
          <w:i/>
          <w:color w:val="64748B"/>
          <w:sz w:val="15"/>
        </w:rPr>
        <w:fldChar w:fldCharType="separate"/>
      </w:r>
      <w:r>
        <w:rPr>
          <w:rFonts w:ascii="Calibri" w:hAnsi="Calibri"/>
          <w:i/>
          <w:color w:val="64748B"/>
          <w:sz w:val="15"/>
        </w:rPr>
        <w:t>3</w:t>
      </w:r>
      <w:r>
        <w:rPr>
          <w:rFonts w:ascii="Calibri" w:hAnsi="Calibri"/>
          <w:i/>
          <w:color w:val="64748B"/>
          <w:sz w:val="15"/>
        </w:rPr>
        <w:fldChar w:fldCharType="end"/>
      </w:r>
      <w:bookmarkEnd w:id="22"/>
      <w:r>
        <w:rPr>
          <w:rFonts w:ascii="Calibri" w:hAnsi="Calibri"/>
          <w:i/>
          <w:color w:val="64748B"/>
          <w:sz w:val="15"/>
        </w:rPr>
        <w:t>. Out-of-sample fund performance after 5 basis points per unit of realised turnover but before management fees. Return is the annualised arithmetic mean; volatility uses the matching 252- or 365-period calendar; Sharpe assumes a 0% risk-free rate; turnover is average realised monthly turnover. Source sample: 2020-2023; live period: 2021-2023. Source: author calculations.</w:t>
      </w:r>
    </w:p>
    <w:tbl>
      <w:tblPr>
        <w:tblStyle w:val="TableGrid"/>
        <w:tblW w:type="dxa" w:w="9346"/>
        <w:tblLayout w:type="fixed"/>
        <w:tblLook w:firstColumn="1" w:firstRow="1" w:lastColumn="0" w:lastRow="0" w:noHBand="0" w:noVBand="1" w:val="04A0"/>
        <w:jc w:val="left"/>
        <w:tblInd w:type="dxa" w:w="120"/>
      </w:tblPr>
      <w:tblGrid>
        <w:gridCol w:w="3528"/>
        <w:gridCol w:w="1181"/>
        <w:gridCol w:w="1123"/>
        <w:gridCol w:w="1037"/>
        <w:gridCol w:w="1181"/>
        <w:gridCol w:w="1296"/>
      </w:tblGrid>
      <w:tr>
        <w:trPr>
          <w:tblHeader w:val="true"/>
        </w:trPr>
        <w:tc>
          <w:tcPr>
            <w:tcW w:type="dxa" w:w="3528"/>
            <w:tcMar>
              <w:top w:w="70" w:type="dxa"/>
              <w:bottom w:w="70" w:type="dxa"/>
              <w:start w:w="120" w:type="dxa"/>
              <w:end w:w="120" w:type="dxa"/>
            </w:tcMar>
            <w:vAlign w:val="center"/>
            <w:shd w:fill="16324F"/>
          </w:tcPr>
          <w:p>
            <w:pPr>
              <w:spacing w:after="0"/>
              <w:jc w:val="center"/>
            </w:pPr>
            <w:r>
              <w:rPr>
                <w:rFonts w:ascii="Calibri" w:hAnsi="Calibri"/>
                <w:b/>
                <w:color w:val="FFFFFF"/>
                <w:sz w:val="14"/>
              </w:rPr>
              <w:t>Fund</w:t>
            </w:r>
          </w:p>
        </w:tc>
        <w:tc>
          <w:tcPr>
            <w:tcW w:type="dxa" w:w="1181"/>
            <w:tcMar>
              <w:top w:w="70" w:type="dxa"/>
              <w:bottom w:w="70" w:type="dxa"/>
              <w:start w:w="120" w:type="dxa"/>
              <w:end w:w="120" w:type="dxa"/>
            </w:tcMar>
            <w:vAlign w:val="center"/>
            <w:shd w:fill="16324F"/>
          </w:tcPr>
          <w:p>
            <w:pPr>
              <w:spacing w:after="0"/>
              <w:jc w:val="center"/>
            </w:pPr>
            <w:r>
              <w:rPr>
                <w:rFonts w:ascii="Calibri" w:hAnsi="Calibri"/>
                <w:b/>
                <w:color w:val="FFFFFF"/>
                <w:sz w:val="14"/>
              </w:rPr>
              <w:t>Return</w:t>
            </w:r>
          </w:p>
        </w:tc>
        <w:tc>
          <w:tcPr>
            <w:tcW w:type="dxa" w:w="1123"/>
            <w:tcMar>
              <w:top w:w="70" w:type="dxa"/>
              <w:bottom w:w="70" w:type="dxa"/>
              <w:start w:w="120" w:type="dxa"/>
              <w:end w:w="120" w:type="dxa"/>
            </w:tcMar>
            <w:vAlign w:val="center"/>
            <w:shd w:fill="16324F"/>
          </w:tcPr>
          <w:p>
            <w:pPr>
              <w:spacing w:after="0"/>
              <w:jc w:val="center"/>
            </w:pPr>
            <w:r>
              <w:rPr>
                <w:rFonts w:ascii="Calibri" w:hAnsi="Calibri"/>
                <w:b/>
                <w:color w:val="FFFFFF"/>
                <w:sz w:val="14"/>
              </w:rPr>
              <w:t>Vol.</w:t>
            </w:r>
          </w:p>
        </w:tc>
        <w:tc>
          <w:tcPr>
            <w:tcW w:type="dxa" w:w="1037"/>
            <w:tcMar>
              <w:top w:w="70" w:type="dxa"/>
              <w:bottom w:w="70" w:type="dxa"/>
              <w:start w:w="120" w:type="dxa"/>
              <w:end w:w="120" w:type="dxa"/>
            </w:tcMar>
            <w:vAlign w:val="center"/>
            <w:shd w:fill="16324F"/>
          </w:tcPr>
          <w:p>
            <w:pPr>
              <w:spacing w:after="0"/>
              <w:jc w:val="center"/>
            </w:pPr>
            <w:r>
              <w:rPr>
                <w:rFonts w:ascii="Calibri" w:hAnsi="Calibri"/>
                <w:b/>
                <w:color w:val="FFFFFF"/>
                <w:sz w:val="14"/>
              </w:rPr>
              <w:t>Sharpe</w:t>
            </w:r>
          </w:p>
        </w:tc>
        <w:tc>
          <w:tcPr>
            <w:tcW w:type="dxa" w:w="1181"/>
            <w:tcMar>
              <w:top w:w="70" w:type="dxa"/>
              <w:bottom w:w="70" w:type="dxa"/>
              <w:start w:w="120" w:type="dxa"/>
              <w:end w:w="120" w:type="dxa"/>
            </w:tcMar>
            <w:vAlign w:val="center"/>
            <w:shd w:fill="16324F"/>
          </w:tcPr>
          <w:p>
            <w:pPr>
              <w:spacing w:after="0"/>
              <w:jc w:val="center"/>
            </w:pPr>
            <w:r>
              <w:rPr>
                <w:rFonts w:ascii="Calibri" w:hAnsi="Calibri"/>
                <w:b/>
                <w:color w:val="FFFFFF"/>
                <w:sz w:val="14"/>
              </w:rPr>
              <w:t>Max DD</w:t>
            </w:r>
          </w:p>
        </w:tc>
        <w:tc>
          <w:tcPr>
            <w:tcW w:type="dxa" w:w="1296"/>
            <w:tcMar>
              <w:top w:w="70" w:type="dxa"/>
              <w:bottom w:w="70" w:type="dxa"/>
              <w:start w:w="120" w:type="dxa"/>
              <w:end w:w="120" w:type="dxa"/>
            </w:tcMar>
            <w:vAlign w:val="center"/>
            <w:shd w:fill="16324F"/>
          </w:tcPr>
          <w:p>
            <w:pPr>
              <w:spacing w:after="0"/>
              <w:jc w:val="center"/>
            </w:pPr>
            <w:r>
              <w:rPr>
                <w:rFonts w:ascii="Calibri" w:hAnsi="Calibri"/>
                <w:b/>
                <w:color w:val="FFFFFF"/>
                <w:sz w:val="14"/>
              </w:rPr>
              <w:t>Turnover</w:t>
            </w:r>
          </w:p>
        </w:tc>
      </w:tr>
      <w:tr>
        <w:tc>
          <w:tcPr>
            <w:tcW w:type="dxa" w:w="3528"/>
            <w:vAlign w:val="center"/>
            <w:tcMar>
              <w:top w:w="70" w:type="dxa"/>
              <w:bottom w:w="70" w:type="dxa"/>
              <w:start w:w="120" w:type="dxa"/>
              <w:end w:w="120" w:type="dxa"/>
            </w:tcMar>
          </w:tcPr>
          <w:p>
            <w:pPr>
              <w:spacing w:after="0" w:line="240" w:lineRule="auto"/>
              <w:jc w:val="left"/>
            </w:pPr>
            <w:r>
              <w:rPr>
                <w:rFonts w:ascii="Calibri" w:hAnsi="Calibri"/>
                <w:color w:val="1F2933"/>
                <w:sz w:val="14"/>
              </w:rPr>
              <w:t>Equity Equal Weight</w:t>
            </w:r>
          </w:p>
        </w:tc>
        <w:tc>
          <w:tcPr>
            <w:tcW w:type="dxa" w:w="1181"/>
            <w:vAlign w:val="center"/>
            <w:tcMar>
              <w:top w:w="70" w:type="dxa"/>
              <w:bottom w:w="70" w:type="dxa"/>
              <w:start w:w="120" w:type="dxa"/>
              <w:end w:w="120" w:type="dxa"/>
            </w:tcMar>
          </w:tcPr>
          <w:p>
            <w:pPr>
              <w:spacing w:after="0" w:line="240" w:lineRule="auto"/>
              <w:jc w:val="center"/>
            </w:pPr>
            <w:r>
              <w:rPr>
                <w:rFonts w:ascii="Calibri" w:hAnsi="Calibri"/>
                <w:color w:val="1F2933"/>
                <w:sz w:val="14"/>
              </w:rPr>
              <w:t>13.2%</w:t>
            </w:r>
          </w:p>
        </w:tc>
        <w:tc>
          <w:tcPr>
            <w:tcW w:type="dxa" w:w="1123"/>
            <w:vAlign w:val="center"/>
            <w:tcMar>
              <w:top w:w="70" w:type="dxa"/>
              <w:bottom w:w="70" w:type="dxa"/>
              <w:start w:w="120" w:type="dxa"/>
              <w:end w:w="120" w:type="dxa"/>
            </w:tcMar>
          </w:tcPr>
          <w:p>
            <w:pPr>
              <w:spacing w:after="0" w:line="240" w:lineRule="auto"/>
              <w:jc w:val="center"/>
            </w:pPr>
            <w:r>
              <w:rPr>
                <w:rFonts w:ascii="Calibri" w:hAnsi="Calibri"/>
                <w:color w:val="1F2933"/>
                <w:sz w:val="14"/>
              </w:rPr>
              <w:t>16.1%</w:t>
            </w:r>
          </w:p>
        </w:tc>
        <w:tc>
          <w:tcPr>
            <w:tcW w:type="dxa" w:w="1037"/>
            <w:vAlign w:val="center"/>
            <w:tcMar>
              <w:top w:w="70" w:type="dxa"/>
              <w:bottom w:w="70" w:type="dxa"/>
              <w:start w:w="120" w:type="dxa"/>
              <w:end w:w="120" w:type="dxa"/>
            </w:tcMar>
          </w:tcPr>
          <w:p>
            <w:pPr>
              <w:spacing w:after="0" w:line="240" w:lineRule="auto"/>
              <w:jc w:val="center"/>
            </w:pPr>
            <w:r>
              <w:rPr>
                <w:rFonts w:ascii="Calibri" w:hAnsi="Calibri"/>
                <w:color w:val="1F2933"/>
                <w:sz w:val="14"/>
              </w:rPr>
              <w:t>0.82</w:t>
            </w:r>
          </w:p>
        </w:tc>
        <w:tc>
          <w:tcPr>
            <w:tcW w:type="dxa" w:w="1181"/>
            <w:vAlign w:val="center"/>
            <w:tcMar>
              <w:top w:w="70" w:type="dxa"/>
              <w:bottom w:w="70" w:type="dxa"/>
              <w:start w:w="120" w:type="dxa"/>
              <w:end w:w="120" w:type="dxa"/>
            </w:tcMar>
          </w:tcPr>
          <w:p>
            <w:pPr>
              <w:spacing w:after="0" w:line="240" w:lineRule="auto"/>
              <w:jc w:val="center"/>
            </w:pPr>
            <w:r>
              <w:rPr>
                <w:rFonts w:ascii="Calibri" w:hAnsi="Calibri"/>
                <w:color w:val="1F2933"/>
                <w:sz w:val="14"/>
              </w:rPr>
              <w:t>-20.3%</w:t>
            </w:r>
          </w:p>
        </w:tc>
        <w:tc>
          <w:tcPr>
            <w:tcW w:type="dxa" w:w="1296"/>
            <w:vAlign w:val="center"/>
            <w:tcMar>
              <w:top w:w="70" w:type="dxa"/>
              <w:bottom w:w="70" w:type="dxa"/>
              <w:start w:w="120" w:type="dxa"/>
              <w:end w:w="120" w:type="dxa"/>
            </w:tcMar>
          </w:tcPr>
          <w:p>
            <w:pPr>
              <w:spacing w:after="0" w:line="240" w:lineRule="auto"/>
              <w:jc w:val="center"/>
            </w:pPr>
            <w:r>
              <w:rPr>
                <w:rFonts w:ascii="Calibri" w:hAnsi="Calibri"/>
                <w:color w:val="1F2933"/>
                <w:sz w:val="14"/>
              </w:rPr>
              <w:t>2.7%</w:t>
            </w:r>
          </w:p>
        </w:tc>
      </w:tr>
      <w:tr>
        <w:tc>
          <w:tcPr>
            <w:tcW w:type="dxa" w:w="3528"/>
            <w:vAlign w:val="center"/>
            <w:shd w:fill="F7FAFC"/>
            <w:tcMar>
              <w:top w:w="70" w:type="dxa"/>
              <w:bottom w:w="70" w:type="dxa"/>
              <w:start w:w="120" w:type="dxa"/>
              <w:end w:w="120" w:type="dxa"/>
            </w:tcMar>
          </w:tcPr>
          <w:p>
            <w:pPr>
              <w:spacing w:after="0" w:line="240" w:lineRule="auto"/>
              <w:jc w:val="left"/>
            </w:pPr>
            <w:r>
              <w:rPr>
                <w:rFonts w:ascii="Calibri" w:hAnsi="Calibri"/>
                <w:color w:val="1F2933"/>
                <w:sz w:val="14"/>
              </w:rPr>
              <w:t>Equity Maximum Sharpe</w:t>
            </w:r>
          </w:p>
        </w:tc>
        <w:tc>
          <w:tcPr>
            <w:tcW w:type="dxa" w:w="1181"/>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6.6%</w:t>
            </w:r>
          </w:p>
        </w:tc>
        <w:tc>
          <w:tcPr>
            <w:tcW w:type="dxa" w:w="1123"/>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15.8%</w:t>
            </w:r>
          </w:p>
        </w:tc>
        <w:tc>
          <w:tcPr>
            <w:tcW w:type="dxa" w:w="1037"/>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0.42</w:t>
            </w:r>
          </w:p>
        </w:tc>
        <w:tc>
          <w:tcPr>
            <w:tcW w:type="dxa" w:w="1181"/>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-20.9%</w:t>
            </w:r>
          </w:p>
        </w:tc>
        <w:tc>
          <w:tcPr>
            <w:tcW w:type="dxa" w:w="1296"/>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27.3%</w:t>
            </w:r>
          </w:p>
        </w:tc>
      </w:tr>
      <w:tr>
        <w:tc>
          <w:tcPr>
            <w:tcW w:type="dxa" w:w="3528"/>
            <w:vAlign w:val="center"/>
            <w:tcMar>
              <w:top w:w="70" w:type="dxa"/>
              <w:bottom w:w="70" w:type="dxa"/>
              <w:start w:w="120" w:type="dxa"/>
              <w:end w:w="120" w:type="dxa"/>
            </w:tcMar>
          </w:tcPr>
          <w:p>
            <w:pPr>
              <w:spacing w:after="0" w:line="240" w:lineRule="auto"/>
              <w:jc w:val="left"/>
            </w:pPr>
            <w:r>
              <w:rPr>
                <w:rFonts w:ascii="Calibri" w:hAnsi="Calibri"/>
                <w:color w:val="1F2933"/>
                <w:sz w:val="14"/>
              </w:rPr>
              <w:t>Equity Minimum Variance</w:t>
            </w:r>
          </w:p>
        </w:tc>
        <w:tc>
          <w:tcPr>
            <w:tcW w:type="dxa" w:w="1181"/>
            <w:vAlign w:val="center"/>
            <w:tcMar>
              <w:top w:w="70" w:type="dxa"/>
              <w:bottom w:w="70" w:type="dxa"/>
              <w:start w:w="120" w:type="dxa"/>
              <w:end w:w="120" w:type="dxa"/>
            </w:tcMar>
          </w:tcPr>
          <w:p>
            <w:pPr>
              <w:spacing w:after="0" w:line="240" w:lineRule="auto"/>
              <w:jc w:val="center"/>
            </w:pPr>
            <w:r>
              <w:rPr>
                <w:rFonts w:ascii="Calibri" w:hAnsi="Calibri"/>
                <w:color w:val="1F2933"/>
                <w:sz w:val="14"/>
              </w:rPr>
              <w:t>6.4%</w:t>
            </w:r>
          </w:p>
        </w:tc>
        <w:tc>
          <w:tcPr>
            <w:tcW w:type="dxa" w:w="1123"/>
            <w:vAlign w:val="center"/>
            <w:tcMar>
              <w:top w:w="70" w:type="dxa"/>
              <w:bottom w:w="70" w:type="dxa"/>
              <w:start w:w="120" w:type="dxa"/>
              <w:end w:w="120" w:type="dxa"/>
            </w:tcMar>
          </w:tcPr>
          <w:p>
            <w:pPr>
              <w:spacing w:after="0" w:line="240" w:lineRule="auto"/>
              <w:jc w:val="center"/>
            </w:pPr>
            <w:r>
              <w:rPr>
                <w:rFonts w:ascii="Calibri" w:hAnsi="Calibri"/>
                <w:color w:val="1F2933"/>
                <w:sz w:val="14"/>
              </w:rPr>
              <w:t>12.6%</w:t>
            </w:r>
          </w:p>
        </w:tc>
        <w:tc>
          <w:tcPr>
            <w:tcW w:type="dxa" w:w="1037"/>
            <w:vAlign w:val="center"/>
            <w:tcMar>
              <w:top w:w="70" w:type="dxa"/>
              <w:bottom w:w="70" w:type="dxa"/>
              <w:start w:w="120" w:type="dxa"/>
              <w:end w:w="120" w:type="dxa"/>
            </w:tcMar>
          </w:tcPr>
          <w:p>
            <w:pPr>
              <w:spacing w:after="0" w:line="240" w:lineRule="auto"/>
              <w:jc w:val="center"/>
            </w:pPr>
            <w:r>
              <w:rPr>
                <w:rFonts w:ascii="Calibri" w:hAnsi="Calibri"/>
                <w:color w:val="1F2933"/>
                <w:sz w:val="14"/>
              </w:rPr>
              <w:t>0.51</w:t>
            </w:r>
          </w:p>
        </w:tc>
        <w:tc>
          <w:tcPr>
            <w:tcW w:type="dxa" w:w="1181"/>
            <w:vAlign w:val="center"/>
            <w:tcMar>
              <w:top w:w="70" w:type="dxa"/>
              <w:bottom w:w="70" w:type="dxa"/>
              <w:start w:w="120" w:type="dxa"/>
              <w:end w:w="120" w:type="dxa"/>
            </w:tcMar>
          </w:tcPr>
          <w:p>
            <w:pPr>
              <w:spacing w:after="0" w:line="240" w:lineRule="auto"/>
              <w:jc w:val="center"/>
            </w:pPr>
            <w:r>
              <w:rPr>
                <w:rFonts w:ascii="Calibri" w:hAnsi="Calibri"/>
                <w:color w:val="1F2933"/>
                <w:sz w:val="14"/>
              </w:rPr>
              <w:t>-15.4%</w:t>
            </w:r>
          </w:p>
        </w:tc>
        <w:tc>
          <w:tcPr>
            <w:tcW w:type="dxa" w:w="1296"/>
            <w:vAlign w:val="center"/>
            <w:tcMar>
              <w:top w:w="70" w:type="dxa"/>
              <w:bottom w:w="70" w:type="dxa"/>
              <w:start w:w="120" w:type="dxa"/>
              <w:end w:w="120" w:type="dxa"/>
            </w:tcMar>
          </w:tcPr>
          <w:p>
            <w:pPr>
              <w:spacing w:after="0" w:line="240" w:lineRule="auto"/>
              <w:jc w:val="center"/>
            </w:pPr>
            <w:r>
              <w:rPr>
                <w:rFonts w:ascii="Calibri" w:hAnsi="Calibri"/>
                <w:color w:val="1F2933"/>
                <w:sz w:val="14"/>
              </w:rPr>
              <w:t>12.8%</w:t>
            </w:r>
          </w:p>
        </w:tc>
      </w:tr>
      <w:tr>
        <w:tc>
          <w:tcPr>
            <w:tcW w:type="dxa" w:w="3528"/>
            <w:vAlign w:val="center"/>
            <w:shd w:fill="F7FAFC"/>
            <w:tcMar>
              <w:top w:w="70" w:type="dxa"/>
              <w:bottom w:w="70" w:type="dxa"/>
              <w:start w:w="120" w:type="dxa"/>
              <w:end w:w="120" w:type="dxa"/>
            </w:tcMar>
          </w:tcPr>
          <w:p>
            <w:pPr>
              <w:spacing w:after="0" w:line="240" w:lineRule="auto"/>
              <w:jc w:val="left"/>
            </w:pPr>
            <w:r>
              <w:rPr>
                <w:rFonts w:ascii="Calibri" w:hAnsi="Calibri"/>
                <w:color w:val="1F2933"/>
                <w:sz w:val="14"/>
              </w:rPr>
              <w:t>Equity Risk Parity</w:t>
            </w:r>
          </w:p>
        </w:tc>
        <w:tc>
          <w:tcPr>
            <w:tcW w:type="dxa" w:w="1181"/>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10.5%</w:t>
            </w:r>
          </w:p>
        </w:tc>
        <w:tc>
          <w:tcPr>
            <w:tcW w:type="dxa" w:w="1123"/>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14.5%</w:t>
            </w:r>
          </w:p>
        </w:tc>
        <w:tc>
          <w:tcPr>
            <w:tcW w:type="dxa" w:w="1037"/>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0.72</w:t>
            </w:r>
          </w:p>
        </w:tc>
        <w:tc>
          <w:tcPr>
            <w:tcW w:type="dxa" w:w="1181"/>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-18.5%</w:t>
            </w:r>
          </w:p>
        </w:tc>
        <w:tc>
          <w:tcPr>
            <w:tcW w:type="dxa" w:w="1296"/>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3.2%</w:t>
            </w:r>
          </w:p>
        </w:tc>
      </w:tr>
      <w:tr>
        <w:tc>
          <w:tcPr>
            <w:tcW w:type="dxa" w:w="3528"/>
            <w:vAlign w:val="center"/>
            <w:tcMar>
              <w:top w:w="70" w:type="dxa"/>
              <w:bottom w:w="70" w:type="dxa"/>
              <w:start w:w="120" w:type="dxa"/>
              <w:end w:w="120" w:type="dxa"/>
            </w:tcMar>
          </w:tcPr>
          <w:p>
            <w:pPr>
              <w:spacing w:after="0" w:line="240" w:lineRule="auto"/>
              <w:jc w:val="left"/>
            </w:pPr>
            <w:r>
              <w:rPr>
                <w:rFonts w:ascii="Calibri" w:hAnsi="Calibri"/>
                <w:color w:val="1F2933"/>
                <w:sz w:val="14"/>
              </w:rPr>
              <w:t>Crypto Equal Weight</w:t>
            </w:r>
          </w:p>
        </w:tc>
        <w:tc>
          <w:tcPr>
            <w:tcW w:type="dxa" w:w="1181"/>
            <w:vAlign w:val="center"/>
            <w:tcMar>
              <w:top w:w="70" w:type="dxa"/>
              <w:bottom w:w="70" w:type="dxa"/>
              <w:start w:w="120" w:type="dxa"/>
              <w:end w:w="120" w:type="dxa"/>
            </w:tcMar>
          </w:tcPr>
          <w:p>
            <w:pPr>
              <w:spacing w:after="0" w:line="240" w:lineRule="auto"/>
              <w:jc w:val="center"/>
            </w:pPr>
            <w:r>
              <w:rPr>
                <w:rFonts w:ascii="Calibri" w:hAnsi="Calibri"/>
                <w:color w:val="1F2933"/>
                <w:sz w:val="14"/>
              </w:rPr>
              <w:t>67.8%</w:t>
            </w:r>
          </w:p>
        </w:tc>
        <w:tc>
          <w:tcPr>
            <w:tcW w:type="dxa" w:w="1123"/>
            <w:vAlign w:val="center"/>
            <w:tcMar>
              <w:top w:w="70" w:type="dxa"/>
              <w:bottom w:w="70" w:type="dxa"/>
              <w:start w:w="120" w:type="dxa"/>
              <w:end w:w="120" w:type="dxa"/>
            </w:tcMar>
          </w:tcPr>
          <w:p>
            <w:pPr>
              <w:spacing w:after="0" w:line="240" w:lineRule="auto"/>
              <w:jc w:val="center"/>
            </w:pPr>
            <w:r>
              <w:rPr>
                <w:rFonts w:ascii="Calibri" w:hAnsi="Calibri"/>
                <w:color w:val="1F2933"/>
                <w:sz w:val="14"/>
              </w:rPr>
              <w:t>81.9%</w:t>
            </w:r>
          </w:p>
        </w:tc>
        <w:tc>
          <w:tcPr>
            <w:tcW w:type="dxa" w:w="1037"/>
            <w:vAlign w:val="center"/>
            <w:tcMar>
              <w:top w:w="70" w:type="dxa"/>
              <w:bottom w:w="70" w:type="dxa"/>
              <w:start w:w="120" w:type="dxa"/>
              <w:end w:w="120" w:type="dxa"/>
            </w:tcMar>
          </w:tcPr>
          <w:p>
            <w:pPr>
              <w:spacing w:after="0" w:line="240" w:lineRule="auto"/>
              <w:jc w:val="center"/>
            </w:pPr>
            <w:r>
              <w:rPr>
                <w:rFonts w:ascii="Calibri" w:hAnsi="Calibri"/>
                <w:color w:val="1F2933"/>
                <w:sz w:val="14"/>
              </w:rPr>
              <w:t>0.83</w:t>
            </w:r>
          </w:p>
        </w:tc>
        <w:tc>
          <w:tcPr>
            <w:tcW w:type="dxa" w:w="1181"/>
            <w:vAlign w:val="center"/>
            <w:tcMar>
              <w:top w:w="70" w:type="dxa"/>
              <w:bottom w:w="70" w:type="dxa"/>
              <w:start w:w="120" w:type="dxa"/>
              <w:end w:w="120" w:type="dxa"/>
            </w:tcMar>
          </w:tcPr>
          <w:p>
            <w:pPr>
              <w:spacing w:after="0" w:line="240" w:lineRule="auto"/>
              <w:jc w:val="center"/>
            </w:pPr>
            <w:r>
              <w:rPr>
                <w:rFonts w:ascii="Calibri" w:hAnsi="Calibri"/>
                <w:color w:val="1F2933"/>
                <w:sz w:val="14"/>
              </w:rPr>
              <w:t>-81.6%</w:t>
            </w:r>
          </w:p>
        </w:tc>
        <w:tc>
          <w:tcPr>
            <w:tcW w:type="dxa" w:w="1296"/>
            <w:vAlign w:val="center"/>
            <w:tcMar>
              <w:top w:w="70" w:type="dxa"/>
              <w:bottom w:w="70" w:type="dxa"/>
              <w:start w:w="120" w:type="dxa"/>
              <w:end w:w="120" w:type="dxa"/>
            </w:tcMar>
          </w:tcPr>
          <w:p>
            <w:pPr>
              <w:spacing w:after="0" w:line="240" w:lineRule="auto"/>
              <w:jc w:val="center"/>
            </w:pPr>
            <w:r>
              <w:rPr>
                <w:rFonts w:ascii="Calibri" w:hAnsi="Calibri"/>
                <w:color w:val="1F2933"/>
                <w:sz w:val="14"/>
              </w:rPr>
              <w:t>5.9%</w:t>
            </w:r>
          </w:p>
        </w:tc>
      </w:tr>
      <w:tr>
        <w:tc>
          <w:tcPr>
            <w:tcW w:type="dxa" w:w="3528"/>
            <w:vAlign w:val="center"/>
            <w:shd w:fill="F7FAFC"/>
            <w:tcMar>
              <w:top w:w="70" w:type="dxa"/>
              <w:bottom w:w="70" w:type="dxa"/>
              <w:start w:w="120" w:type="dxa"/>
              <w:end w:w="120" w:type="dxa"/>
            </w:tcMar>
          </w:tcPr>
          <w:p>
            <w:pPr>
              <w:spacing w:after="0" w:line="240" w:lineRule="auto"/>
              <w:jc w:val="left"/>
            </w:pPr>
            <w:r>
              <w:rPr>
                <w:rFonts w:ascii="Calibri" w:hAnsi="Calibri"/>
                <w:color w:val="1F2933"/>
                <w:sz w:val="14"/>
              </w:rPr>
              <w:t>Crypto Maximum Sharpe</w:t>
            </w:r>
          </w:p>
        </w:tc>
        <w:tc>
          <w:tcPr>
            <w:tcW w:type="dxa" w:w="1181"/>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44.5%</w:t>
            </w:r>
          </w:p>
        </w:tc>
        <w:tc>
          <w:tcPr>
            <w:tcW w:type="dxa" w:w="1123"/>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76.2%</w:t>
            </w:r>
          </w:p>
        </w:tc>
        <w:tc>
          <w:tcPr>
            <w:tcW w:type="dxa" w:w="1037"/>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0.58</w:t>
            </w:r>
          </w:p>
        </w:tc>
        <w:tc>
          <w:tcPr>
            <w:tcW w:type="dxa" w:w="1181"/>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-83.2%</w:t>
            </w:r>
          </w:p>
        </w:tc>
        <w:tc>
          <w:tcPr>
            <w:tcW w:type="dxa" w:w="1296"/>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20.1%</w:t>
            </w:r>
          </w:p>
        </w:tc>
      </w:tr>
      <w:tr>
        <w:tc>
          <w:tcPr>
            <w:tcW w:type="dxa" w:w="3528"/>
            <w:vAlign w:val="center"/>
            <w:tcMar>
              <w:top w:w="70" w:type="dxa"/>
              <w:bottom w:w="70" w:type="dxa"/>
              <w:start w:w="120" w:type="dxa"/>
              <w:end w:w="120" w:type="dxa"/>
            </w:tcMar>
          </w:tcPr>
          <w:p>
            <w:pPr>
              <w:spacing w:after="0" w:line="240" w:lineRule="auto"/>
              <w:jc w:val="left"/>
            </w:pPr>
            <w:r>
              <w:rPr>
                <w:rFonts w:ascii="Calibri" w:hAnsi="Calibri"/>
                <w:color w:val="1F2933"/>
                <w:sz w:val="14"/>
              </w:rPr>
              <w:t>Crypto Minimum Variance</w:t>
            </w:r>
          </w:p>
        </w:tc>
        <w:tc>
          <w:tcPr>
            <w:tcW w:type="dxa" w:w="1181"/>
            <w:vAlign w:val="center"/>
            <w:tcMar>
              <w:top w:w="70" w:type="dxa"/>
              <w:bottom w:w="70" w:type="dxa"/>
              <w:start w:w="120" w:type="dxa"/>
              <w:end w:w="120" w:type="dxa"/>
            </w:tcMar>
          </w:tcPr>
          <w:p>
            <w:pPr>
              <w:spacing w:after="0" w:line="240" w:lineRule="auto"/>
              <w:jc w:val="center"/>
            </w:pPr>
            <w:r>
              <w:rPr>
                <w:rFonts w:ascii="Calibri" w:hAnsi="Calibri"/>
                <w:color w:val="1F2933"/>
                <w:sz w:val="14"/>
              </w:rPr>
              <w:t>75.6%</w:t>
            </w:r>
          </w:p>
        </w:tc>
        <w:tc>
          <w:tcPr>
            <w:tcW w:type="dxa" w:w="1123"/>
            <w:vAlign w:val="center"/>
            <w:tcMar>
              <w:top w:w="70" w:type="dxa"/>
              <w:bottom w:w="70" w:type="dxa"/>
              <w:start w:w="120" w:type="dxa"/>
              <w:end w:w="120" w:type="dxa"/>
            </w:tcMar>
          </w:tcPr>
          <w:p>
            <w:pPr>
              <w:spacing w:after="0" w:line="240" w:lineRule="auto"/>
              <w:jc w:val="center"/>
            </w:pPr>
            <w:r>
              <w:rPr>
                <w:rFonts w:ascii="Calibri" w:hAnsi="Calibri"/>
                <w:color w:val="1F2933"/>
                <w:sz w:val="14"/>
              </w:rPr>
              <w:t>73.1%</w:t>
            </w:r>
          </w:p>
        </w:tc>
        <w:tc>
          <w:tcPr>
            <w:tcW w:type="dxa" w:w="1037"/>
            <w:vAlign w:val="center"/>
            <w:tcMar>
              <w:top w:w="70" w:type="dxa"/>
              <w:bottom w:w="70" w:type="dxa"/>
              <w:start w:w="120" w:type="dxa"/>
              <w:end w:w="120" w:type="dxa"/>
            </w:tcMar>
          </w:tcPr>
          <w:p>
            <w:pPr>
              <w:spacing w:after="0" w:line="240" w:lineRule="auto"/>
              <w:jc w:val="center"/>
            </w:pPr>
            <w:r>
              <w:rPr>
                <w:rFonts w:ascii="Calibri" w:hAnsi="Calibri"/>
                <w:color w:val="1F2933"/>
                <w:sz w:val="14"/>
              </w:rPr>
              <w:t>1.03</w:t>
            </w:r>
          </w:p>
        </w:tc>
        <w:tc>
          <w:tcPr>
            <w:tcW w:type="dxa" w:w="1181"/>
            <w:vAlign w:val="center"/>
            <w:tcMar>
              <w:top w:w="70" w:type="dxa"/>
              <w:bottom w:w="70" w:type="dxa"/>
              <w:start w:w="120" w:type="dxa"/>
              <w:end w:w="120" w:type="dxa"/>
            </w:tcMar>
          </w:tcPr>
          <w:p>
            <w:pPr>
              <w:spacing w:after="0" w:line="240" w:lineRule="auto"/>
              <w:jc w:val="center"/>
            </w:pPr>
            <w:r>
              <w:rPr>
                <w:rFonts w:ascii="Calibri" w:hAnsi="Calibri"/>
                <w:color w:val="1F2933"/>
                <w:sz w:val="14"/>
              </w:rPr>
              <w:t>-71.9%</w:t>
            </w:r>
          </w:p>
        </w:tc>
        <w:tc>
          <w:tcPr>
            <w:tcW w:type="dxa" w:w="1296"/>
            <w:vAlign w:val="center"/>
            <w:tcMar>
              <w:top w:w="70" w:type="dxa"/>
              <w:bottom w:w="70" w:type="dxa"/>
              <w:start w:w="120" w:type="dxa"/>
              <w:end w:w="120" w:type="dxa"/>
            </w:tcMar>
          </w:tcPr>
          <w:p>
            <w:pPr>
              <w:spacing w:after="0" w:line="240" w:lineRule="auto"/>
              <w:jc w:val="center"/>
            </w:pPr>
            <w:r>
              <w:rPr>
                <w:rFonts w:ascii="Calibri" w:hAnsi="Calibri"/>
                <w:color w:val="1F2933"/>
                <w:sz w:val="14"/>
              </w:rPr>
              <w:t>11.3%</w:t>
            </w:r>
          </w:p>
        </w:tc>
      </w:tr>
      <w:tr>
        <w:tc>
          <w:tcPr>
            <w:tcW w:type="dxa" w:w="3528"/>
            <w:vAlign w:val="center"/>
            <w:shd w:fill="F7FAFC"/>
            <w:tcMar>
              <w:top w:w="70" w:type="dxa"/>
              <w:bottom w:w="70" w:type="dxa"/>
              <w:start w:w="120" w:type="dxa"/>
              <w:end w:w="120" w:type="dxa"/>
            </w:tcMar>
          </w:tcPr>
          <w:p>
            <w:pPr>
              <w:spacing w:after="0" w:line="240" w:lineRule="auto"/>
              <w:jc w:val="left"/>
            </w:pPr>
            <w:r>
              <w:rPr>
                <w:rFonts w:ascii="Calibri" w:hAnsi="Calibri"/>
                <w:color w:val="1F2933"/>
                <w:sz w:val="14"/>
              </w:rPr>
              <w:t>Crypto Risk Parity</w:t>
            </w:r>
          </w:p>
        </w:tc>
        <w:tc>
          <w:tcPr>
            <w:tcW w:type="dxa" w:w="1181"/>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68.9%</w:t>
            </w:r>
          </w:p>
        </w:tc>
        <w:tc>
          <w:tcPr>
            <w:tcW w:type="dxa" w:w="1123"/>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79.9%</w:t>
            </w:r>
          </w:p>
        </w:tc>
        <w:tc>
          <w:tcPr>
            <w:tcW w:type="dxa" w:w="1037"/>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0.86</w:t>
            </w:r>
          </w:p>
        </w:tc>
        <w:tc>
          <w:tcPr>
            <w:tcW w:type="dxa" w:w="1181"/>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-79.9%</w:t>
            </w:r>
          </w:p>
        </w:tc>
        <w:tc>
          <w:tcPr>
            <w:tcW w:type="dxa" w:w="1296"/>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6.4%</w:t>
            </w:r>
          </w:p>
        </w:tc>
      </w:tr>
      <w:tr>
        <w:tc>
          <w:tcPr>
            <w:tcW w:type="dxa" w:w="3528"/>
            <w:vAlign w:val="center"/>
            <w:tcMar>
              <w:top w:w="70" w:type="dxa"/>
              <w:bottom w:w="70" w:type="dxa"/>
              <w:start w:w="120" w:type="dxa"/>
              <w:end w:w="120" w:type="dxa"/>
            </w:tcMar>
          </w:tcPr>
          <w:p>
            <w:pPr>
              <w:spacing w:after="0" w:line="240" w:lineRule="auto"/>
              <w:jc w:val="left"/>
            </w:pPr>
            <w:r>
              <w:rPr>
                <w:rFonts w:ascii="Calibri" w:hAnsi="Calibri"/>
                <w:color w:val="1F2933"/>
                <w:sz w:val="14"/>
              </w:rPr>
              <w:t>Combined Equal Weight</w:t>
            </w:r>
          </w:p>
        </w:tc>
        <w:tc>
          <w:tcPr>
            <w:tcW w:type="dxa" w:w="1181"/>
            <w:vAlign w:val="center"/>
            <w:tcMar>
              <w:top w:w="70" w:type="dxa"/>
              <w:bottom w:w="70" w:type="dxa"/>
              <w:start w:w="120" w:type="dxa"/>
              <w:end w:w="120" w:type="dxa"/>
            </w:tcMar>
          </w:tcPr>
          <w:p>
            <w:pPr>
              <w:spacing w:after="0" w:line="240" w:lineRule="auto"/>
              <w:jc w:val="center"/>
            </w:pPr>
            <w:r>
              <w:rPr>
                <w:rFonts w:ascii="Calibri" w:hAnsi="Calibri"/>
                <w:color w:val="1F2933"/>
                <w:sz w:val="14"/>
              </w:rPr>
              <w:t>16.4%</w:t>
            </w:r>
          </w:p>
        </w:tc>
        <w:tc>
          <w:tcPr>
            <w:tcW w:type="dxa" w:w="1123"/>
            <w:vAlign w:val="center"/>
            <w:tcMar>
              <w:top w:w="70" w:type="dxa"/>
              <w:bottom w:w="70" w:type="dxa"/>
              <w:start w:w="120" w:type="dxa"/>
              <w:end w:w="120" w:type="dxa"/>
            </w:tcMar>
          </w:tcPr>
          <w:p>
            <w:pPr>
              <w:spacing w:after="0" w:line="240" w:lineRule="auto"/>
              <w:jc w:val="center"/>
            </w:pPr>
            <w:r>
              <w:rPr>
                <w:rFonts w:ascii="Calibri" w:hAnsi="Calibri"/>
                <w:color w:val="1F2933"/>
                <w:sz w:val="14"/>
              </w:rPr>
              <w:t>21.6%</w:t>
            </w:r>
          </w:p>
        </w:tc>
        <w:tc>
          <w:tcPr>
            <w:tcW w:type="dxa" w:w="1037"/>
            <w:vAlign w:val="center"/>
            <w:tcMar>
              <w:top w:w="70" w:type="dxa"/>
              <w:bottom w:w="70" w:type="dxa"/>
              <w:start w:w="120" w:type="dxa"/>
              <w:end w:w="120" w:type="dxa"/>
            </w:tcMar>
          </w:tcPr>
          <w:p>
            <w:pPr>
              <w:spacing w:after="0" w:line="240" w:lineRule="auto"/>
              <w:jc w:val="center"/>
            </w:pPr>
            <w:r>
              <w:rPr>
                <w:rFonts w:ascii="Calibri" w:hAnsi="Calibri"/>
                <w:color w:val="1F2933"/>
                <w:sz w:val="14"/>
              </w:rPr>
              <w:t>0.76</w:t>
            </w:r>
          </w:p>
        </w:tc>
        <w:tc>
          <w:tcPr>
            <w:tcW w:type="dxa" w:w="1181"/>
            <w:vAlign w:val="center"/>
            <w:tcMar>
              <w:top w:w="70" w:type="dxa"/>
              <w:bottom w:w="70" w:type="dxa"/>
              <w:start w:w="120" w:type="dxa"/>
              <w:end w:w="120" w:type="dxa"/>
            </w:tcMar>
          </w:tcPr>
          <w:p>
            <w:pPr>
              <w:spacing w:after="0" w:line="240" w:lineRule="auto"/>
              <w:jc w:val="center"/>
            </w:pPr>
            <w:r>
              <w:rPr>
                <w:rFonts w:ascii="Calibri" w:hAnsi="Calibri"/>
                <w:color w:val="1F2933"/>
                <w:sz w:val="14"/>
              </w:rPr>
              <w:t>-27.9%</w:t>
            </w:r>
          </w:p>
        </w:tc>
        <w:tc>
          <w:tcPr>
            <w:tcW w:type="dxa" w:w="1296"/>
            <w:vAlign w:val="center"/>
            <w:tcMar>
              <w:top w:w="70" w:type="dxa"/>
              <w:bottom w:w="70" w:type="dxa"/>
              <w:start w:w="120" w:type="dxa"/>
              <w:end w:w="120" w:type="dxa"/>
            </w:tcMar>
          </w:tcPr>
          <w:p>
            <w:pPr>
              <w:spacing w:after="0" w:line="240" w:lineRule="auto"/>
              <w:jc w:val="center"/>
            </w:pPr>
            <w:r>
              <w:rPr>
                <w:rFonts w:ascii="Calibri" w:hAnsi="Calibri"/>
                <w:color w:val="1F2933"/>
                <w:sz w:val="14"/>
              </w:rPr>
              <w:t>3.9%</w:t>
            </w:r>
          </w:p>
        </w:tc>
      </w:tr>
      <w:tr>
        <w:tc>
          <w:tcPr>
            <w:tcW w:type="dxa" w:w="3528"/>
            <w:vAlign w:val="center"/>
            <w:shd w:fill="F7FAFC"/>
            <w:tcMar>
              <w:top w:w="70" w:type="dxa"/>
              <w:bottom w:w="70" w:type="dxa"/>
              <w:start w:w="120" w:type="dxa"/>
              <w:end w:w="120" w:type="dxa"/>
            </w:tcMar>
          </w:tcPr>
          <w:p>
            <w:pPr>
              <w:spacing w:after="0" w:line="240" w:lineRule="auto"/>
              <w:jc w:val="left"/>
            </w:pPr>
            <w:r>
              <w:rPr>
                <w:rFonts w:ascii="Calibri" w:hAnsi="Calibri"/>
                <w:color w:val="1F2933"/>
                <w:sz w:val="14"/>
              </w:rPr>
              <w:t>Combined Maximum Sharpe</w:t>
            </w:r>
          </w:p>
        </w:tc>
        <w:tc>
          <w:tcPr>
            <w:tcW w:type="dxa" w:w="1181"/>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12.1%</w:t>
            </w:r>
          </w:p>
        </w:tc>
        <w:tc>
          <w:tcPr>
            <w:tcW w:type="dxa" w:w="1123"/>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18.5%</w:t>
            </w:r>
          </w:p>
        </w:tc>
        <w:tc>
          <w:tcPr>
            <w:tcW w:type="dxa" w:w="1037"/>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0.65</w:t>
            </w:r>
          </w:p>
        </w:tc>
        <w:tc>
          <w:tcPr>
            <w:tcW w:type="dxa" w:w="1181"/>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-20.1%</w:t>
            </w:r>
          </w:p>
        </w:tc>
        <w:tc>
          <w:tcPr>
            <w:tcW w:type="dxa" w:w="1296"/>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28.0%</w:t>
            </w:r>
          </w:p>
        </w:tc>
      </w:tr>
      <w:tr>
        <w:tc>
          <w:tcPr>
            <w:tcW w:type="dxa" w:w="3528"/>
            <w:vAlign w:val="center"/>
            <w:tcMar>
              <w:top w:w="70" w:type="dxa"/>
              <w:bottom w:w="70" w:type="dxa"/>
              <w:start w:w="120" w:type="dxa"/>
              <w:end w:w="120" w:type="dxa"/>
            </w:tcMar>
          </w:tcPr>
          <w:p>
            <w:pPr>
              <w:spacing w:after="0" w:line="240" w:lineRule="auto"/>
              <w:jc w:val="left"/>
            </w:pPr>
            <w:r>
              <w:rPr>
                <w:rFonts w:ascii="Calibri" w:hAnsi="Calibri"/>
                <w:color w:val="1F2933"/>
                <w:sz w:val="14"/>
              </w:rPr>
              <w:t>Combined Minimum Variance</w:t>
            </w:r>
          </w:p>
        </w:tc>
        <w:tc>
          <w:tcPr>
            <w:tcW w:type="dxa" w:w="1181"/>
            <w:vAlign w:val="center"/>
            <w:tcMar>
              <w:top w:w="70" w:type="dxa"/>
              <w:bottom w:w="70" w:type="dxa"/>
              <w:start w:w="120" w:type="dxa"/>
              <w:end w:w="120" w:type="dxa"/>
            </w:tcMar>
          </w:tcPr>
          <w:p>
            <w:pPr>
              <w:spacing w:after="0" w:line="240" w:lineRule="auto"/>
              <w:jc w:val="center"/>
            </w:pPr>
            <w:r>
              <w:rPr>
                <w:rFonts w:ascii="Calibri" w:hAnsi="Calibri"/>
                <w:color w:val="1F2933"/>
                <w:sz w:val="14"/>
              </w:rPr>
              <w:t>6.5%</w:t>
            </w:r>
          </w:p>
        </w:tc>
        <w:tc>
          <w:tcPr>
            <w:tcW w:type="dxa" w:w="1123"/>
            <w:vAlign w:val="center"/>
            <w:tcMar>
              <w:top w:w="70" w:type="dxa"/>
              <w:bottom w:w="70" w:type="dxa"/>
              <w:start w:w="120" w:type="dxa"/>
              <w:end w:w="120" w:type="dxa"/>
            </w:tcMar>
          </w:tcPr>
          <w:p>
            <w:pPr>
              <w:spacing w:after="0" w:line="240" w:lineRule="auto"/>
              <w:jc w:val="center"/>
            </w:pPr>
            <w:r>
              <w:rPr>
                <w:rFonts w:ascii="Calibri" w:hAnsi="Calibri"/>
                <w:color w:val="1F2933"/>
                <w:sz w:val="14"/>
              </w:rPr>
              <w:t>12.5%</w:t>
            </w:r>
          </w:p>
        </w:tc>
        <w:tc>
          <w:tcPr>
            <w:tcW w:type="dxa" w:w="1037"/>
            <w:vAlign w:val="center"/>
            <w:tcMar>
              <w:top w:w="70" w:type="dxa"/>
              <w:bottom w:w="70" w:type="dxa"/>
              <w:start w:w="120" w:type="dxa"/>
              <w:end w:w="120" w:type="dxa"/>
            </w:tcMar>
          </w:tcPr>
          <w:p>
            <w:pPr>
              <w:spacing w:after="0" w:line="240" w:lineRule="auto"/>
              <w:jc w:val="center"/>
            </w:pPr>
            <w:r>
              <w:rPr>
                <w:rFonts w:ascii="Calibri" w:hAnsi="Calibri"/>
                <w:color w:val="1F2933"/>
                <w:sz w:val="14"/>
              </w:rPr>
              <w:t>0.52</w:t>
            </w:r>
          </w:p>
        </w:tc>
        <w:tc>
          <w:tcPr>
            <w:tcW w:type="dxa" w:w="1181"/>
            <w:vAlign w:val="center"/>
            <w:tcMar>
              <w:top w:w="70" w:type="dxa"/>
              <w:bottom w:w="70" w:type="dxa"/>
              <w:start w:w="120" w:type="dxa"/>
              <w:end w:w="120" w:type="dxa"/>
            </w:tcMar>
          </w:tcPr>
          <w:p>
            <w:pPr>
              <w:spacing w:after="0" w:line="240" w:lineRule="auto"/>
              <w:jc w:val="center"/>
            </w:pPr>
            <w:r>
              <w:rPr>
                <w:rFonts w:ascii="Calibri" w:hAnsi="Calibri"/>
                <w:color w:val="1F2933"/>
                <w:sz w:val="14"/>
              </w:rPr>
              <w:t>-15.7%</w:t>
            </w:r>
          </w:p>
        </w:tc>
        <w:tc>
          <w:tcPr>
            <w:tcW w:type="dxa" w:w="1296"/>
            <w:vAlign w:val="center"/>
            <w:tcMar>
              <w:top w:w="70" w:type="dxa"/>
              <w:bottom w:w="70" w:type="dxa"/>
              <w:start w:w="120" w:type="dxa"/>
              <w:end w:w="120" w:type="dxa"/>
            </w:tcMar>
          </w:tcPr>
          <w:p>
            <w:pPr>
              <w:spacing w:after="0" w:line="240" w:lineRule="auto"/>
              <w:jc w:val="center"/>
            </w:pPr>
            <w:r>
              <w:rPr>
                <w:rFonts w:ascii="Calibri" w:hAnsi="Calibri"/>
                <w:color w:val="1F2933"/>
                <w:sz w:val="14"/>
              </w:rPr>
              <w:t>12.2%</w:t>
            </w:r>
          </w:p>
        </w:tc>
      </w:tr>
      <w:tr>
        <w:tc>
          <w:tcPr>
            <w:tcW w:type="dxa" w:w="3528"/>
            <w:vAlign w:val="center"/>
            <w:shd w:fill="F7FAFC"/>
            <w:tcMar>
              <w:top w:w="70" w:type="dxa"/>
              <w:bottom w:w="70" w:type="dxa"/>
              <w:start w:w="120" w:type="dxa"/>
              <w:end w:w="120" w:type="dxa"/>
            </w:tcMar>
          </w:tcPr>
          <w:p>
            <w:pPr>
              <w:spacing w:after="0" w:line="240" w:lineRule="auto"/>
              <w:jc w:val="left"/>
            </w:pPr>
            <w:r>
              <w:rPr>
                <w:rFonts w:ascii="Calibri" w:hAnsi="Calibri"/>
                <w:color w:val="1F2933"/>
                <w:sz w:val="14"/>
              </w:rPr>
              <w:t>Combined Risk Parity</w:t>
            </w:r>
          </w:p>
        </w:tc>
        <w:tc>
          <w:tcPr>
            <w:tcW w:type="dxa" w:w="1181"/>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14.4%</w:t>
            </w:r>
          </w:p>
        </w:tc>
        <w:tc>
          <w:tcPr>
            <w:tcW w:type="dxa" w:w="1123"/>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16.2%</w:t>
            </w:r>
          </w:p>
        </w:tc>
        <w:tc>
          <w:tcPr>
            <w:tcW w:type="dxa" w:w="1037"/>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0.89</w:t>
            </w:r>
          </w:p>
        </w:tc>
        <w:tc>
          <w:tcPr>
            <w:tcW w:type="dxa" w:w="1181"/>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-19.5%</w:t>
            </w:r>
          </w:p>
        </w:tc>
        <w:tc>
          <w:tcPr>
            <w:tcW w:type="dxa" w:w="1296"/>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3.8%</w:t>
            </w:r>
          </w:p>
        </w:tc>
      </w:tr>
    </w:tbl>
    <w:p>
      <w:pPr>
        <w:spacing w:after="40"/>
      </w:pPr>
    </w:p>
    <w:p>
      <w:pPr/>
      <w:r>
        <w:rPr>
          <w:rFonts w:ascii="Calibri" w:hAnsi="Calibri"/>
        </w:rPr>
        <w:t xml:space="preserve">Table </w:t>
      </w:r>
      <w:r>
        <w:rPr>
          <w:rFonts w:ascii="Calibri" w:hAnsi="Calibri"/>
        </w:rPr>
        <w:fldChar w:fldCharType="begin"/>
      </w:r>
      <w:r>
        <w:rPr>
          <w:rFonts w:ascii="Calibri" w:hAnsi="Calibri"/>
        </w:rPr>
        <w:instrText xml:space="preserve"> REF _RefTblPerformance \h </w:instrText>
      </w:r>
      <w:r>
        <w:rPr>
          <w:rFonts w:ascii="Calibri" w:hAnsi="Calibri"/>
        </w:rPr>
        <w:fldChar w:fldCharType="separate"/>
      </w:r>
      <w:r>
        <w:rPr>
          <w:rFonts w:ascii="Calibri" w:hAnsi="Calibri"/>
        </w:rPr>
        <w:t>3</w:t>
      </w:r>
      <w:r>
        <w:rPr>
          <w:rFonts w:ascii="Calibri" w:hAnsi="Calibri"/>
        </w:rPr>
        <w:fldChar w:fldCharType="end"/>
      </w:r>
      <w:r>
        <w:rPr>
          <w:rFonts w:ascii="Calibri" w:hAnsi="Calibri"/>
        </w:rPr>
        <w:t xml:space="preserve"> separates high return from usable risk. Crypto Minimum Variance leads the Sharpe ranking at 1.03 and compounds $1 to $4.31, but its 71.9% maximum drawdown is outside a conventional balanced-investor tolerance. Crypto therefore supplies the largest upside and the largest path risk. Annualised arithmetic returns should not be mistaken for CAGRs; volatility drag makes that distinction material for crypto.</w:t>
      </w:r>
    </w:p>
    <w:p>
      <w:pPr/>
      <w:r>
        <w:rPr>
          <w:rFonts w:ascii="Calibri" w:hAnsi="Calibri"/>
        </w:rPr>
        <w:t>Combined Risk Parity is the strongest combined product, with a 0.89 Sharpe ratio, 14.4% annualised return, and -19.5% maximum drawdown. It outperforms Combined Equal Weight on Sharpe because its volatility-based targets keep crypto near a single-digit to low-teens family weight. Combined Minimum Variance suppresses volatility further but gives up too much return over this live sample. A 1.0% annual management fee would reduce Combined Risk Parity's reported return to 13.4% and Sharpe to 0.82; it remains the highest-Sharpe combined fund under that simple fee sensitivity.</w:t>
      </w:r>
    </w:p>
    <w:p>
      <w:pPr/>
      <w:r>
        <w:rPr>
          <w:rFonts w:ascii="Calibri" w:hAnsi="Calibri"/>
        </w:rPr>
        <w:t>Within equities, the simple Equal Weight fund has the highest Sharpe ratio (0.82). Maximum Sharpe ranks last at 0.42 and carries the highest average equity turnover. The result is consistent with noisy mean estimates: optimising a ratio built on expected returns can amplify sampling error even after shrinkage. The comparison argues for showing several rules and their costs rather than presenting the in-sample objective as an investor guarantee.</w:t>
      </w:r>
    </w:p>
    <w:p>
      <w:r>
        <w:br w:type="page"/>
      </w:r>
    </w:p>
    <w:p>
      <w:pPr>
        <w:pStyle w:val="Heading1"/>
      </w:pPr>
      <w:r>
        <w:t>4. Growth paths: asset family dominates method</w:t>
      </w:r>
    </w:p>
    <w:p>
      <w:pPr>
        <w:keepNext/>
        <w:jc w:val="center"/>
      </w:pPr>
      <w:r>
        <w:drawing>
          <wp:inline xmlns:a="http://schemas.openxmlformats.org/drawingml/2006/main" xmlns:pic="http://schemas.openxmlformats.org/drawingml/2006/picture">
            <wp:extent cx="6080760" cy="2244621"/>
            <wp:docPr id="1" name="Picture 1" descr="Three panels comparing growth of one dollar for 12 systematic funds."/>
            <wp:cNvGraphicFramePr>
              <a:graphicFrameLocks noChangeAspect="1"/>
            </wp:cNvGraphicFramePr>
            <a:graphic>
              <a:graphicData uri="http://schemas.openxmlformats.org/drawingml/2006/picture">
                <pic:pic>
                  <pic:nvPicPr>
                    <pic:cNvPr id="0" name="growth_of_dollar.png"/>
                    <pic:cNvPicPr/>
                  </pic:nvPicPr>
                  <pic:blipFill>
                    <a:blip r:embed="rId11"/>
                    <a:stretch>
                      <a:fillRect/>
                    </a:stretch>
                  </pic:blipFill>
                  <pic:spPr>
                    <a:xfrm>
                      <a:off x="0" y="0"/>
                      <a:ext cx="6080760" cy="2244621"/>
                    </a:xfrm>
                    <a:prstGeom prst="rect"/>
                  </pic:spPr>
                </pic:pic>
              </a:graphicData>
            </a:graphic>
          </wp:inline>
        </w:drawing>
      </w:r>
    </w:p>
    <w:p>
      <w:pPr>
        <w:pStyle w:val="Caption"/>
      </w:pPr>
      <w:r>
        <w:rPr>
          <w:rFonts w:ascii="Calibri" w:hAnsi="Calibri"/>
          <w:i/>
          <w:color w:val="64748B"/>
          <w:sz w:val="15"/>
        </w:rPr>
        <w:t xml:space="preserve">Figure </w:t>
      </w:r>
      <w:bookmarkStart w:id="23" w:name="_RefFigGrowth"/>
      <w:r>
        <w:rPr>
          <w:rFonts w:ascii="Calibri" w:hAnsi="Calibri"/>
          <w:i/>
          <w:color w:val="64748B"/>
          <w:sz w:val="15"/>
        </w:rPr>
        <w:fldChar w:fldCharType="begin"/>
      </w:r>
      <w:r>
        <w:rPr>
          <w:rFonts w:ascii="Calibri" w:hAnsi="Calibri"/>
          <w:i/>
          <w:color w:val="64748B"/>
          <w:sz w:val="15"/>
        </w:rPr>
        <w:instrText xml:space="preserve"> SEQ Figure \* ARABIC </w:instrText>
      </w:r>
      <w:r>
        <w:rPr>
          <w:rFonts w:ascii="Calibri" w:hAnsi="Calibri"/>
          <w:i/>
          <w:color w:val="64748B"/>
          <w:sz w:val="15"/>
        </w:rPr>
        <w:fldChar w:fldCharType="separate"/>
      </w:r>
      <w:r>
        <w:rPr>
          <w:rFonts w:ascii="Calibri" w:hAnsi="Calibri"/>
          <w:i/>
          <w:color w:val="64748B"/>
          <w:sz w:val="15"/>
        </w:rPr>
        <w:t>1</w:t>
      </w:r>
      <w:r>
        <w:rPr>
          <w:rFonts w:ascii="Calibri" w:hAnsi="Calibri"/>
          <w:i/>
          <w:color w:val="64748B"/>
          <w:sz w:val="15"/>
        </w:rPr>
        <w:fldChar w:fldCharType="end"/>
      </w:r>
      <w:bookmarkEnd w:id="23"/>
      <w:r>
        <w:rPr>
          <w:rFonts w:ascii="Calibri" w:hAnsi="Calibri"/>
          <w:i/>
          <w:color w:val="64748B"/>
          <w:sz w:val="15"/>
        </w:rPr>
        <w:t>. Growth of $1 for four monthly walk-forward methods in equity, crypto, and combined families, after 5 basis points per unit of realised turnover and before management fees. Log scales allow proportional comparison. Live period: 2021-2023. Source: FINS5545 data and author calculations.</w:t>
      </w:r>
    </w:p>
    <w:p>
      <w:pPr/>
      <w:r>
        <w:rPr>
          <w:rFonts w:ascii="Calibri" w:hAnsi="Calibri"/>
        </w:rPr>
        <w:t xml:space="preserve">Figure </w:t>
      </w:r>
      <w:r>
        <w:rPr>
          <w:rFonts w:ascii="Calibri" w:hAnsi="Calibri"/>
        </w:rPr>
        <w:fldChar w:fldCharType="begin"/>
      </w:r>
      <w:r>
        <w:rPr>
          <w:rFonts w:ascii="Calibri" w:hAnsi="Calibri"/>
        </w:rPr>
        <w:instrText xml:space="preserve"> REF _RefFigGrowth \h </w:instrText>
      </w:r>
      <w:r>
        <w:rPr>
          <w:rFonts w:ascii="Calibri" w:hAnsi="Calibri"/>
        </w:rPr>
        <w:fldChar w:fldCharType="separate"/>
      </w:r>
      <w:r>
        <w:rPr>
          <w:rFonts w:ascii="Calibri" w:hAnsi="Calibri"/>
        </w:rPr>
        <w:t>1</w:t>
      </w:r>
      <w:r>
        <w:rPr>
          <w:rFonts w:ascii="Calibri" w:hAnsi="Calibri"/>
        </w:rPr>
        <w:fldChar w:fldCharType="end"/>
      </w:r>
      <w:r>
        <w:rPr>
          <w:rFonts w:ascii="Calibri" w:hAnsi="Calibri"/>
        </w:rPr>
        <w:t xml:space="preserve"> shows that the choice of asset family creates a wider range of outcomes than the choice of optimiser. Equity and combined products finish in a relatively narrow band, while crypto paths rise rapidly in 2021, lose most of those gains through 2022, and only partly recover in 2023. A terminal value alone would hide that sequence.</w:t>
      </w:r>
    </w:p>
    <w:p>
      <w:pPr/>
      <w:r>
        <w:rPr>
          <w:rFonts w:ascii="Calibri" w:hAnsi="Calibri"/>
        </w:rPr>
        <w:t>Minimum Variance is the clear crypto leader at the sample end, but it still spends a long period more than 60% below its prior peak. Within equities, Equal Weight and Risk Parity recover more strongly than the two moment-optimised alternatives. Within the combined family, Risk Parity offers the best return-risk compromise, while Equal Weight accepts the larger crypto allocation mechanically created by one weight per asset.</w:t>
      </w:r>
    </w:p>
    <w:p>
      <w:pPr/>
      <w:r>
        <w:rPr>
          <w:rFonts w:ascii="Calibri" w:hAnsi="Calibri"/>
        </w:rPr>
        <w:t xml:space="preserve">Annual results in </w:t>
      </w:r>
      <w:r>
        <w:rPr>
          <w:rFonts w:ascii="Calibri" w:hAnsi="Calibri"/>
        </w:rPr>
        <w:t xml:space="preserve">Table </w:t>
      </w:r>
      <w:r>
        <w:rPr>
          <w:rFonts w:ascii="Calibri" w:hAnsi="Calibri"/>
        </w:rPr>
        <w:fldChar w:fldCharType="begin"/>
      </w:r>
      <w:r>
        <w:rPr>
          <w:rFonts w:ascii="Calibri" w:hAnsi="Calibri"/>
        </w:rPr>
        <w:instrText xml:space="preserve"> REF _RefTblAnnual \h </w:instrText>
      </w:r>
      <w:r>
        <w:rPr>
          <w:rFonts w:ascii="Calibri" w:hAnsi="Calibri"/>
        </w:rPr>
        <w:fldChar w:fldCharType="separate"/>
      </w:r>
      <w:r>
        <w:rPr>
          <w:rFonts w:ascii="Calibri" w:hAnsi="Calibri"/>
        </w:rPr>
        <w:t>10</w:t>
      </w:r>
      <w:r>
        <w:rPr>
          <w:rFonts w:ascii="Calibri" w:hAnsi="Calibri"/>
        </w:rPr>
        <w:fldChar w:fldCharType="end"/>
      </w:r>
      <w:r>
        <w:rPr>
          <w:rFonts w:ascii="Calibri" w:hAnsi="Calibri"/>
        </w:rPr>
        <w:t xml:space="preserve"> make the regime dependence explicit. Combined Risk Parity returns 37.3% in 2021, -6.8% in 2022, and 15.5% in 2023; Crypto Minimum Variance moves from 328.1% to -59.3% and then 147.2%. Method rankings vary by year, but the core conclusions remain: crypto drives the widest outcomes, Risk Parity limits its combined-fund influence, and no three-year Sharpe ranking is a forecast of the next regime.</w:t>
      </w:r>
    </w:p>
    <w:p>
      <w:r>
        <w:br w:type="page"/>
      </w:r>
    </w:p>
    <w:p>
      <w:pPr>
        <w:pStyle w:val="Heading1"/>
      </w:pPr>
      <w:r>
        <w:t>5. Downside experience is part of the product</w:t>
      </w:r>
    </w:p>
    <w:p>
      <w:pPr>
        <w:keepNext/>
        <w:jc w:val="center"/>
      </w:pPr>
      <w:r>
        <w:drawing>
          <wp:inline xmlns:a="http://schemas.openxmlformats.org/drawingml/2006/main" xmlns:pic="http://schemas.openxmlformats.org/drawingml/2006/picture">
            <wp:extent cx="4709160" cy="3626831"/>
            <wp:docPr id="2" name="Picture 2" descr="Drawdown paths for Combined Risk Parity, Crypto Minimum Variance, and Equity Equal Weight."/>
            <wp:cNvGraphicFramePr>
              <a:graphicFrameLocks noChangeAspect="1"/>
            </wp:cNvGraphicFramePr>
            <a:graphic>
              <a:graphicData uri="http://schemas.openxmlformats.org/drawingml/2006/picture">
                <pic:pic>
                  <pic:nvPicPr>
                    <pic:cNvPr id="0" name="drawdown.png"/>
                    <pic:cNvPicPr/>
                  </pic:nvPicPr>
                  <pic:blipFill>
                    <a:blip r:embed="rId12"/>
                    <a:stretch>
                      <a:fillRect/>
                    </a:stretch>
                  </pic:blipFill>
                  <pic:spPr>
                    <a:xfrm>
                      <a:off x="0" y="0"/>
                      <a:ext cx="4709160" cy="3626831"/>
                    </a:xfrm>
                    <a:prstGeom prst="rect"/>
                  </pic:spPr>
                </pic:pic>
              </a:graphicData>
            </a:graphic>
          </wp:inline>
        </w:drawing>
      </w:r>
    </w:p>
    <w:p>
      <w:pPr>
        <w:pStyle w:val="Caption"/>
      </w:pPr>
      <w:r>
        <w:rPr>
          <w:rFonts w:ascii="Calibri" w:hAnsi="Calibri"/>
          <w:i/>
          <w:color w:val="64748B"/>
          <w:sz w:val="15"/>
        </w:rPr>
        <w:t xml:space="preserve">Figure </w:t>
      </w:r>
      <w:bookmarkStart w:id="24" w:name="_RefFigDrawdown"/>
      <w:r>
        <w:rPr>
          <w:rFonts w:ascii="Calibri" w:hAnsi="Calibri"/>
          <w:i/>
          <w:color w:val="64748B"/>
          <w:sz w:val="15"/>
        </w:rPr>
        <w:fldChar w:fldCharType="begin"/>
      </w:r>
      <w:r>
        <w:rPr>
          <w:rFonts w:ascii="Calibri" w:hAnsi="Calibri"/>
          <w:i/>
          <w:color w:val="64748B"/>
          <w:sz w:val="15"/>
        </w:rPr>
        <w:instrText xml:space="preserve"> SEQ Figure \* ARABIC </w:instrText>
      </w:r>
      <w:r>
        <w:rPr>
          <w:rFonts w:ascii="Calibri" w:hAnsi="Calibri"/>
          <w:i/>
          <w:color w:val="64748B"/>
          <w:sz w:val="15"/>
        </w:rPr>
        <w:fldChar w:fldCharType="separate"/>
      </w:r>
      <w:r>
        <w:rPr>
          <w:rFonts w:ascii="Calibri" w:hAnsi="Calibri"/>
          <w:i/>
          <w:color w:val="64748B"/>
          <w:sz w:val="15"/>
        </w:rPr>
        <w:t>2</w:t>
      </w:r>
      <w:r>
        <w:rPr>
          <w:rFonts w:ascii="Calibri" w:hAnsi="Calibri"/>
          <w:i/>
          <w:color w:val="64748B"/>
          <w:sz w:val="15"/>
        </w:rPr>
        <w:fldChar w:fldCharType="end"/>
      </w:r>
      <w:bookmarkEnd w:id="24"/>
      <w:r>
        <w:rPr>
          <w:rFonts w:ascii="Calibri" w:hAnsi="Calibri"/>
          <w:i/>
          <w:color w:val="64748B"/>
          <w:sz w:val="15"/>
        </w:rPr>
        <w:t>. Drawdown from the prior wealth peak for the highest-Sharpe fund in each family. Live period: 2021-2023. Source: FINS5545 data and author calculations.</w:t>
      </w:r>
    </w:p>
    <w:p>
      <w:pPr/>
      <w:r>
        <w:rPr>
          <w:rFonts w:ascii="Calibri" w:hAnsi="Calibri"/>
        </w:rPr>
        <w:t xml:space="preserve">Figure </w:t>
      </w:r>
      <w:r>
        <w:rPr>
          <w:rFonts w:ascii="Calibri" w:hAnsi="Calibri"/>
        </w:rPr>
        <w:fldChar w:fldCharType="begin"/>
      </w:r>
      <w:r>
        <w:rPr>
          <w:rFonts w:ascii="Calibri" w:hAnsi="Calibri"/>
        </w:rPr>
        <w:instrText xml:space="preserve"> REF _RefFigDrawdown \h </w:instrText>
      </w:r>
      <w:r>
        <w:rPr>
          <w:rFonts w:ascii="Calibri" w:hAnsi="Calibri"/>
        </w:rPr>
        <w:fldChar w:fldCharType="separate"/>
      </w:r>
      <w:r>
        <w:rPr>
          <w:rFonts w:ascii="Calibri" w:hAnsi="Calibri"/>
        </w:rPr>
        <w:t>2</w:t>
      </w:r>
      <w:r>
        <w:rPr>
          <w:rFonts w:ascii="Calibri" w:hAnsi="Calibri"/>
        </w:rPr>
        <w:fldChar w:fldCharType="end"/>
      </w:r>
      <w:r>
        <w:rPr>
          <w:rFonts w:ascii="Calibri" w:hAnsi="Calibri"/>
        </w:rPr>
        <w:t xml:space="preserve"> changes the product conclusion. Combined Risk Parity and Equity Equal Weight both lose roughly one fifth from peak to trough, while Crypto Minimum Variance falls more than 70%. Crypto's Sharpe ratio above one does not make its loss experience moderate. The high annualised mean and extreme drawdown coexist because the series is highly volatile and path dependent.</w:t>
      </w:r>
    </w:p>
    <w:p>
      <w:pPr/>
      <w:r>
        <w:rPr>
          <w:rFonts w:ascii="Calibri" w:hAnsi="Calibri"/>
        </w:rPr>
        <w:t>For the target user, maximum drawdown is easier to translate into a funding decision than volatility alone. A 72% loss requires a subsequent gain of about 257% to recover. That arithmetic is why MarketReady Funds exposes drawdown in every fact sheet and why the allocation lab does not default to the single highest-Sharpe fund. A fund range should let investors express different loss tolerances rather than collapse the choice to a leaderboard.</w:t>
      </w:r>
    </w:p>
    <w:p>
      <w:r>
        <w:br w:type="page"/>
      </w:r>
    </w:p>
    <w:p>
      <w:pPr>
        <w:pStyle w:val="Heading1"/>
      </w:pPr>
      <w:r>
        <w:t>6. Targets, drift, and fact sheets</w:t>
      </w:r>
    </w:p>
    <w:p>
      <w:pPr>
        <w:keepNext/>
        <w:jc w:val="center"/>
      </w:pPr>
      <w:r>
        <w:drawing>
          <wp:inline xmlns:a="http://schemas.openxmlformats.org/drawingml/2006/main" xmlns:pic="http://schemas.openxmlformats.org/drawingml/2006/picture">
            <wp:extent cx="5212080" cy="3503499"/>
            <wp:docPr id="3" name="Picture 3" descr="Four panels showing equity and crypto target weights through time for combined funds."/>
            <wp:cNvGraphicFramePr>
              <a:graphicFrameLocks noChangeAspect="1"/>
            </wp:cNvGraphicFramePr>
            <a:graphic>
              <a:graphicData uri="http://schemas.openxmlformats.org/drawingml/2006/picture">
                <pic:pic>
                  <pic:nvPicPr>
                    <pic:cNvPr id="0" name="weights_over_time.png"/>
                    <pic:cNvPicPr/>
                  </pic:nvPicPr>
                  <pic:blipFill>
                    <a:blip r:embed="rId13"/>
                    <a:stretch>
                      <a:fillRect/>
                    </a:stretch>
                  </pic:blipFill>
                  <pic:spPr>
                    <a:xfrm>
                      <a:off x="0" y="0"/>
                      <a:ext cx="5212080" cy="3503499"/>
                    </a:xfrm>
                    <a:prstGeom prst="rect"/>
                  </pic:spPr>
                </pic:pic>
              </a:graphicData>
            </a:graphic>
          </wp:inline>
        </w:drawing>
      </w:r>
    </w:p>
    <w:p>
      <w:pPr>
        <w:pStyle w:val="Caption"/>
      </w:pPr>
      <w:r>
        <w:rPr>
          <w:rFonts w:ascii="Calibri" w:hAnsi="Calibri"/>
          <w:i/>
          <w:color w:val="64748B"/>
          <w:sz w:val="15"/>
        </w:rPr>
        <w:t xml:space="preserve">Figure </w:t>
      </w:r>
      <w:bookmarkStart w:id="25" w:name="_RefFigWeights"/>
      <w:r>
        <w:rPr>
          <w:rFonts w:ascii="Calibri" w:hAnsi="Calibri"/>
          <w:i/>
          <w:color w:val="64748B"/>
          <w:sz w:val="15"/>
        </w:rPr>
        <w:fldChar w:fldCharType="begin"/>
      </w:r>
      <w:r>
        <w:rPr>
          <w:rFonts w:ascii="Calibri" w:hAnsi="Calibri"/>
          <w:i/>
          <w:color w:val="64748B"/>
          <w:sz w:val="15"/>
        </w:rPr>
        <w:instrText xml:space="preserve"> SEQ Figure \* ARABIC </w:instrText>
      </w:r>
      <w:r>
        <w:rPr>
          <w:rFonts w:ascii="Calibri" w:hAnsi="Calibri"/>
          <w:i/>
          <w:color w:val="64748B"/>
          <w:sz w:val="15"/>
        </w:rPr>
        <w:fldChar w:fldCharType="separate"/>
      </w:r>
      <w:r>
        <w:rPr>
          <w:rFonts w:ascii="Calibri" w:hAnsi="Calibri"/>
          <w:i/>
          <w:color w:val="64748B"/>
          <w:sz w:val="15"/>
        </w:rPr>
        <w:t>3</w:t>
      </w:r>
      <w:r>
        <w:rPr>
          <w:rFonts w:ascii="Calibri" w:hAnsi="Calibri"/>
          <w:i/>
          <w:color w:val="64748B"/>
          <w:sz w:val="15"/>
        </w:rPr>
        <w:fldChar w:fldCharType="end"/>
      </w:r>
      <w:bookmarkEnd w:id="25"/>
      <w:r>
        <w:rPr>
          <w:rFonts w:ascii="Calibri" w:hAnsi="Calibri"/>
          <w:i/>
          <w:color w:val="64748B"/>
          <w:sz w:val="15"/>
        </w:rPr>
        <w:t>. Target equity and crypto family weights for the four combined funds at monthly rebalances. Values between rebalances drift with returns and are not shown. Live period: 2021-2023. Source: author calculations.</w:t>
      </w:r>
    </w:p>
    <w:p>
      <w:pPr/>
      <w:r>
        <w:rPr>
          <w:rFonts w:ascii="Calibri" w:hAnsi="Calibri"/>
        </w:rPr>
        <w:t xml:space="preserve">Figure </w:t>
      </w:r>
      <w:r>
        <w:rPr>
          <w:rFonts w:ascii="Calibri" w:hAnsi="Calibri"/>
        </w:rPr>
        <w:fldChar w:fldCharType="begin"/>
      </w:r>
      <w:r>
        <w:rPr>
          <w:rFonts w:ascii="Calibri" w:hAnsi="Calibri"/>
        </w:rPr>
        <w:instrText xml:space="preserve"> REF _RefFigWeights \h </w:instrText>
      </w:r>
      <w:r>
        <w:rPr>
          <w:rFonts w:ascii="Calibri" w:hAnsi="Calibri"/>
        </w:rPr>
        <w:fldChar w:fldCharType="separate"/>
      </w:r>
      <w:r>
        <w:rPr>
          <w:rFonts w:ascii="Calibri" w:hAnsi="Calibri"/>
        </w:rPr>
        <w:t>3</w:t>
      </w:r>
      <w:r>
        <w:rPr>
          <w:rFonts w:ascii="Calibri" w:hAnsi="Calibri"/>
        </w:rPr>
        <w:fldChar w:fldCharType="end"/>
      </w:r>
      <w:r>
        <w:rPr>
          <w:rFonts w:ascii="Calibri" w:hAnsi="Calibri"/>
        </w:rPr>
        <w:t xml:space="preserve"> shows capital allocation, but capital weight is not risk weight. The diagnostic below uses each rebalance's same 252-period, diagonally shrunk combined covariance matrix to decompose target variance into equity and crypto components.</w:t>
      </w:r>
    </w:p>
    <w:p>
      <w:pPr>
        <w:pStyle w:val="Caption"/>
      </w:pPr>
      <w:r>
        <w:rPr>
          <w:rFonts w:ascii="Calibri" w:hAnsi="Calibri"/>
          <w:i/>
          <w:color w:val="64748B"/>
          <w:sz w:val="15"/>
        </w:rPr>
        <w:t xml:space="preserve">Table </w:t>
      </w:r>
      <w:bookmarkStart w:id="26" w:name="_RefTblCombinedRisk"/>
      <w:r>
        <w:rPr>
          <w:rFonts w:ascii="Calibri" w:hAnsi="Calibri"/>
          <w:i/>
          <w:color w:val="64748B"/>
          <w:sz w:val="15"/>
        </w:rPr>
        <w:fldChar w:fldCharType="begin"/>
      </w:r>
      <w:r>
        <w:rPr>
          <w:rFonts w:ascii="Calibri" w:hAnsi="Calibri"/>
          <w:i/>
          <w:color w:val="64748B"/>
          <w:sz w:val="15"/>
        </w:rPr>
        <w:instrText xml:space="preserve"> SEQ Table \* ARABIC </w:instrText>
      </w:r>
      <w:r>
        <w:rPr>
          <w:rFonts w:ascii="Calibri" w:hAnsi="Calibri"/>
          <w:i/>
          <w:color w:val="64748B"/>
          <w:sz w:val="15"/>
        </w:rPr>
        <w:fldChar w:fldCharType="separate"/>
      </w:r>
      <w:r>
        <w:rPr>
          <w:rFonts w:ascii="Calibri" w:hAnsi="Calibri"/>
          <w:i/>
          <w:color w:val="64748B"/>
          <w:sz w:val="15"/>
        </w:rPr>
        <w:t>4</w:t>
      </w:r>
      <w:r>
        <w:rPr>
          <w:rFonts w:ascii="Calibri" w:hAnsi="Calibri"/>
          <w:i/>
          <w:color w:val="64748B"/>
          <w:sz w:val="15"/>
        </w:rPr>
        <w:fldChar w:fldCharType="end"/>
      </w:r>
      <w:bookmarkEnd w:id="26"/>
      <w:r>
        <w:rPr>
          <w:rFonts w:ascii="Calibri" w:hAnsi="Calibri"/>
          <w:i/>
          <w:color w:val="64748B"/>
          <w:sz w:val="15"/>
        </w:rPr>
        <w:t>. Combined-fund target diagnostics across 36 monthly rebalances. Capital and covariance-risk figures are medians; the capital range is in parentheses. Effective holdings are 1/HHI. Source: author calculations.</w:t>
      </w:r>
    </w:p>
    <w:tbl>
      <w:tblPr>
        <w:tblStyle w:val="TableGrid"/>
        <w:tblW w:type="dxa" w:w="9216"/>
        <w:tblLayout w:type="fixed"/>
        <w:tblLook w:firstColumn="1" w:firstRow="1" w:lastColumn="0" w:lastRow="0" w:noHBand="0" w:noVBand="1" w:val="04A0"/>
        <w:jc w:val="left"/>
        <w:tblInd w:type="dxa" w:w="120"/>
      </w:tblPr>
      <w:tblGrid>
        <w:gridCol w:w="1800"/>
        <w:gridCol w:w="2232"/>
        <w:gridCol w:w="1440"/>
        <w:gridCol w:w="1296"/>
        <w:gridCol w:w="1152"/>
        <w:gridCol w:w="1296"/>
      </w:tblGrid>
      <w:tr>
        <w:trPr>
          <w:tblHeader w:val="true"/>
        </w:trPr>
        <w:tc>
          <w:tcPr>
            <w:tcW w:type="dxa" w:w="1800"/>
            <w:tcMar>
              <w:top w:w="70" w:type="dxa"/>
              <w:bottom w:w="70" w:type="dxa"/>
              <w:start w:w="120" w:type="dxa"/>
              <w:end w:w="120" w:type="dxa"/>
            </w:tcMar>
            <w:vAlign w:val="center"/>
            <w:shd w:fill="16324F"/>
          </w:tcPr>
          <w:p>
            <w:pPr>
              <w:spacing w:after="0"/>
              <w:jc w:val="center"/>
            </w:pPr>
            <w:r>
              <w:rPr>
                <w:rFonts w:ascii="Calibri" w:hAnsi="Calibri"/>
                <w:b/>
                <w:color w:val="FFFFFF"/>
                <w:sz w:val="13"/>
              </w:rPr>
              <w:t>Method</w:t>
            </w:r>
          </w:p>
        </w:tc>
        <w:tc>
          <w:tcPr>
            <w:tcW w:type="dxa" w:w="2232"/>
            <w:tcMar>
              <w:top w:w="70" w:type="dxa"/>
              <w:bottom w:w="70" w:type="dxa"/>
              <w:start w:w="120" w:type="dxa"/>
              <w:end w:w="120" w:type="dxa"/>
            </w:tcMar>
            <w:vAlign w:val="center"/>
            <w:shd w:fill="16324F"/>
          </w:tcPr>
          <w:p>
            <w:pPr>
              <w:spacing w:after="0"/>
              <w:jc w:val="center"/>
            </w:pPr>
            <w:r>
              <w:rPr>
                <w:rFonts w:ascii="Calibri" w:hAnsi="Calibri"/>
                <w:b/>
                <w:color w:val="FFFFFF"/>
                <w:sz w:val="13"/>
              </w:rPr>
              <w:t>Crypto capital</w:t>
            </w:r>
          </w:p>
        </w:tc>
        <w:tc>
          <w:tcPr>
            <w:tcW w:type="dxa" w:w="1440"/>
            <w:tcMar>
              <w:top w:w="70" w:type="dxa"/>
              <w:bottom w:w="70" w:type="dxa"/>
              <w:start w:w="120" w:type="dxa"/>
              <w:end w:w="120" w:type="dxa"/>
            </w:tcMar>
            <w:vAlign w:val="center"/>
            <w:shd w:fill="16324F"/>
          </w:tcPr>
          <w:p>
            <w:pPr>
              <w:spacing w:after="0"/>
              <w:jc w:val="center"/>
            </w:pPr>
            <w:r>
              <w:rPr>
                <w:rFonts w:ascii="Calibri" w:hAnsi="Calibri"/>
                <w:b/>
                <w:color w:val="FFFFFF"/>
                <w:sz w:val="13"/>
              </w:rPr>
              <w:t>Crypto risk</w:t>
            </w:r>
          </w:p>
        </w:tc>
        <w:tc>
          <w:tcPr>
            <w:tcW w:type="dxa" w:w="1296"/>
            <w:tcMar>
              <w:top w:w="70" w:type="dxa"/>
              <w:bottom w:w="70" w:type="dxa"/>
              <w:start w:w="120" w:type="dxa"/>
              <w:end w:w="120" w:type="dxa"/>
            </w:tcMar>
            <w:vAlign w:val="center"/>
            <w:shd w:fill="16324F"/>
          </w:tcPr>
          <w:p>
            <w:pPr>
              <w:spacing w:after="0"/>
              <w:jc w:val="center"/>
            </w:pPr>
            <w:r>
              <w:rPr>
                <w:rFonts w:ascii="Calibri" w:hAnsi="Calibri"/>
                <w:b/>
                <w:color w:val="FFFFFF"/>
                <w:sz w:val="13"/>
              </w:rPr>
              <w:t>Effective N</w:t>
            </w:r>
          </w:p>
        </w:tc>
        <w:tc>
          <w:tcPr>
            <w:tcW w:type="dxa" w:w="1152"/>
            <w:tcMar>
              <w:top w:w="70" w:type="dxa"/>
              <w:bottom w:w="70" w:type="dxa"/>
              <w:start w:w="120" w:type="dxa"/>
              <w:end w:w="120" w:type="dxa"/>
            </w:tcMar>
            <w:vAlign w:val="center"/>
            <w:shd w:fill="16324F"/>
          </w:tcPr>
          <w:p>
            <w:pPr>
              <w:spacing w:after="0"/>
              <w:jc w:val="center"/>
            </w:pPr>
            <w:r>
              <w:rPr>
                <w:rFonts w:ascii="Calibri" w:hAnsi="Calibri"/>
                <w:b/>
                <w:color w:val="FFFFFF"/>
                <w:sz w:val="13"/>
              </w:rPr>
              <w:t>Top 5</w:t>
            </w:r>
          </w:p>
        </w:tc>
        <w:tc>
          <w:tcPr>
            <w:tcW w:type="dxa" w:w="1296"/>
            <w:tcMar>
              <w:top w:w="70" w:type="dxa"/>
              <w:bottom w:w="70" w:type="dxa"/>
              <w:start w:w="120" w:type="dxa"/>
              <w:end w:w="120" w:type="dxa"/>
            </w:tcMar>
            <w:vAlign w:val="center"/>
            <w:shd w:fill="16324F"/>
          </w:tcPr>
          <w:p>
            <w:pPr>
              <w:spacing w:after="0"/>
              <w:jc w:val="center"/>
            </w:pPr>
            <w:r>
              <w:rPr>
                <w:rFonts w:ascii="Calibri" w:hAnsi="Calibri"/>
                <w:b/>
                <w:color w:val="FFFFFF"/>
                <w:sz w:val="13"/>
              </w:rPr>
              <w:t>Turnover</w:t>
            </w:r>
          </w:p>
        </w:tc>
      </w:tr>
      <w:tr>
        <w:tc>
          <w:tcPr>
            <w:tcW w:type="dxa" w:w="1800"/>
            <w:vAlign w:val="center"/>
            <w:tcMar>
              <w:top w:w="70" w:type="dxa"/>
              <w:bottom w:w="70" w:type="dxa"/>
              <w:start w:w="120" w:type="dxa"/>
              <w:end w:w="120" w:type="dxa"/>
            </w:tcMar>
          </w:tcPr>
          <w:p>
            <w:pPr>
              <w:spacing w:after="0" w:line="240" w:lineRule="auto"/>
              <w:jc w:val="left"/>
            </w:pPr>
            <w:r>
              <w:rPr>
                <w:rFonts w:ascii="Calibri" w:hAnsi="Calibri"/>
                <w:color w:val="1F2933"/>
                <w:sz w:val="13"/>
              </w:rPr>
              <w:t>Equal Weight</w:t>
            </w:r>
          </w:p>
        </w:tc>
        <w:tc>
          <w:tcPr>
            <w:tcW w:type="dxa" w:w="2232"/>
            <w:vAlign w:val="center"/>
            <w:tcMar>
              <w:top w:w="70" w:type="dxa"/>
              <w:bottom w:w="70" w:type="dxa"/>
              <w:start w:w="120" w:type="dxa"/>
              <w:end w:w="120" w:type="dxa"/>
            </w:tcMar>
          </w:tcPr>
          <w:p>
            <w:pPr>
              <w:spacing w:after="0" w:line="240" w:lineRule="auto"/>
              <w:jc w:val="center"/>
            </w:pPr>
            <w:r>
              <w:rPr>
                <w:rFonts w:ascii="Calibri" w:hAnsi="Calibri"/>
                <w:color w:val="1F2933"/>
                <w:sz w:val="13"/>
              </w:rPr>
              <w:t>16.7% (16.7%-16.7%)</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3"/>
              </w:rPr>
              <w:t>38.4%</w:t>
            </w:r>
          </w:p>
        </w:tc>
        <w:tc>
          <w:tcPr>
            <w:tcW w:type="dxa" w:w="1296"/>
            <w:vAlign w:val="center"/>
            <w:tcMar>
              <w:top w:w="70" w:type="dxa"/>
              <w:bottom w:w="70" w:type="dxa"/>
              <w:start w:w="120" w:type="dxa"/>
              <w:end w:w="120" w:type="dxa"/>
            </w:tcMar>
          </w:tcPr>
          <w:p>
            <w:pPr>
              <w:spacing w:after="0" w:line="240" w:lineRule="auto"/>
              <w:jc w:val="center"/>
            </w:pPr>
            <w:r>
              <w:rPr>
                <w:rFonts w:ascii="Calibri" w:hAnsi="Calibri"/>
                <w:color w:val="1F2933"/>
                <w:sz w:val="13"/>
              </w:rPr>
              <w:t>60.0</w:t>
            </w:r>
          </w:p>
        </w:tc>
        <w:tc>
          <w:tcPr>
            <w:tcW w:type="dxa" w:w="1152"/>
            <w:vAlign w:val="center"/>
            <w:tcMar>
              <w:top w:w="70" w:type="dxa"/>
              <w:bottom w:w="70" w:type="dxa"/>
              <w:start w:w="120" w:type="dxa"/>
              <w:end w:w="120" w:type="dxa"/>
            </w:tcMar>
          </w:tcPr>
          <w:p>
            <w:pPr>
              <w:spacing w:after="0" w:line="240" w:lineRule="auto"/>
              <w:jc w:val="center"/>
            </w:pPr>
            <w:r>
              <w:rPr>
                <w:rFonts w:ascii="Calibri" w:hAnsi="Calibri"/>
                <w:color w:val="1F2933"/>
                <w:sz w:val="13"/>
              </w:rPr>
              <w:t>8.3%</w:t>
            </w:r>
          </w:p>
        </w:tc>
        <w:tc>
          <w:tcPr>
            <w:tcW w:type="dxa" w:w="1296"/>
            <w:vAlign w:val="center"/>
            <w:tcMar>
              <w:top w:w="70" w:type="dxa"/>
              <w:bottom w:w="70" w:type="dxa"/>
              <w:start w:w="120" w:type="dxa"/>
              <w:end w:w="120" w:type="dxa"/>
            </w:tcMar>
          </w:tcPr>
          <w:p>
            <w:pPr>
              <w:spacing w:after="0" w:line="240" w:lineRule="auto"/>
              <w:jc w:val="center"/>
            </w:pPr>
            <w:r>
              <w:rPr>
                <w:rFonts w:ascii="Calibri" w:hAnsi="Calibri"/>
                <w:color w:val="1F2933"/>
                <w:sz w:val="13"/>
              </w:rPr>
              <w:t>3.9%</w:t>
            </w:r>
          </w:p>
        </w:tc>
      </w:tr>
      <w:tr>
        <w:tc>
          <w:tcPr>
            <w:tcW w:type="dxa" w:w="1800"/>
            <w:vAlign w:val="center"/>
            <w:shd w:fill="F7FAFC"/>
            <w:tcMar>
              <w:top w:w="70" w:type="dxa"/>
              <w:bottom w:w="70" w:type="dxa"/>
              <w:start w:w="120" w:type="dxa"/>
              <w:end w:w="120" w:type="dxa"/>
            </w:tcMar>
          </w:tcPr>
          <w:p>
            <w:pPr>
              <w:spacing w:after="0" w:line="240" w:lineRule="auto"/>
              <w:jc w:val="left"/>
            </w:pPr>
            <w:r>
              <w:rPr>
                <w:rFonts w:ascii="Calibri" w:hAnsi="Calibri"/>
                <w:color w:val="1F2933"/>
                <w:sz w:val="13"/>
              </w:rPr>
              <w:t>Minimum Variance</w:t>
            </w:r>
          </w:p>
        </w:tc>
        <w:tc>
          <w:tcPr>
            <w:tcW w:type="dxa" w:w="2232"/>
            <w:vAlign w:val="center"/>
            <w:shd w:fill="F7FAFC"/>
            <w:tcMar>
              <w:top w:w="70" w:type="dxa"/>
              <w:bottom w:w="70" w:type="dxa"/>
              <w:start w:w="120" w:type="dxa"/>
              <w:end w:w="120" w:type="dxa"/>
            </w:tcMar>
          </w:tcPr>
          <w:p>
            <w:pPr>
              <w:spacing w:after="0" w:line="240" w:lineRule="auto"/>
              <w:jc w:val="center"/>
            </w:pPr>
            <w:r>
              <w:rPr>
                <w:rFonts w:ascii="Calibri" w:hAnsi="Calibri"/>
                <w:color w:val="1F2933"/>
                <w:sz w:val="13"/>
              </w:rPr>
              <w:t>0.0% (0.0%-3.0%)</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3"/>
              </w:rPr>
              <w:t>0.0%</w:t>
            </w:r>
          </w:p>
        </w:tc>
        <w:tc>
          <w:tcPr>
            <w:tcW w:type="dxa" w:w="1296"/>
            <w:vAlign w:val="center"/>
            <w:shd w:fill="F7FAFC"/>
            <w:tcMar>
              <w:top w:w="70" w:type="dxa"/>
              <w:bottom w:w="70" w:type="dxa"/>
              <w:start w:w="120" w:type="dxa"/>
              <w:end w:w="120" w:type="dxa"/>
            </w:tcMar>
          </w:tcPr>
          <w:p>
            <w:pPr>
              <w:spacing w:after="0" w:line="240" w:lineRule="auto"/>
              <w:jc w:val="center"/>
            </w:pPr>
            <w:r>
              <w:rPr>
                <w:rFonts w:ascii="Calibri" w:hAnsi="Calibri"/>
                <w:color w:val="1F2933"/>
                <w:sz w:val="13"/>
              </w:rPr>
              <w:t>12.0</w:t>
            </w:r>
          </w:p>
        </w:tc>
        <w:tc>
          <w:tcPr>
            <w:tcW w:type="dxa" w:w="1152"/>
            <w:vAlign w:val="center"/>
            <w:shd w:fill="F7FAFC"/>
            <w:tcMar>
              <w:top w:w="70" w:type="dxa"/>
              <w:bottom w:w="70" w:type="dxa"/>
              <w:start w:w="120" w:type="dxa"/>
              <w:end w:w="120" w:type="dxa"/>
            </w:tcMar>
          </w:tcPr>
          <w:p>
            <w:pPr>
              <w:spacing w:after="0" w:line="240" w:lineRule="auto"/>
              <w:jc w:val="center"/>
            </w:pPr>
            <w:r>
              <w:rPr>
                <w:rFonts w:ascii="Calibri" w:hAnsi="Calibri"/>
                <w:color w:val="1F2933"/>
                <w:sz w:val="13"/>
              </w:rPr>
              <w:t>54.7%</w:t>
            </w:r>
          </w:p>
        </w:tc>
        <w:tc>
          <w:tcPr>
            <w:tcW w:type="dxa" w:w="1296"/>
            <w:vAlign w:val="center"/>
            <w:shd w:fill="F7FAFC"/>
            <w:tcMar>
              <w:top w:w="70" w:type="dxa"/>
              <w:bottom w:w="70" w:type="dxa"/>
              <w:start w:w="120" w:type="dxa"/>
              <w:end w:w="120" w:type="dxa"/>
            </w:tcMar>
          </w:tcPr>
          <w:p>
            <w:pPr>
              <w:spacing w:after="0" w:line="240" w:lineRule="auto"/>
              <w:jc w:val="center"/>
            </w:pPr>
            <w:r>
              <w:rPr>
                <w:rFonts w:ascii="Calibri" w:hAnsi="Calibri"/>
                <w:color w:val="1F2933"/>
                <w:sz w:val="13"/>
              </w:rPr>
              <w:t>12.2%</w:t>
            </w:r>
          </w:p>
        </w:tc>
      </w:tr>
      <w:tr>
        <w:tc>
          <w:tcPr>
            <w:tcW w:type="dxa" w:w="1800"/>
            <w:vAlign w:val="center"/>
            <w:tcMar>
              <w:top w:w="70" w:type="dxa"/>
              <w:bottom w:w="70" w:type="dxa"/>
              <w:start w:w="120" w:type="dxa"/>
              <w:end w:w="120" w:type="dxa"/>
            </w:tcMar>
          </w:tcPr>
          <w:p>
            <w:pPr>
              <w:spacing w:after="0" w:line="240" w:lineRule="auto"/>
              <w:jc w:val="left"/>
            </w:pPr>
            <w:r>
              <w:rPr>
                <w:rFonts w:ascii="Calibri" w:hAnsi="Calibri"/>
                <w:color w:val="1F2933"/>
                <w:sz w:val="13"/>
              </w:rPr>
              <w:t>Maximum Sharpe</w:t>
            </w:r>
          </w:p>
        </w:tc>
        <w:tc>
          <w:tcPr>
            <w:tcW w:type="dxa" w:w="2232"/>
            <w:vAlign w:val="center"/>
            <w:tcMar>
              <w:top w:w="70" w:type="dxa"/>
              <w:bottom w:w="70" w:type="dxa"/>
              <w:start w:w="120" w:type="dxa"/>
              <w:end w:w="120" w:type="dxa"/>
            </w:tcMar>
          </w:tcPr>
          <w:p>
            <w:pPr>
              <w:spacing w:after="0" w:line="240" w:lineRule="auto"/>
              <w:jc w:val="center"/>
            </w:pPr>
            <w:r>
              <w:rPr>
                <w:rFonts w:ascii="Calibri" w:hAnsi="Calibri"/>
                <w:color w:val="1F2933"/>
                <w:sz w:val="13"/>
              </w:rPr>
              <w:t>1.4% (0.0%-23.3%)</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3"/>
              </w:rPr>
              <w:t>4.1%</w:t>
            </w:r>
          </w:p>
        </w:tc>
        <w:tc>
          <w:tcPr>
            <w:tcW w:type="dxa" w:w="1296"/>
            <w:vAlign w:val="center"/>
            <w:tcMar>
              <w:top w:w="70" w:type="dxa"/>
              <w:bottom w:w="70" w:type="dxa"/>
              <w:start w:w="120" w:type="dxa"/>
              <w:end w:w="120" w:type="dxa"/>
            </w:tcMar>
          </w:tcPr>
          <w:p>
            <w:pPr>
              <w:spacing w:after="0" w:line="240" w:lineRule="auto"/>
              <w:jc w:val="center"/>
            </w:pPr>
            <w:r>
              <w:rPr>
                <w:rFonts w:ascii="Calibri" w:hAnsi="Calibri"/>
                <w:color w:val="1F2933"/>
                <w:sz w:val="13"/>
              </w:rPr>
              <w:t>10.5</w:t>
            </w:r>
          </w:p>
        </w:tc>
        <w:tc>
          <w:tcPr>
            <w:tcW w:type="dxa" w:w="1152"/>
            <w:vAlign w:val="center"/>
            <w:tcMar>
              <w:top w:w="70" w:type="dxa"/>
              <w:bottom w:w="70" w:type="dxa"/>
              <w:start w:w="120" w:type="dxa"/>
              <w:end w:w="120" w:type="dxa"/>
            </w:tcMar>
          </w:tcPr>
          <w:p>
            <w:pPr>
              <w:spacing w:after="0" w:line="240" w:lineRule="auto"/>
              <w:jc w:val="center"/>
            </w:pPr>
            <w:r>
              <w:rPr>
                <w:rFonts w:ascii="Calibri" w:hAnsi="Calibri"/>
                <w:color w:val="1F2933"/>
                <w:sz w:val="13"/>
              </w:rPr>
              <w:t>60.0%</w:t>
            </w:r>
          </w:p>
        </w:tc>
        <w:tc>
          <w:tcPr>
            <w:tcW w:type="dxa" w:w="1296"/>
            <w:vAlign w:val="center"/>
            <w:tcMar>
              <w:top w:w="70" w:type="dxa"/>
              <w:bottom w:w="70" w:type="dxa"/>
              <w:start w:w="120" w:type="dxa"/>
              <w:end w:w="120" w:type="dxa"/>
            </w:tcMar>
          </w:tcPr>
          <w:p>
            <w:pPr>
              <w:spacing w:after="0" w:line="240" w:lineRule="auto"/>
              <w:jc w:val="center"/>
            </w:pPr>
            <w:r>
              <w:rPr>
                <w:rFonts w:ascii="Calibri" w:hAnsi="Calibri"/>
                <w:color w:val="1F2933"/>
                <w:sz w:val="13"/>
              </w:rPr>
              <w:t>28.0%</w:t>
            </w:r>
          </w:p>
        </w:tc>
      </w:tr>
      <w:tr>
        <w:tc>
          <w:tcPr>
            <w:tcW w:type="dxa" w:w="1800"/>
            <w:vAlign w:val="center"/>
            <w:shd w:fill="F7FAFC"/>
            <w:tcMar>
              <w:top w:w="70" w:type="dxa"/>
              <w:bottom w:w="70" w:type="dxa"/>
              <w:start w:w="120" w:type="dxa"/>
              <w:end w:w="120" w:type="dxa"/>
            </w:tcMar>
          </w:tcPr>
          <w:p>
            <w:pPr>
              <w:spacing w:after="0" w:line="240" w:lineRule="auto"/>
              <w:jc w:val="left"/>
            </w:pPr>
            <w:r>
              <w:rPr>
                <w:rFonts w:ascii="Calibri" w:hAnsi="Calibri"/>
                <w:color w:val="1F2933"/>
                <w:sz w:val="13"/>
              </w:rPr>
              <w:t>Risk Parity</w:t>
            </w:r>
          </w:p>
        </w:tc>
        <w:tc>
          <w:tcPr>
            <w:tcW w:type="dxa" w:w="2232"/>
            <w:vAlign w:val="center"/>
            <w:shd w:fill="F7FAFC"/>
            <w:tcMar>
              <w:top w:w="70" w:type="dxa"/>
              <w:bottom w:w="70" w:type="dxa"/>
              <w:start w:w="120" w:type="dxa"/>
              <w:end w:w="120" w:type="dxa"/>
            </w:tcMar>
          </w:tcPr>
          <w:p>
            <w:pPr>
              <w:spacing w:after="0" w:line="240" w:lineRule="auto"/>
              <w:jc w:val="center"/>
            </w:pPr>
            <w:r>
              <w:rPr>
                <w:rFonts w:ascii="Calibri" w:hAnsi="Calibri"/>
                <w:color w:val="1F2933"/>
                <w:sz w:val="13"/>
              </w:rPr>
              <w:t>7.6% (3.7%-11.8%)</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3"/>
              </w:rPr>
              <w:t>16.7%</w:t>
            </w:r>
          </w:p>
        </w:tc>
        <w:tc>
          <w:tcPr>
            <w:tcW w:type="dxa" w:w="1296"/>
            <w:vAlign w:val="center"/>
            <w:shd w:fill="F7FAFC"/>
            <w:tcMar>
              <w:top w:w="70" w:type="dxa"/>
              <w:bottom w:w="70" w:type="dxa"/>
              <w:start w:w="120" w:type="dxa"/>
              <w:end w:w="120" w:type="dxa"/>
            </w:tcMar>
          </w:tcPr>
          <w:p>
            <w:pPr>
              <w:spacing w:after="0" w:line="240" w:lineRule="auto"/>
              <w:jc w:val="center"/>
            </w:pPr>
            <w:r>
              <w:rPr>
                <w:rFonts w:ascii="Calibri" w:hAnsi="Calibri"/>
                <w:color w:val="1F2933"/>
                <w:sz w:val="13"/>
              </w:rPr>
              <w:t>49.6</w:t>
            </w:r>
          </w:p>
        </w:tc>
        <w:tc>
          <w:tcPr>
            <w:tcW w:type="dxa" w:w="1152"/>
            <w:vAlign w:val="center"/>
            <w:shd w:fill="F7FAFC"/>
            <w:tcMar>
              <w:top w:w="70" w:type="dxa"/>
              <w:bottom w:w="70" w:type="dxa"/>
              <w:start w:w="120" w:type="dxa"/>
              <w:end w:w="120" w:type="dxa"/>
            </w:tcMar>
          </w:tcPr>
          <w:p>
            <w:pPr>
              <w:spacing w:after="0" w:line="240" w:lineRule="auto"/>
              <w:jc w:val="center"/>
            </w:pPr>
            <w:r>
              <w:rPr>
                <w:rFonts w:ascii="Calibri" w:hAnsi="Calibri"/>
                <w:color w:val="1F2933"/>
                <w:sz w:val="13"/>
              </w:rPr>
              <w:t>16.2%</w:t>
            </w:r>
          </w:p>
        </w:tc>
        <w:tc>
          <w:tcPr>
            <w:tcW w:type="dxa" w:w="1296"/>
            <w:vAlign w:val="center"/>
            <w:shd w:fill="F7FAFC"/>
            <w:tcMar>
              <w:top w:w="70" w:type="dxa"/>
              <w:bottom w:w="70" w:type="dxa"/>
              <w:start w:w="120" w:type="dxa"/>
              <w:end w:w="120" w:type="dxa"/>
            </w:tcMar>
          </w:tcPr>
          <w:p>
            <w:pPr>
              <w:spacing w:after="0" w:line="240" w:lineRule="auto"/>
              <w:jc w:val="center"/>
            </w:pPr>
            <w:r>
              <w:rPr>
                <w:rFonts w:ascii="Calibri" w:hAnsi="Calibri"/>
                <w:color w:val="1F2933"/>
                <w:sz w:val="13"/>
              </w:rPr>
              <w:t>3.8%</w:t>
            </w:r>
          </w:p>
        </w:tc>
      </w:tr>
    </w:tbl>
    <w:p>
      <w:pPr>
        <w:spacing w:after="40"/>
      </w:pPr>
    </w:p>
    <w:p>
      <w:pPr/>
      <w:r>
        <w:rPr>
          <w:rFonts w:ascii="Calibri" w:hAnsi="Calibri"/>
        </w:rPr>
        <w:t xml:space="preserve">Table </w:t>
      </w:r>
      <w:r>
        <w:rPr>
          <w:rFonts w:ascii="Calibri" w:hAnsi="Calibri"/>
        </w:rPr>
        <w:fldChar w:fldCharType="begin"/>
      </w:r>
      <w:r>
        <w:rPr>
          <w:rFonts w:ascii="Calibri" w:hAnsi="Calibri"/>
        </w:rPr>
        <w:instrText xml:space="preserve"> REF _RefTblCombinedRisk \h </w:instrText>
      </w:r>
      <w:r>
        <w:rPr>
          <w:rFonts w:ascii="Calibri" w:hAnsi="Calibri"/>
        </w:rPr>
        <w:fldChar w:fldCharType="separate"/>
      </w:r>
      <w:r>
        <w:rPr>
          <w:rFonts w:ascii="Calibri" w:hAnsi="Calibri"/>
        </w:rPr>
        <w:t>4</w:t>
      </w:r>
      <w:r>
        <w:rPr>
          <w:rFonts w:ascii="Calibri" w:hAnsi="Calibri"/>
        </w:rPr>
        <w:fldChar w:fldCharType="end"/>
      </w:r>
      <w:r>
        <w:rPr>
          <w:rFonts w:ascii="Calibri" w:hAnsi="Calibri"/>
        </w:rPr>
        <w:t xml:space="preserve"> explains why the methods behave differently. Equal Weight puts 16.7% of capital in crypto but a median 38.4% of estimated variance comes from crypto. Risk Parity uses median crypto capital of only 7.6% and holds its family risk share at 16.7%: 10 of 60 equal asset-level risk budgets. Maximum Sharpe is visibly less stable: crypto capital ranges from 0.0% to 23.3%, its median effective holdings fall to 10.5, its top five positions hold 60.0%, and average turnover is 28.0%. These are sample diagnostics of mean-sensitive concentration, not forecasts of future instability.</w:t>
      </w:r>
    </w:p>
    <w:p>
      <w:pPr>
        <w:pStyle w:val="Heading2"/>
      </w:pPr>
      <w:r>
        <w:t>Twelve consistent fact sheets</w:t>
      </w:r>
    </w:p>
    <w:p>
      <w:pPr/>
      <w:r>
        <w:rPr>
          <w:rFonts w:ascii="Calibri" w:hAnsi="Calibri"/>
        </w:rPr>
        <w:t xml:space="preserve">Each app fact sheet joins the fund's live growth and drawdown path to annualised return, annualised volatility, Sharpe ratio, maximum drawdown, ending value, and the complete latest target portfolio. Combined fact sheets also show capital versus covariance-risk share and concentration. The latest three largest holdings for every fund are audited in </w:t>
      </w:r>
      <w:r>
        <w:rPr>
          <w:rFonts w:ascii="Calibri" w:hAnsi="Calibri"/>
        </w:rPr>
        <w:t xml:space="preserve">Table </w:t>
      </w:r>
      <w:r>
        <w:rPr>
          <w:rFonts w:ascii="Calibri" w:hAnsi="Calibri"/>
        </w:rPr>
        <w:fldChar w:fldCharType="begin"/>
      </w:r>
      <w:r>
        <w:rPr>
          <w:rFonts w:ascii="Calibri" w:hAnsi="Calibri"/>
        </w:rPr>
        <w:instrText xml:space="preserve"> REF _RefTblHoldings \h </w:instrText>
      </w:r>
      <w:r>
        <w:rPr>
          <w:rFonts w:ascii="Calibri" w:hAnsi="Calibri"/>
        </w:rPr>
        <w:fldChar w:fldCharType="separate"/>
      </w:r>
      <w:r>
        <w:rPr>
          <w:rFonts w:ascii="Calibri" w:hAnsi="Calibri"/>
        </w:rPr>
        <w:t>7</w:t>
      </w:r>
      <w:r>
        <w:rPr>
          <w:rFonts w:ascii="Calibri" w:hAnsi="Calibri"/>
        </w:rPr>
        <w:fldChar w:fldCharType="end"/>
      </w:r>
      <w:r>
        <w:rPr>
          <w:rFonts w:ascii="Calibri" w:hAnsi="Calibri"/>
        </w:rPr>
        <w:t>. Full targets remain downloadable from the app and in results/data/fund_weights.csv. This design keeps the report comparative while letting the product serve position-level detail on demand.</w:t>
      </w:r>
    </w:p>
    <w:p>
      <w:r>
        <w:br w:type="page"/>
      </w:r>
    </w:p>
    <w:p>
      <w:pPr>
        <w:pStyle w:val="Heading1"/>
      </w:pPr>
      <w:r>
        <w:t>7. Sector sentiment: tone must be read beside coverage</w:t>
      </w:r>
    </w:p>
    <w:p>
      <w:pPr/>
      <w:r>
        <w:rPr>
          <w:rFonts w:ascii="Calibri" w:hAnsi="Calibri"/>
        </w:rPr>
        <w:t>VADER 3.3.2 scores each original headline without lowercasing or removing punctuation, negation, boosters, or capitalisation. Those features are inputs to the model, not formatting noise. Its compound score bounds the adjusted valence sum x as follows (Hutto and Gilbert, 2014):</w:t>
      </w:r>
    </w:p>
    <w:p>
      <w:pPr>
        <w:pStyle w:val="Equation"/>
      </w:pPr>
      <w:r>
        <w:rPr>
          <w:rFonts w:ascii="Cambria Math" w:hAnsi="Cambria Math"/>
          <w:color w:val="16324F"/>
          <w:sz w:val="20"/>
        </w:rPr>
        <w:t>compound = x / sqrt(x^2 + 15)</w:t>
      </w:r>
    </w:p>
    <w:p>
      <w:pPr/>
      <w:r>
        <w:rPr>
          <w:rFonts w:ascii="Calibri" w:hAnsi="Calibri"/>
        </w:rPr>
        <w:t>The finance extension adds 20 reviewed words, 9 reviewed phrases, and 5 intensity modifiers from the Week 8 ten-rater exercise. The code snapshots and restores VADER's module dictionaries so repeated runs do not contaminate the baseline. Headline scores are averaged within ticker-day first; observed ticker-day means are then equally weighted within sector. No-news observations remain missing in the headline index, while a separate neutral-fill series multiplies observed tone by ticker coverage.</w:t>
      </w:r>
    </w:p>
    <w:p>
      <w:pPr/>
      <w:r>
        <w:rPr>
          <w:rFonts w:ascii="Calibri" w:hAnsi="Calibri"/>
        </w:rPr>
        <w:t xml:space="preserve">The finance extension changes 3.2% of scores and reduces the share classified as neutral from 49.5% to 48.7%. </w:t>
      </w:r>
      <w:r>
        <w:rPr>
          <w:rFonts w:ascii="Calibri" w:hAnsi="Calibri"/>
        </w:rPr>
        <w:t xml:space="preserve">Table </w:t>
      </w:r>
      <w:r>
        <w:rPr>
          <w:rFonts w:ascii="Calibri" w:hAnsi="Calibri"/>
        </w:rPr>
        <w:fldChar w:fldCharType="begin"/>
      </w:r>
      <w:r>
        <w:rPr>
          <w:rFonts w:ascii="Calibri" w:hAnsi="Calibri"/>
        </w:rPr>
        <w:instrText xml:space="preserve"> REF _RefTblVader \h </w:instrText>
      </w:r>
      <w:r>
        <w:rPr>
          <w:rFonts w:ascii="Calibri" w:hAnsi="Calibri"/>
        </w:rPr>
        <w:fldChar w:fldCharType="separate"/>
      </w:r>
      <w:r>
        <w:rPr>
          <w:rFonts w:ascii="Calibri" w:hAnsi="Calibri"/>
        </w:rPr>
        <w:t>13</w:t>
      </w:r>
      <w:r>
        <w:rPr>
          <w:rFonts w:ascii="Calibri" w:hAnsi="Calibri"/>
        </w:rPr>
        <w:fldChar w:fldCharType="end"/>
      </w:r>
      <w:r>
        <w:rPr>
          <w:rFonts w:ascii="Calibri" w:hAnsi="Calibri"/>
        </w:rPr>
        <w:t xml:space="preserve"> reports the full distribution. This is dictionary-coverage evidence, not an accuracy claim, because no labelled finance-headline test set is available.</w:t>
      </w:r>
    </w:p>
    <w:p>
      <w:pPr>
        <w:keepNext/>
        <w:jc w:val="center"/>
      </w:pPr>
      <w:r>
        <w:drawing>
          <wp:inline xmlns:a="http://schemas.openxmlformats.org/drawingml/2006/main" xmlns:pic="http://schemas.openxmlformats.org/drawingml/2006/picture">
            <wp:extent cx="4800600" cy="3312560"/>
            <wp:docPr id="4" name="Picture 4" descr="Two panels of sector sentiment paths split into higher- and lower-coverage sectors."/>
            <wp:cNvGraphicFramePr>
              <a:graphicFrameLocks noChangeAspect="1"/>
            </wp:cNvGraphicFramePr>
            <a:graphic>
              <a:graphicData uri="http://schemas.openxmlformats.org/drawingml/2006/picture">
                <pic:pic>
                  <pic:nvPicPr>
                    <pic:cNvPr id="0" name="sector_sentiment_index.png"/>
                    <pic:cNvPicPr/>
                  </pic:nvPicPr>
                  <pic:blipFill>
                    <a:blip r:embed="rId14"/>
                    <a:stretch>
                      <a:fillRect/>
                    </a:stretch>
                  </pic:blipFill>
                  <pic:spPr>
                    <a:xfrm>
                      <a:off x="0" y="0"/>
                      <a:ext cx="4800600" cy="3312560"/>
                    </a:xfrm>
                    <a:prstGeom prst="rect"/>
                  </pic:spPr>
                </pic:pic>
              </a:graphicData>
            </a:graphic>
          </wp:inline>
        </w:drawing>
      </w:r>
    </w:p>
    <w:p>
      <w:pPr>
        <w:pStyle w:val="Caption"/>
      </w:pPr>
      <w:r>
        <w:rPr>
          <w:rFonts w:ascii="Calibri" w:hAnsi="Calibri"/>
          <w:i/>
          <w:color w:val="64748B"/>
          <w:sz w:val="15"/>
        </w:rPr>
        <w:t xml:space="preserve">Figure </w:t>
      </w:r>
      <w:bookmarkStart w:id="27" w:name="_RefFigSentiment"/>
      <w:r>
        <w:rPr>
          <w:rFonts w:ascii="Calibri" w:hAnsi="Calibri"/>
          <w:i/>
          <w:color w:val="64748B"/>
          <w:sz w:val="15"/>
        </w:rPr>
        <w:fldChar w:fldCharType="begin"/>
      </w:r>
      <w:r>
        <w:rPr>
          <w:rFonts w:ascii="Calibri" w:hAnsi="Calibri"/>
          <w:i/>
          <w:color w:val="64748B"/>
          <w:sz w:val="15"/>
        </w:rPr>
        <w:instrText xml:space="preserve"> SEQ Figure \* ARABIC </w:instrText>
      </w:r>
      <w:r>
        <w:rPr>
          <w:rFonts w:ascii="Calibri" w:hAnsi="Calibri"/>
          <w:i/>
          <w:color w:val="64748B"/>
          <w:sz w:val="15"/>
        </w:rPr>
        <w:fldChar w:fldCharType="separate"/>
      </w:r>
      <w:r>
        <w:rPr>
          <w:rFonts w:ascii="Calibri" w:hAnsi="Calibri"/>
          <w:i/>
          <w:color w:val="64748B"/>
          <w:sz w:val="15"/>
        </w:rPr>
        <w:t>4</w:t>
      </w:r>
      <w:r>
        <w:rPr>
          <w:rFonts w:ascii="Calibri" w:hAnsi="Calibri"/>
          <w:i/>
          <w:color w:val="64748B"/>
          <w:sz w:val="15"/>
        </w:rPr>
        <w:fldChar w:fldCharType="end"/>
      </w:r>
      <w:bookmarkEnd w:id="27"/>
      <w:r>
        <w:rPr>
          <w:rFonts w:ascii="Calibri" w:hAnsi="Calibri"/>
          <w:i/>
          <w:color w:val="64748B"/>
          <w:sz w:val="15"/>
        </w:rPr>
        <w:t>. Twenty-one-trading-day mean finance-extended VADER compound score by equity sector, split by average ticker-news coverage. Index dates: 2020-2023. Source: FINS5545 headlines and author calculations.</w:t>
      </w:r>
    </w:p>
    <w:p>
      <w:pPr>
        <w:pStyle w:val="Caption"/>
      </w:pPr>
      <w:r>
        <w:rPr>
          <w:rFonts w:ascii="Calibri" w:hAnsi="Calibri"/>
          <w:i/>
          <w:color w:val="64748B"/>
          <w:sz w:val="15"/>
        </w:rPr>
        <w:t xml:space="preserve">Table </w:t>
      </w:r>
      <w:bookmarkStart w:id="28" w:name="_RefTblSentimentPredictive"/>
      <w:r>
        <w:rPr>
          <w:rFonts w:ascii="Calibri" w:hAnsi="Calibri"/>
          <w:i/>
          <w:color w:val="64748B"/>
          <w:sz w:val="15"/>
        </w:rPr>
        <w:fldChar w:fldCharType="begin"/>
      </w:r>
      <w:r>
        <w:rPr>
          <w:rFonts w:ascii="Calibri" w:hAnsi="Calibri"/>
          <w:i/>
          <w:color w:val="64748B"/>
          <w:sz w:val="15"/>
        </w:rPr>
        <w:instrText xml:space="preserve"> SEQ Table \* ARABIC </w:instrText>
      </w:r>
      <w:r>
        <w:rPr>
          <w:rFonts w:ascii="Calibri" w:hAnsi="Calibri"/>
          <w:i/>
          <w:color w:val="64748B"/>
          <w:sz w:val="15"/>
        </w:rPr>
        <w:fldChar w:fldCharType="separate"/>
      </w:r>
      <w:r>
        <w:rPr>
          <w:rFonts w:ascii="Calibri" w:hAnsi="Calibri"/>
          <w:i/>
          <w:color w:val="64748B"/>
          <w:sz w:val="15"/>
        </w:rPr>
        <w:t>5</w:t>
      </w:r>
      <w:r>
        <w:rPr>
          <w:rFonts w:ascii="Calibri" w:hAnsi="Calibri"/>
          <w:i/>
          <w:color w:val="64748B"/>
          <w:sz w:val="15"/>
        </w:rPr>
        <w:fldChar w:fldCharType="end"/>
      </w:r>
      <w:bookmarkEnd w:id="28"/>
      <w:r>
        <w:rPr>
          <w:rFonts w:ascii="Calibri" w:hAnsi="Calibri"/>
          <w:i/>
          <w:color w:val="64748B"/>
          <w:sz w:val="15"/>
        </w:rPr>
        <w:t>. Cross-sectional validation of the effective lagged ticker signal against future equity returns. IC is the daily Spearman rank correlation; H-L is the equal-weight top-minus-bottom sentiment quintile return in basis points. HAC t-statistics use horizon minus one lag. Signal dates match the live equity fund period, 2021-2023. Source: author calculations.</w:t>
      </w:r>
    </w:p>
    <w:tbl>
      <w:tblPr>
        <w:tblStyle w:val="TableGrid"/>
        <w:tblW w:type="dxa" w:w="7776"/>
        <w:tblLayout w:type="fixed"/>
        <w:tblLook w:firstColumn="1" w:firstRow="1" w:lastColumn="0" w:lastRow="0" w:noHBand="0" w:noVBand="1" w:val="04A0"/>
        <w:jc w:val="left"/>
        <w:tblInd w:type="dxa" w:w="120"/>
      </w:tblPr>
      <w:tblGrid>
        <w:gridCol w:w="1440"/>
        <w:gridCol w:w="1296"/>
        <w:gridCol w:w="1152"/>
        <w:gridCol w:w="1440"/>
        <w:gridCol w:w="1152"/>
        <w:gridCol w:w="1296"/>
      </w:tblGrid>
      <w:tr>
        <w:trPr>
          <w:tblHeader w:val="true"/>
        </w:trPr>
        <w:tc>
          <w:tcPr>
            <w:tcW w:type="dxa" w:w="1440"/>
            <w:tcMar>
              <w:top w:w="70" w:type="dxa"/>
              <w:bottom w:w="70" w:type="dxa"/>
              <w:start w:w="120" w:type="dxa"/>
              <w:end w:w="120" w:type="dxa"/>
            </w:tcMar>
            <w:vAlign w:val="center"/>
            <w:shd w:fill="16324F"/>
          </w:tcPr>
          <w:p>
            <w:pPr>
              <w:spacing w:after="0"/>
              <w:jc w:val="center"/>
            </w:pPr>
            <w:r>
              <w:rPr>
                <w:rFonts w:ascii="Calibri" w:hAnsi="Calibri"/>
                <w:b/>
                <w:color w:val="FFFFFF"/>
                <w:sz w:val="14"/>
              </w:rPr>
              <w:t>Horizon</w:t>
            </w:r>
          </w:p>
        </w:tc>
        <w:tc>
          <w:tcPr>
            <w:tcW w:type="dxa" w:w="1296"/>
            <w:tcMar>
              <w:top w:w="70" w:type="dxa"/>
              <w:bottom w:w="70" w:type="dxa"/>
              <w:start w:w="120" w:type="dxa"/>
              <w:end w:w="120" w:type="dxa"/>
            </w:tcMar>
            <w:vAlign w:val="center"/>
            <w:shd w:fill="16324F"/>
          </w:tcPr>
          <w:p>
            <w:pPr>
              <w:spacing w:after="0"/>
              <w:jc w:val="center"/>
            </w:pPr>
            <w:r>
              <w:rPr>
                <w:rFonts w:ascii="Calibri" w:hAnsi="Calibri"/>
                <w:b/>
                <w:color w:val="FFFFFF"/>
                <w:sz w:val="14"/>
              </w:rPr>
              <w:t>Mean IC</w:t>
            </w:r>
          </w:p>
        </w:tc>
        <w:tc>
          <w:tcPr>
            <w:tcW w:type="dxa" w:w="1152"/>
            <w:tcMar>
              <w:top w:w="70" w:type="dxa"/>
              <w:bottom w:w="70" w:type="dxa"/>
              <w:start w:w="120" w:type="dxa"/>
              <w:end w:w="120" w:type="dxa"/>
            </w:tcMar>
            <w:vAlign w:val="center"/>
            <w:shd w:fill="16324F"/>
          </w:tcPr>
          <w:p>
            <w:pPr>
              <w:spacing w:after="0"/>
              <w:jc w:val="center"/>
            </w:pPr>
            <w:r>
              <w:rPr>
                <w:rFonts w:ascii="Calibri" w:hAnsi="Calibri"/>
                <w:b/>
                <w:color w:val="FFFFFF"/>
                <w:sz w:val="14"/>
              </w:rPr>
              <w:t>IC t</w:t>
            </w:r>
          </w:p>
        </w:tc>
        <w:tc>
          <w:tcPr>
            <w:tcW w:type="dxa" w:w="1440"/>
            <w:tcMar>
              <w:top w:w="70" w:type="dxa"/>
              <w:bottom w:w="70" w:type="dxa"/>
              <w:start w:w="120" w:type="dxa"/>
              <w:end w:w="120" w:type="dxa"/>
            </w:tcMar>
            <w:vAlign w:val="center"/>
            <w:shd w:fill="16324F"/>
          </w:tcPr>
          <w:p>
            <w:pPr>
              <w:spacing w:after="0"/>
              <w:jc w:val="center"/>
            </w:pPr>
            <w:r>
              <w:rPr>
                <w:rFonts w:ascii="Calibri" w:hAnsi="Calibri"/>
                <w:b/>
                <w:color w:val="FFFFFF"/>
                <w:sz w:val="14"/>
              </w:rPr>
              <w:t>H-L (bp)</w:t>
            </w:r>
          </w:p>
        </w:tc>
        <w:tc>
          <w:tcPr>
            <w:tcW w:type="dxa" w:w="1152"/>
            <w:tcMar>
              <w:top w:w="70" w:type="dxa"/>
              <w:bottom w:w="70" w:type="dxa"/>
              <w:start w:w="120" w:type="dxa"/>
              <w:end w:w="120" w:type="dxa"/>
            </w:tcMar>
            <w:vAlign w:val="center"/>
            <w:shd w:fill="16324F"/>
          </w:tcPr>
          <w:p>
            <w:pPr>
              <w:spacing w:after="0"/>
              <w:jc w:val="center"/>
            </w:pPr>
            <w:r>
              <w:rPr>
                <w:rFonts w:ascii="Calibri" w:hAnsi="Calibri"/>
                <w:b/>
                <w:color w:val="FFFFFF"/>
                <w:sz w:val="14"/>
              </w:rPr>
              <w:t>H-L t</w:t>
            </w:r>
          </w:p>
        </w:tc>
        <w:tc>
          <w:tcPr>
            <w:tcW w:type="dxa" w:w="1296"/>
            <w:tcMar>
              <w:top w:w="70" w:type="dxa"/>
              <w:bottom w:w="70" w:type="dxa"/>
              <w:start w:w="120" w:type="dxa"/>
              <w:end w:w="120" w:type="dxa"/>
            </w:tcMar>
            <w:vAlign w:val="center"/>
            <w:shd w:fill="16324F"/>
          </w:tcPr>
          <w:p>
            <w:pPr>
              <w:spacing w:after="0"/>
              <w:jc w:val="center"/>
            </w:pPr>
            <w:r>
              <w:rPr>
                <w:rFonts w:ascii="Calibri" w:hAnsi="Calibri"/>
                <w:b/>
                <w:color w:val="FFFFFF"/>
                <w:sz w:val="14"/>
              </w:rPr>
              <w:t>IC &gt; 0</w:t>
            </w:r>
          </w:p>
        </w:tc>
      </w:tr>
      <w:tr>
        <w:tc>
          <w:tcPr>
            <w:tcW w:type="dxa" w:w="1440"/>
            <w:vAlign w:val="center"/>
            <w:tcMar>
              <w:top w:w="70" w:type="dxa"/>
              <w:bottom w:w="70" w:type="dxa"/>
              <w:start w:w="120" w:type="dxa"/>
              <w:end w:w="120" w:type="dxa"/>
            </w:tcMar>
          </w:tcPr>
          <w:p>
            <w:pPr>
              <w:spacing w:after="0" w:line="240" w:lineRule="auto"/>
              <w:jc w:val="left"/>
            </w:pPr>
            <w:r>
              <w:rPr>
                <w:rFonts w:ascii="Calibri" w:hAnsi="Calibri"/>
                <w:color w:val="1F2933"/>
                <w:sz w:val="14"/>
              </w:rPr>
              <w:t>1 day</w:t>
            </w:r>
          </w:p>
        </w:tc>
        <w:tc>
          <w:tcPr>
            <w:tcW w:type="dxa" w:w="1296"/>
            <w:vAlign w:val="center"/>
            <w:tcMar>
              <w:top w:w="70" w:type="dxa"/>
              <w:bottom w:w="70" w:type="dxa"/>
              <w:start w:w="120" w:type="dxa"/>
              <w:end w:w="120" w:type="dxa"/>
            </w:tcMar>
          </w:tcPr>
          <w:p>
            <w:pPr>
              <w:spacing w:after="0" w:line="240" w:lineRule="auto"/>
              <w:jc w:val="center"/>
            </w:pPr>
            <w:r>
              <w:rPr>
                <w:rFonts w:ascii="Calibri" w:hAnsi="Calibri"/>
                <w:color w:val="1F2933"/>
                <w:sz w:val="14"/>
              </w:rPr>
              <w:t>+0.006</w:t>
            </w:r>
          </w:p>
        </w:tc>
        <w:tc>
          <w:tcPr>
            <w:tcW w:type="dxa" w:w="1152"/>
            <w:vAlign w:val="center"/>
            <w:tcMar>
              <w:top w:w="70" w:type="dxa"/>
              <w:bottom w:w="70" w:type="dxa"/>
              <w:start w:w="120" w:type="dxa"/>
              <w:end w:w="120" w:type="dxa"/>
            </w:tcMar>
          </w:tcPr>
          <w:p>
            <w:pPr>
              <w:spacing w:after="0" w:line="240" w:lineRule="auto"/>
              <w:jc w:val="center"/>
            </w:pPr>
            <w:r>
              <w:rPr>
                <w:rFonts w:ascii="Calibri" w:hAnsi="Calibri"/>
                <w:color w:val="1F2933"/>
                <w:sz w:val="14"/>
              </w:rPr>
              <w:t>+0.92</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4"/>
              </w:rPr>
              <w:t>-0.04</w:t>
            </w:r>
          </w:p>
        </w:tc>
        <w:tc>
          <w:tcPr>
            <w:tcW w:type="dxa" w:w="1152"/>
            <w:vAlign w:val="center"/>
            <w:tcMar>
              <w:top w:w="70" w:type="dxa"/>
              <w:bottom w:w="70" w:type="dxa"/>
              <w:start w:w="120" w:type="dxa"/>
              <w:end w:w="120" w:type="dxa"/>
            </w:tcMar>
          </w:tcPr>
          <w:p>
            <w:pPr>
              <w:spacing w:after="0" w:line="240" w:lineRule="auto"/>
              <w:jc w:val="center"/>
            </w:pPr>
            <w:r>
              <w:rPr>
                <w:rFonts w:ascii="Calibri" w:hAnsi="Calibri"/>
                <w:color w:val="1F2933"/>
                <w:sz w:val="14"/>
              </w:rPr>
              <w:t>-0.01</w:t>
            </w:r>
          </w:p>
        </w:tc>
        <w:tc>
          <w:tcPr>
            <w:tcW w:type="dxa" w:w="1296"/>
            <w:vAlign w:val="center"/>
            <w:tcMar>
              <w:top w:w="70" w:type="dxa"/>
              <w:bottom w:w="70" w:type="dxa"/>
              <w:start w:w="120" w:type="dxa"/>
              <w:end w:w="120" w:type="dxa"/>
            </w:tcMar>
          </w:tcPr>
          <w:p>
            <w:pPr>
              <w:spacing w:after="0" w:line="240" w:lineRule="auto"/>
              <w:jc w:val="center"/>
            </w:pPr>
            <w:r>
              <w:rPr>
                <w:rFonts w:ascii="Calibri" w:hAnsi="Calibri"/>
                <w:color w:val="1F2933"/>
                <w:sz w:val="14"/>
              </w:rPr>
              <w:t>51.3%</w:t>
            </w:r>
          </w:p>
        </w:tc>
      </w:tr>
      <w:tr>
        <w:tc>
          <w:tcPr>
            <w:tcW w:type="dxa" w:w="1440"/>
            <w:vAlign w:val="center"/>
            <w:shd w:fill="F7FAFC"/>
            <w:tcMar>
              <w:top w:w="70" w:type="dxa"/>
              <w:bottom w:w="70" w:type="dxa"/>
              <w:start w:w="120" w:type="dxa"/>
              <w:end w:w="120" w:type="dxa"/>
            </w:tcMar>
          </w:tcPr>
          <w:p>
            <w:pPr>
              <w:spacing w:after="0" w:line="240" w:lineRule="auto"/>
              <w:jc w:val="left"/>
            </w:pPr>
            <w:r>
              <w:rPr>
                <w:rFonts w:ascii="Calibri" w:hAnsi="Calibri"/>
                <w:color w:val="1F2933"/>
                <w:sz w:val="14"/>
              </w:rPr>
              <w:t>5 days</w:t>
            </w:r>
          </w:p>
        </w:tc>
        <w:tc>
          <w:tcPr>
            <w:tcW w:type="dxa" w:w="1296"/>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-0.002</w:t>
            </w:r>
          </w:p>
        </w:tc>
        <w:tc>
          <w:tcPr>
            <w:tcW w:type="dxa" w:w="1152"/>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-0.20</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-4.72</w:t>
            </w:r>
          </w:p>
        </w:tc>
        <w:tc>
          <w:tcPr>
            <w:tcW w:type="dxa" w:w="1152"/>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-0.37</w:t>
            </w:r>
          </w:p>
        </w:tc>
        <w:tc>
          <w:tcPr>
            <w:tcW w:type="dxa" w:w="1296"/>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47.5%</w:t>
            </w:r>
          </w:p>
        </w:tc>
      </w:tr>
    </w:tbl>
    <w:p>
      <w:pPr>
        <w:spacing w:after="40"/>
      </w:pPr>
    </w:p>
    <w:p>
      <w:pPr/>
      <w:r>
        <w:rPr>
          <w:rFonts w:ascii="Calibri" w:hAnsi="Calibri"/>
        </w:rPr>
        <w:t xml:space="preserve">Figure </w:t>
      </w:r>
      <w:r>
        <w:rPr>
          <w:rFonts w:ascii="Calibri" w:hAnsi="Calibri"/>
        </w:rPr>
        <w:fldChar w:fldCharType="begin"/>
      </w:r>
      <w:r>
        <w:rPr>
          <w:rFonts w:ascii="Calibri" w:hAnsi="Calibri"/>
        </w:rPr>
        <w:instrText xml:space="preserve"> REF _RefFigSentiment \h </w:instrText>
      </w:r>
      <w:r>
        <w:rPr>
          <w:rFonts w:ascii="Calibri" w:hAnsi="Calibri"/>
        </w:rPr>
        <w:fldChar w:fldCharType="separate"/>
      </w:r>
      <w:r>
        <w:rPr>
          <w:rFonts w:ascii="Calibri" w:hAnsi="Calibri"/>
        </w:rPr>
        <w:t>4</w:t>
      </w:r>
      <w:r>
        <w:rPr>
          <w:rFonts w:ascii="Calibri" w:hAnsi="Calibri"/>
        </w:rPr>
        <w:fldChar w:fldCharType="end"/>
      </w:r>
      <w:r>
        <w:rPr>
          <w:rFonts w:ascii="Calibri" w:hAnsi="Calibri"/>
        </w:rPr>
        <w:t xml:space="preserve"> is therefore a descriptive tone index, not evidence of return predictability. </w:t>
      </w:r>
      <w:r>
        <w:rPr>
          <w:rFonts w:ascii="Calibri" w:hAnsi="Calibri"/>
        </w:rPr>
        <w:t xml:space="preserve">Table </w:t>
      </w:r>
      <w:r>
        <w:rPr>
          <w:rFonts w:ascii="Calibri" w:hAnsi="Calibri"/>
        </w:rPr>
        <w:fldChar w:fldCharType="begin"/>
      </w:r>
      <w:r>
        <w:rPr>
          <w:rFonts w:ascii="Calibri" w:hAnsi="Calibri"/>
        </w:rPr>
        <w:instrText xml:space="preserve"> REF _RefTblSentimentPredictive \h </w:instrText>
      </w:r>
      <w:r>
        <w:rPr>
          <w:rFonts w:ascii="Calibri" w:hAnsi="Calibri"/>
        </w:rPr>
        <w:fldChar w:fldCharType="separate"/>
      </w:r>
      <w:r>
        <w:rPr>
          <w:rFonts w:ascii="Calibri" w:hAnsi="Calibri"/>
        </w:rPr>
        <w:t>5</w:t>
      </w:r>
      <w:r>
        <w:rPr>
          <w:rFonts w:ascii="Calibri" w:hAnsi="Calibri"/>
        </w:rPr>
        <w:fldChar w:fldCharType="end"/>
      </w:r>
      <w:r>
        <w:rPr>
          <w:rFonts w:ascii="Calibri" w:hAnsi="Calibri"/>
        </w:rPr>
        <w:t xml:space="preserve"> finds a one-day mean IC of 0.006 (HAC t=0.92) and a five-day IC of -0.002 (t=-0.20). The high-minus-low spread is -0.04 bp at one day and -4.72 bp at five days. These tests do not show an economically or statistically persuasive positive ranking relation in this sample; the five-day observations overlap, so its HAC result remains descriptive.</w:t>
      </w:r>
    </w:p>
    <w:p>
      <w:r>
        <w:br w:type="page"/>
      </w:r>
    </w:p>
    <w:p>
      <w:pPr>
        <w:pStyle w:val="Heading1"/>
      </w:pPr>
      <w:r>
        <w:t>8. Fusion extension: an informative negative result</w:t>
      </w:r>
    </w:p>
    <w:p>
      <w:pPr/>
      <w:r>
        <w:rPr>
          <w:rFonts w:ascii="Calibri" w:hAnsi="Calibri"/>
        </w:rPr>
        <w:t>The fusion starts from Equity Risk Parity. For each ticker, the model forms a 21-trading-day mean headline score, lags both tone and coverage by one trading day, standardises available tone across tickers, and scales the z-score by the square root of lagged coverage. At each monthly rebalance, the base target is multiplied by exp(0.30 times the effective signal) and projected back to the long-only 15% cap. Saturday and Monday headlines aligned to Monday can therefore first influence Tuesday; a Monday rebalance never uses Monday coverage.</w:t>
      </w:r>
    </w:p>
    <w:p>
      <w:pPr>
        <w:pStyle w:val="Caption"/>
      </w:pPr>
      <w:r>
        <w:rPr>
          <w:rFonts w:ascii="Calibri" w:hAnsi="Calibri"/>
          <w:i/>
          <w:color w:val="64748B"/>
          <w:sz w:val="15"/>
        </w:rPr>
        <w:t xml:space="preserve">Table </w:t>
      </w:r>
      <w:bookmarkStart w:id="29" w:name="_RefTblFusion"/>
      <w:r>
        <w:rPr>
          <w:rFonts w:ascii="Calibri" w:hAnsi="Calibri"/>
          <w:i/>
          <w:color w:val="64748B"/>
          <w:sz w:val="15"/>
        </w:rPr>
        <w:fldChar w:fldCharType="begin"/>
      </w:r>
      <w:r>
        <w:rPr>
          <w:rFonts w:ascii="Calibri" w:hAnsi="Calibri"/>
          <w:i/>
          <w:color w:val="64748B"/>
          <w:sz w:val="15"/>
        </w:rPr>
        <w:instrText xml:space="preserve"> SEQ Table \* ARABIC </w:instrText>
      </w:r>
      <w:r>
        <w:rPr>
          <w:rFonts w:ascii="Calibri" w:hAnsi="Calibri"/>
          <w:i/>
          <w:color w:val="64748B"/>
          <w:sz w:val="15"/>
        </w:rPr>
        <w:fldChar w:fldCharType="separate"/>
      </w:r>
      <w:r>
        <w:rPr>
          <w:rFonts w:ascii="Calibri" w:hAnsi="Calibri"/>
          <w:i/>
          <w:color w:val="64748B"/>
          <w:sz w:val="15"/>
        </w:rPr>
        <w:t>6</w:t>
      </w:r>
      <w:r>
        <w:rPr>
          <w:rFonts w:ascii="Calibri" w:hAnsi="Calibri"/>
          <w:i/>
          <w:color w:val="64748B"/>
          <w:sz w:val="15"/>
        </w:rPr>
        <w:fldChar w:fldCharType="end"/>
      </w:r>
      <w:bookmarkEnd w:id="29"/>
      <w:r>
        <w:rPr>
          <w:rFonts w:ascii="Calibri" w:hAnsi="Calibri"/>
          <w:i/>
          <w:color w:val="64748B"/>
          <w:sz w:val="15"/>
        </w:rPr>
        <w:t>. Before-and-after equity sentiment fusion after 5 basis points per unit of realised turnover and before management fees. Live period: 2021-2023. Source: author calculations.</w:t>
      </w:r>
    </w:p>
    <w:tbl>
      <w:tblPr>
        <w:tblStyle w:val="TableGrid"/>
        <w:tblW w:type="dxa" w:w="8640"/>
        <w:tblLayout w:type="fixed"/>
        <w:tblLook w:firstColumn="1" w:firstRow="1" w:lastColumn="0" w:lastRow="0" w:noHBand="0" w:noVBand="1" w:val="04A0"/>
        <w:jc w:val="left"/>
        <w:tblInd w:type="dxa" w:w="120"/>
      </w:tblPr>
      <w:tblGrid>
        <w:gridCol w:w="2376"/>
        <w:gridCol w:w="1224"/>
        <w:gridCol w:w="1224"/>
        <w:gridCol w:w="1152"/>
        <w:gridCol w:w="1224"/>
        <w:gridCol w:w="1440"/>
      </w:tblGrid>
      <w:tr>
        <w:trPr>
          <w:tblHeader w:val="true"/>
        </w:trPr>
        <w:tc>
          <w:tcPr>
            <w:tcW w:type="dxa" w:w="2376"/>
            <w:tcMar>
              <w:top w:w="70" w:type="dxa"/>
              <w:bottom w:w="70" w:type="dxa"/>
              <w:start w:w="120" w:type="dxa"/>
              <w:end w:w="120" w:type="dxa"/>
            </w:tcMar>
            <w:vAlign w:val="center"/>
            <w:shd w:fill="16324F"/>
          </w:tcPr>
          <w:p>
            <w:pPr>
              <w:spacing w:after="0"/>
              <w:jc w:val="center"/>
            </w:pPr>
            <w:r>
              <w:rPr>
                <w:rFonts w:ascii="Calibri" w:hAnsi="Calibri"/>
                <w:b/>
                <w:color w:val="FFFFFF"/>
                <w:sz w:val="15"/>
              </w:rPr>
              <w:t>Strategy</w:t>
            </w:r>
          </w:p>
        </w:tc>
        <w:tc>
          <w:tcPr>
            <w:tcW w:type="dxa" w:w="1224"/>
            <w:tcMar>
              <w:top w:w="70" w:type="dxa"/>
              <w:bottom w:w="70" w:type="dxa"/>
              <w:start w:w="120" w:type="dxa"/>
              <w:end w:w="120" w:type="dxa"/>
            </w:tcMar>
            <w:vAlign w:val="center"/>
            <w:shd w:fill="16324F"/>
          </w:tcPr>
          <w:p>
            <w:pPr>
              <w:spacing w:after="0"/>
              <w:jc w:val="center"/>
            </w:pPr>
            <w:r>
              <w:rPr>
                <w:rFonts w:ascii="Calibri" w:hAnsi="Calibri"/>
                <w:b/>
                <w:color w:val="FFFFFF"/>
                <w:sz w:val="15"/>
              </w:rPr>
              <w:t>Return</w:t>
            </w:r>
          </w:p>
        </w:tc>
        <w:tc>
          <w:tcPr>
            <w:tcW w:type="dxa" w:w="1224"/>
            <w:tcMar>
              <w:top w:w="70" w:type="dxa"/>
              <w:bottom w:w="70" w:type="dxa"/>
              <w:start w:w="120" w:type="dxa"/>
              <w:end w:w="120" w:type="dxa"/>
            </w:tcMar>
            <w:vAlign w:val="center"/>
            <w:shd w:fill="16324F"/>
          </w:tcPr>
          <w:p>
            <w:pPr>
              <w:spacing w:after="0"/>
              <w:jc w:val="center"/>
            </w:pPr>
            <w:r>
              <w:rPr>
                <w:rFonts w:ascii="Calibri" w:hAnsi="Calibri"/>
                <w:b/>
                <w:color w:val="FFFFFF"/>
                <w:sz w:val="15"/>
              </w:rPr>
              <w:t>Vol.</w:t>
            </w:r>
          </w:p>
        </w:tc>
        <w:tc>
          <w:tcPr>
            <w:tcW w:type="dxa" w:w="1152"/>
            <w:tcMar>
              <w:top w:w="70" w:type="dxa"/>
              <w:bottom w:w="70" w:type="dxa"/>
              <w:start w:w="120" w:type="dxa"/>
              <w:end w:w="120" w:type="dxa"/>
            </w:tcMar>
            <w:vAlign w:val="center"/>
            <w:shd w:fill="16324F"/>
          </w:tcPr>
          <w:p>
            <w:pPr>
              <w:spacing w:after="0"/>
              <w:jc w:val="center"/>
            </w:pPr>
            <w:r>
              <w:rPr>
                <w:rFonts w:ascii="Calibri" w:hAnsi="Calibri"/>
                <w:b/>
                <w:color w:val="FFFFFF"/>
                <w:sz w:val="15"/>
              </w:rPr>
              <w:t>Sharpe</w:t>
            </w:r>
          </w:p>
        </w:tc>
        <w:tc>
          <w:tcPr>
            <w:tcW w:type="dxa" w:w="1224"/>
            <w:tcMar>
              <w:top w:w="70" w:type="dxa"/>
              <w:bottom w:w="70" w:type="dxa"/>
              <w:start w:w="120" w:type="dxa"/>
              <w:end w:w="120" w:type="dxa"/>
            </w:tcMar>
            <w:vAlign w:val="center"/>
            <w:shd w:fill="16324F"/>
          </w:tcPr>
          <w:p>
            <w:pPr>
              <w:spacing w:after="0"/>
              <w:jc w:val="center"/>
            </w:pPr>
            <w:r>
              <w:rPr>
                <w:rFonts w:ascii="Calibri" w:hAnsi="Calibri"/>
                <w:b/>
                <w:color w:val="FFFFFF"/>
                <w:sz w:val="15"/>
              </w:rPr>
              <w:t>Max DD</w:t>
            </w:r>
          </w:p>
        </w:tc>
        <w:tc>
          <w:tcPr>
            <w:tcW w:type="dxa" w:w="1440"/>
            <w:tcMar>
              <w:top w:w="70" w:type="dxa"/>
              <w:bottom w:w="70" w:type="dxa"/>
              <w:start w:w="120" w:type="dxa"/>
              <w:end w:w="120" w:type="dxa"/>
            </w:tcMar>
            <w:vAlign w:val="center"/>
            <w:shd w:fill="16324F"/>
          </w:tcPr>
          <w:p>
            <w:pPr>
              <w:spacing w:after="0"/>
              <w:jc w:val="center"/>
            </w:pPr>
            <w:r>
              <w:rPr>
                <w:rFonts w:ascii="Calibri" w:hAnsi="Calibri"/>
                <w:b/>
                <w:color w:val="FFFFFF"/>
                <w:sz w:val="15"/>
              </w:rPr>
              <w:t>Turnover</w:t>
            </w:r>
          </w:p>
        </w:tc>
      </w:tr>
      <w:tr>
        <w:tc>
          <w:tcPr>
            <w:tcW w:type="dxa" w:w="2376"/>
            <w:vAlign w:val="center"/>
            <w:tcMar>
              <w:top w:w="70" w:type="dxa"/>
              <w:bottom w:w="70" w:type="dxa"/>
              <w:start w:w="120" w:type="dxa"/>
              <w:end w:w="120" w:type="dxa"/>
            </w:tcMar>
          </w:tcPr>
          <w:p>
            <w:pPr>
              <w:spacing w:after="0" w:line="240" w:lineRule="auto"/>
              <w:jc w:val="left"/>
            </w:pPr>
            <w:r>
              <w:rPr>
                <w:rFonts w:ascii="Calibri" w:hAnsi="Calibri"/>
                <w:color w:val="1F2933"/>
                <w:sz w:val="15"/>
              </w:rPr>
              <w:t>Base risk parity</w:t>
            </w:r>
          </w:p>
        </w:tc>
        <w:tc>
          <w:tcPr>
            <w:tcW w:type="dxa" w:w="1224"/>
            <w:vAlign w:val="center"/>
            <w:tcMar>
              <w:top w:w="70" w:type="dxa"/>
              <w:bottom w:w="70" w:type="dxa"/>
              <w:start w:w="120" w:type="dxa"/>
              <w:end w:w="120" w:type="dxa"/>
            </w:tcMar>
          </w:tcPr>
          <w:p>
            <w:pPr>
              <w:spacing w:after="0" w:line="240" w:lineRule="auto"/>
              <w:jc w:val="center"/>
            </w:pPr>
            <w:r>
              <w:rPr>
                <w:rFonts w:ascii="Calibri" w:hAnsi="Calibri"/>
                <w:color w:val="1F2933"/>
                <w:sz w:val="15"/>
              </w:rPr>
              <w:t>10.5%</w:t>
            </w:r>
          </w:p>
        </w:tc>
        <w:tc>
          <w:tcPr>
            <w:tcW w:type="dxa" w:w="1224"/>
            <w:vAlign w:val="center"/>
            <w:tcMar>
              <w:top w:w="70" w:type="dxa"/>
              <w:bottom w:w="70" w:type="dxa"/>
              <w:start w:w="120" w:type="dxa"/>
              <w:end w:w="120" w:type="dxa"/>
            </w:tcMar>
          </w:tcPr>
          <w:p>
            <w:pPr>
              <w:spacing w:after="0" w:line="240" w:lineRule="auto"/>
              <w:jc w:val="center"/>
            </w:pPr>
            <w:r>
              <w:rPr>
                <w:rFonts w:ascii="Calibri" w:hAnsi="Calibri"/>
                <w:color w:val="1F2933"/>
                <w:sz w:val="15"/>
              </w:rPr>
              <w:t>14.5%</w:t>
            </w:r>
          </w:p>
        </w:tc>
        <w:tc>
          <w:tcPr>
            <w:tcW w:type="dxa" w:w="1152"/>
            <w:vAlign w:val="center"/>
            <w:tcMar>
              <w:top w:w="70" w:type="dxa"/>
              <w:bottom w:w="70" w:type="dxa"/>
              <w:start w:w="120" w:type="dxa"/>
              <w:end w:w="120" w:type="dxa"/>
            </w:tcMar>
          </w:tcPr>
          <w:p>
            <w:pPr>
              <w:spacing w:after="0" w:line="240" w:lineRule="auto"/>
              <w:jc w:val="center"/>
            </w:pPr>
            <w:r>
              <w:rPr>
                <w:rFonts w:ascii="Calibri" w:hAnsi="Calibri"/>
                <w:color w:val="1F2933"/>
                <w:sz w:val="15"/>
              </w:rPr>
              <w:t>0.722</w:t>
            </w:r>
          </w:p>
        </w:tc>
        <w:tc>
          <w:tcPr>
            <w:tcW w:type="dxa" w:w="1224"/>
            <w:vAlign w:val="center"/>
            <w:tcMar>
              <w:top w:w="70" w:type="dxa"/>
              <w:bottom w:w="70" w:type="dxa"/>
              <w:start w:w="120" w:type="dxa"/>
              <w:end w:w="120" w:type="dxa"/>
            </w:tcMar>
          </w:tcPr>
          <w:p>
            <w:pPr>
              <w:spacing w:after="0" w:line="240" w:lineRule="auto"/>
              <w:jc w:val="center"/>
            </w:pPr>
            <w:r>
              <w:rPr>
                <w:rFonts w:ascii="Calibri" w:hAnsi="Calibri"/>
                <w:color w:val="1F2933"/>
                <w:sz w:val="15"/>
              </w:rPr>
              <w:t>-18.5%</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5"/>
              </w:rPr>
              <w:t>3.2%</w:t>
            </w:r>
          </w:p>
        </w:tc>
      </w:tr>
      <w:tr>
        <w:tc>
          <w:tcPr>
            <w:tcW w:type="dxa" w:w="2376"/>
            <w:vAlign w:val="center"/>
            <w:shd w:fill="F7FAFC"/>
            <w:tcMar>
              <w:top w:w="70" w:type="dxa"/>
              <w:bottom w:w="70" w:type="dxa"/>
              <w:start w:w="120" w:type="dxa"/>
              <w:end w:w="120" w:type="dxa"/>
            </w:tcMar>
          </w:tcPr>
          <w:p>
            <w:pPr>
              <w:spacing w:after="0" w:line="240" w:lineRule="auto"/>
              <w:jc w:val="left"/>
            </w:pPr>
            <w:r>
              <w:rPr>
                <w:rFonts w:ascii="Calibri" w:hAnsi="Calibri"/>
                <w:color w:val="1F2933"/>
                <w:sz w:val="15"/>
              </w:rPr>
              <w:t>Coverage-aware tilt</w:t>
            </w:r>
          </w:p>
        </w:tc>
        <w:tc>
          <w:tcPr>
            <w:tcW w:type="dxa" w:w="1224"/>
            <w:vAlign w:val="center"/>
            <w:shd w:fill="F7FAFC"/>
            <w:tcMar>
              <w:top w:w="70" w:type="dxa"/>
              <w:bottom w:w="70" w:type="dxa"/>
              <w:start w:w="120" w:type="dxa"/>
              <w:end w:w="120" w:type="dxa"/>
            </w:tcMar>
          </w:tcPr>
          <w:p>
            <w:pPr>
              <w:spacing w:after="0" w:line="240" w:lineRule="auto"/>
              <w:jc w:val="center"/>
            </w:pPr>
            <w:r>
              <w:rPr>
                <w:rFonts w:ascii="Calibri" w:hAnsi="Calibri"/>
                <w:color w:val="1F2933"/>
                <w:sz w:val="15"/>
              </w:rPr>
              <w:t>10.1%</w:t>
            </w:r>
          </w:p>
        </w:tc>
        <w:tc>
          <w:tcPr>
            <w:tcW w:type="dxa" w:w="1224"/>
            <w:vAlign w:val="center"/>
            <w:shd w:fill="F7FAFC"/>
            <w:tcMar>
              <w:top w:w="70" w:type="dxa"/>
              <w:bottom w:w="70" w:type="dxa"/>
              <w:start w:w="120" w:type="dxa"/>
              <w:end w:w="120" w:type="dxa"/>
            </w:tcMar>
          </w:tcPr>
          <w:p>
            <w:pPr>
              <w:spacing w:after="0" w:line="240" w:lineRule="auto"/>
              <w:jc w:val="center"/>
            </w:pPr>
            <w:r>
              <w:rPr>
                <w:rFonts w:ascii="Calibri" w:hAnsi="Calibri"/>
                <w:color w:val="1F2933"/>
                <w:sz w:val="15"/>
              </w:rPr>
              <w:t>14.5%</w:t>
            </w:r>
          </w:p>
        </w:tc>
        <w:tc>
          <w:tcPr>
            <w:tcW w:type="dxa" w:w="1152"/>
            <w:vAlign w:val="center"/>
            <w:shd w:fill="F7FAFC"/>
            <w:tcMar>
              <w:top w:w="70" w:type="dxa"/>
              <w:bottom w:w="70" w:type="dxa"/>
              <w:start w:w="120" w:type="dxa"/>
              <w:end w:w="120" w:type="dxa"/>
            </w:tcMar>
          </w:tcPr>
          <w:p>
            <w:pPr>
              <w:spacing w:after="0" w:line="240" w:lineRule="auto"/>
              <w:jc w:val="center"/>
            </w:pPr>
            <w:r>
              <w:rPr>
                <w:rFonts w:ascii="Calibri" w:hAnsi="Calibri"/>
                <w:color w:val="1F2933"/>
                <w:sz w:val="15"/>
              </w:rPr>
              <w:t>0.695</w:t>
            </w:r>
          </w:p>
        </w:tc>
        <w:tc>
          <w:tcPr>
            <w:tcW w:type="dxa" w:w="1224"/>
            <w:vAlign w:val="center"/>
            <w:shd w:fill="F7FAFC"/>
            <w:tcMar>
              <w:top w:w="70" w:type="dxa"/>
              <w:bottom w:w="70" w:type="dxa"/>
              <w:start w:w="120" w:type="dxa"/>
              <w:end w:w="120" w:type="dxa"/>
            </w:tcMar>
          </w:tcPr>
          <w:p>
            <w:pPr>
              <w:spacing w:after="0" w:line="240" w:lineRule="auto"/>
              <w:jc w:val="center"/>
            </w:pPr>
            <w:r>
              <w:rPr>
                <w:rFonts w:ascii="Calibri" w:hAnsi="Calibri"/>
                <w:color w:val="1F2933"/>
                <w:sz w:val="15"/>
              </w:rPr>
              <w:t>-18.0%</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5"/>
              </w:rPr>
              <w:t>11.5%</w:t>
            </w:r>
          </w:p>
        </w:tc>
      </w:tr>
    </w:tbl>
    <w:p>
      <w:pPr>
        <w:spacing w:after="40"/>
      </w:pPr>
    </w:p>
    <w:p>
      <w:pPr>
        <w:keepNext/>
        <w:jc w:val="center"/>
      </w:pPr>
      <w:r>
        <w:drawing>
          <wp:inline xmlns:a="http://schemas.openxmlformats.org/drawingml/2006/main" xmlns:pic="http://schemas.openxmlformats.org/drawingml/2006/picture">
            <wp:extent cx="5669280" cy="2419053"/>
            <wp:docPr id="5" name="Picture 5" descr="Two panels comparing base equity risk parity with its sentiment-tilted version."/>
            <wp:cNvGraphicFramePr>
              <a:graphicFrameLocks noChangeAspect="1"/>
            </wp:cNvGraphicFramePr>
            <a:graphic>
              <a:graphicData uri="http://schemas.openxmlformats.org/drawingml/2006/picture">
                <pic:pic>
                  <pic:nvPicPr>
                    <pic:cNvPr id="0" name="fusion_comparison.png"/>
                    <pic:cNvPicPr/>
                  </pic:nvPicPr>
                  <pic:blipFill>
                    <a:blip r:embed="rId15"/>
                    <a:stretch>
                      <a:fillRect/>
                    </a:stretch>
                  </pic:blipFill>
                  <pic:spPr>
                    <a:xfrm>
                      <a:off x="0" y="0"/>
                      <a:ext cx="5669280" cy="2419053"/>
                    </a:xfrm>
                    <a:prstGeom prst="rect"/>
                  </pic:spPr>
                </pic:pic>
              </a:graphicData>
            </a:graphic>
          </wp:inline>
        </w:drawing>
      </w:r>
    </w:p>
    <w:p>
      <w:pPr>
        <w:pStyle w:val="Caption"/>
      </w:pPr>
      <w:r>
        <w:rPr>
          <w:rFonts w:ascii="Calibri" w:hAnsi="Calibri"/>
          <w:i/>
          <w:color w:val="64748B"/>
          <w:sz w:val="15"/>
        </w:rPr>
        <w:t xml:space="preserve">Figure </w:t>
      </w:r>
      <w:bookmarkStart w:id="30" w:name="_RefFigFusion"/>
      <w:r>
        <w:rPr>
          <w:rFonts w:ascii="Calibri" w:hAnsi="Calibri"/>
          <w:i/>
          <w:color w:val="64748B"/>
          <w:sz w:val="15"/>
        </w:rPr>
        <w:fldChar w:fldCharType="begin"/>
      </w:r>
      <w:r>
        <w:rPr>
          <w:rFonts w:ascii="Calibri" w:hAnsi="Calibri"/>
          <w:i/>
          <w:color w:val="64748B"/>
          <w:sz w:val="15"/>
        </w:rPr>
        <w:instrText xml:space="preserve"> SEQ Figure \* ARABIC </w:instrText>
      </w:r>
      <w:r>
        <w:rPr>
          <w:rFonts w:ascii="Calibri" w:hAnsi="Calibri"/>
          <w:i/>
          <w:color w:val="64748B"/>
          <w:sz w:val="15"/>
        </w:rPr>
        <w:fldChar w:fldCharType="separate"/>
      </w:r>
      <w:r>
        <w:rPr>
          <w:rFonts w:ascii="Calibri" w:hAnsi="Calibri"/>
          <w:i/>
          <w:color w:val="64748B"/>
          <w:sz w:val="15"/>
        </w:rPr>
        <w:t>5</w:t>
      </w:r>
      <w:r>
        <w:rPr>
          <w:rFonts w:ascii="Calibri" w:hAnsi="Calibri"/>
          <w:i/>
          <w:color w:val="64748B"/>
          <w:sz w:val="15"/>
        </w:rPr>
        <w:fldChar w:fldCharType="end"/>
      </w:r>
      <w:bookmarkEnd w:id="30"/>
      <w:r>
        <w:rPr>
          <w:rFonts w:ascii="Calibri" w:hAnsi="Calibri"/>
          <w:i/>
          <w:color w:val="64748B"/>
          <w:sz w:val="15"/>
        </w:rPr>
        <w:t>. Growth and drawdown for Equity Risk Parity before and after the one-day-lagged, coverage-aware sentiment tilt. Both strategies include turnover costs. Live period: 2021-2023. Source: author calculations.</w:t>
      </w:r>
    </w:p>
    <w:p>
      <w:pPr/>
      <w:r>
        <w:rPr>
          <w:rFonts w:ascii="Calibri" w:hAnsi="Calibri"/>
        </w:rPr>
        <w:t xml:space="preserve">Table </w:t>
      </w:r>
      <w:r>
        <w:rPr>
          <w:rFonts w:ascii="Calibri" w:hAnsi="Calibri"/>
        </w:rPr>
        <w:fldChar w:fldCharType="begin"/>
      </w:r>
      <w:r>
        <w:rPr>
          <w:rFonts w:ascii="Calibri" w:hAnsi="Calibri"/>
        </w:rPr>
        <w:instrText xml:space="preserve"> REF _RefTblFusion \h </w:instrText>
      </w:r>
      <w:r>
        <w:rPr>
          <w:rFonts w:ascii="Calibri" w:hAnsi="Calibri"/>
        </w:rPr>
        <w:fldChar w:fldCharType="separate"/>
      </w:r>
      <w:r>
        <w:rPr>
          <w:rFonts w:ascii="Calibri" w:hAnsi="Calibri"/>
        </w:rPr>
        <w:t>6</w:t>
      </w:r>
      <w:r>
        <w:rPr>
          <w:rFonts w:ascii="Calibri" w:hAnsi="Calibri"/>
        </w:rPr>
        <w:fldChar w:fldCharType="end"/>
      </w:r>
      <w:r>
        <w:rPr>
          <w:rFonts w:ascii="Calibri" w:hAnsi="Calibri"/>
        </w:rPr>
        <w:t xml:space="preserve"> and </w:t>
      </w:r>
      <w:r>
        <w:rPr>
          <w:rFonts w:ascii="Calibri" w:hAnsi="Calibri"/>
        </w:rPr>
        <w:t xml:space="preserve">Figure </w:t>
      </w:r>
      <w:r>
        <w:rPr>
          <w:rFonts w:ascii="Calibri" w:hAnsi="Calibri"/>
        </w:rPr>
        <w:fldChar w:fldCharType="begin"/>
      </w:r>
      <w:r>
        <w:rPr>
          <w:rFonts w:ascii="Calibri" w:hAnsi="Calibri"/>
        </w:rPr>
        <w:instrText xml:space="preserve"> REF _RefFigFusion \h </w:instrText>
      </w:r>
      <w:r>
        <w:rPr>
          <w:rFonts w:ascii="Calibri" w:hAnsi="Calibri"/>
        </w:rPr>
        <w:fldChar w:fldCharType="separate"/>
      </w:r>
      <w:r>
        <w:rPr>
          <w:rFonts w:ascii="Calibri" w:hAnsi="Calibri"/>
        </w:rPr>
        <w:t>5</w:t>
      </w:r>
      <w:r>
        <w:rPr>
          <w:rFonts w:ascii="Calibri" w:hAnsi="Calibri"/>
        </w:rPr>
        <w:fldChar w:fldCharType="end"/>
      </w:r>
      <w:r>
        <w:rPr>
          <w:rFonts w:ascii="Calibri" w:hAnsi="Calibri"/>
        </w:rPr>
        <w:t xml:space="preserve"> reject a simple alpha story in this sample. The tilt lowers annualised return by 0.40%, lowers Sharpe by 0.026, and raises average monthly turnover from 3.2% to 11.5%. Maximum drawdown improves by 0.46%. Before trading costs, the return gap is 0.36%; the tilt's incremental annual trading-cost drag is only 0.05%. The near-zero ICs and non-positive spreads therefore explain more of the underperformance than cost alone; turnover modestly worsens it.</w:t>
      </w:r>
    </w:p>
    <w:p>
      <w:pPr/>
      <w:r>
        <w:rPr>
          <w:rFonts w:ascii="Calibri" w:hAnsi="Calibri"/>
        </w:rPr>
        <w:t xml:space="preserve">The extension still adds product value: it demonstrates a complete, auditable use of unstructured data with an explicit information clock, a reviewed domain lexicon, and a coverage control. </w:t>
      </w:r>
      <w:r>
        <w:rPr>
          <w:rFonts w:ascii="Calibri" w:hAnsi="Calibri"/>
        </w:rPr>
        <w:t xml:space="preserve">Table </w:t>
      </w:r>
      <w:r>
        <w:rPr>
          <w:rFonts w:ascii="Calibri" w:hAnsi="Calibri"/>
        </w:rPr>
        <w:fldChar w:fldCharType="begin"/>
      </w:r>
      <w:r>
        <w:rPr>
          <w:rFonts w:ascii="Calibri" w:hAnsi="Calibri"/>
        </w:rPr>
        <w:instrText xml:space="preserve"> REF _RefTblFusionSensitivity \h </w:instrText>
      </w:r>
      <w:r>
        <w:rPr>
          <w:rFonts w:ascii="Calibri" w:hAnsi="Calibri"/>
        </w:rPr>
        <w:fldChar w:fldCharType="separate"/>
      </w:r>
      <w:r>
        <w:rPr>
          <w:rFonts w:ascii="Calibri" w:hAnsi="Calibri"/>
        </w:rPr>
        <w:t>12</w:t>
      </w:r>
      <w:r>
        <w:rPr>
          <w:rFonts w:ascii="Calibri" w:hAnsi="Calibri"/>
        </w:rPr>
        <w:fldChar w:fldCharType="end"/>
      </w:r>
      <w:r>
        <w:rPr>
          <w:rFonts w:ascii="Calibri" w:hAnsi="Calibri"/>
        </w:rPr>
        <w:t xml:space="preserve"> shows the conclusion is qualitatively stable: a half-strength 21-day tilt and a slower 42-day tilt also remain below the base Sharpe of 0.722. This is not a parameter search for a winner; the two alternatives are prespecified implementation checks. The app keeps sentiment as an analytic until labelled text validation and longer return evidence support promotion.</w:t>
      </w:r>
    </w:p>
    <w:p>
      <w:r>
        <w:br w:type="page"/>
      </w:r>
    </w:p>
    <w:p>
      <w:pPr>
        <w:pStyle w:val="Heading1"/>
      </w:pPr>
      <w:r>
        <w:t>9. App implementation, reflection, and recommendations</w:t>
      </w:r>
    </w:p>
    <w:p>
      <w:pPr>
        <w:pStyle w:val="Heading2"/>
      </w:pPr>
      <w:r>
        <w:t>A lightweight deployment architecture</w:t>
      </w:r>
    </w:p>
    <w:p>
      <w:pPr/>
      <w:r>
        <w:rPr>
          <w:rFonts w:ascii="Calibri" w:hAnsi="Calibri"/>
        </w:rPr>
        <w:t>The root Streamlit entrypoint reads committed CSV and JSON artifacts only. It does not download raw data, run VADER, solve an optimisation, or backtest on a viewer's machine. A cached loader validates required columns and dates before any page renders. Pure data helpers calculate current holdings and custom fund-level allocations; chart helpers apply one Plotly design system. URL query parameters preserve the active view, and every investor-facing table or simulated path can be downloaded. Combined fact sheets expose capital versus covariance-risk shares; the allocation lab aggregates latest targets to show equity-versus-crypto capital exposure, major equity sectors, top underlying holdings, effective holdings, and top-five concentration. All five views pass headless AppTest. The app is live on Streamlit Community Cloud and deployed from the main branch of the public GitHub repository.</w:t>
      </w:r>
    </w:p>
    <w:p>
      <w:pPr>
        <w:pStyle w:val="Heading2"/>
      </w:pPr>
      <w:r>
        <w:t>What worked and what did not</w:t>
      </w:r>
    </w:p>
    <w:p>
      <w:pPr/>
      <w:r>
        <w:rPr>
          <w:rFonts w:ascii="Calibri" w:hAnsi="Calibri"/>
        </w:rPr>
        <w:t>The strongest fund result is diversification by risk rather than estimation of means. Combined Risk Parity converts a median 7.6% crypto capital allocation into a 16.7% crypto covariance-risk budget and a higher Sharpe ratio than the equity risk-parity base without inheriting crypto's full drawdown. Equal Weight is also difficult to beat within equities. These outcomes favour transparent rules and show why optimised objectives must be judged out of sample.</w:t>
      </w:r>
    </w:p>
    <w:p>
      <w:pPr/>
      <w:r>
        <w:rPr>
          <w:rFonts w:ascii="Calibri" w:hAnsi="Calibri"/>
        </w:rPr>
        <w:t>The finance lexicon reduces the share classified as neutral, but the project cannot claim better classification without labelled finance headlines. Coverage remains unequal: average ticker coverage is about 94% in Consumer and 53% in Materials. The return tests then find near-zero rank ICs and no positive high-minus-low spread. Three live fund years are also too short to distinguish a persistent relationship from one market regime.</w:t>
      </w:r>
    </w:p>
    <w:p>
      <w:pPr>
        <w:pStyle w:val="Heading2"/>
      </w:pPr>
      <w:r>
        <w:t>Three real-world recommendations</w:t>
      </w:r>
    </w:p>
    <w:p>
      <w:pPr>
        <w:numPr>
          <w:ilvl w:val="0"/>
          <w:numId w:val="10"/>
        </w:numPr>
      </w:pPr>
      <w:r>
        <w:rPr>
          <w:rFonts w:ascii="Calibri" w:hAnsi="Calibri"/>
          <w:b/>
          <w:color w:val="16324F"/>
        </w:rPr>
        <w:t xml:space="preserve">Keep Combined Risk Parity as the balanced flagship. </w:t>
      </w:r>
      <w:r>
        <w:rPr>
          <w:rFonts w:ascii="Calibri" w:hAnsi="Calibri"/>
        </w:rPr>
        <w:t>Position it for diversified-growth investors able to tolerate a roughly 20% historical drawdown. Explain that 7.6% median crypto capital supplies 16.7% of estimated risk; do not default to Crypto Minimum Variance despite its Sharpe.</w:t>
      </w:r>
    </w:p>
    <w:p>
      <w:pPr>
        <w:numPr>
          <w:ilvl w:val="0"/>
          <w:numId w:val="10"/>
        </w:numPr>
      </w:pPr>
      <w:r>
        <w:rPr>
          <w:rFonts w:ascii="Calibri" w:hAnsi="Calibri"/>
          <w:b/>
          <w:color w:val="16324F"/>
        </w:rPr>
        <w:t xml:space="preserve">Hold the sentiment tilt in research. </w:t>
      </w:r>
      <w:r>
        <w:rPr>
          <w:rFonts w:ascii="Calibri" w:hAnsi="Calibri"/>
        </w:rPr>
        <w:t>Require a labelled headline validation sample, publisher and duplicate-event controls, and rolling parameter tests before any client capital follows it.</w:t>
      </w:r>
    </w:p>
    <w:p>
      <w:pPr>
        <w:numPr>
          <w:ilvl w:val="0"/>
          <w:numId w:val="10"/>
        </w:numPr>
      </w:pPr>
      <w:r>
        <w:rPr>
          <w:rFonts w:ascii="Calibri" w:hAnsi="Calibri"/>
          <w:b/>
          <w:color w:val="16324F"/>
        </w:rPr>
        <w:t xml:space="preserve">Add implementation realism before accepting client capital. </w:t>
      </w:r>
      <w:r>
        <w:rPr>
          <w:rFonts w:ascii="Calibri" w:hAnsi="Calibri"/>
        </w:rPr>
        <w:t>Quote trading-cost-adjusted and management-fee-adjusted returns separately, publish look-through overlap and concentration, and stress spreads, slippage, capacity, and rebalance timing before accepting client capital.</w:t>
      </w:r>
    </w:p>
    <w:p>
      <w:pPr>
        <w:pStyle w:val="Heading2"/>
      </w:pPr>
      <w:r>
        <w:t>Conclusion</w:t>
      </w:r>
    </w:p>
    <w:p>
      <w:pPr/>
      <w:r>
        <w:rPr>
          <w:rFonts w:ascii="Calibri" w:hAnsi="Calibri"/>
        </w:rPr>
        <w:t>MarketReady Funds completes all four Data Factory Floor stages: a verified foundation, return and text features, walk-forward funds plus sentiment analytics, and a tested investor interface. The project produces a credible product range because it makes its negative results as visible as its strong ones. Twelve fact sheets, explicit timing, audited coverage, reproducible artifacts, and a lightweight deployed app are available through the live service and its public source repository.</w:t>
      </w:r>
    </w:p>
    <w:p>
      <w:r>
        <w:br w:type="page"/>
      </w:r>
    </w:p>
    <w:p>
      <w:pPr>
        <w:pStyle w:val="Heading1"/>
      </w:pPr>
      <w:r>
        <w:t>References</w:t>
      </w:r>
    </w:p>
    <w:p>
      <w:pPr/>
      <w:r>
        <w:rPr>
          <w:rFonts w:ascii="Calibri" w:hAnsi="Calibri"/>
        </w:rPr>
        <w:t>FINS5545 Course Team. (2026). FinTech Project 2026 - FINS5545: Financial Market Data Literacy [Project brief and provided market/news data bundle]. UNSW Business School.</w:t>
      </w:r>
    </w:p>
    <w:p>
      <w:pPr/>
      <w:r>
        <w:rPr>
          <w:rFonts w:ascii="Calibri" w:hAnsi="Calibri"/>
        </w:rPr>
        <w:t>Hutto, C. J., and Gilbert, E. (2014). VADER: A parsimonious rule-based model for sentiment analysis of social media text. Proceedings of the International AAAI Conference on Web and Social Media, 8(1), 216-225. https://doi.org/10.1609/icwsm.v8i1.14550</w:t>
      </w:r>
    </w:p>
    <w:p>
      <w:pPr>
        <w:pStyle w:val="Heading2"/>
      </w:pPr>
      <w:r>
        <w:t>Report basis</w:t>
      </w:r>
    </w:p>
    <w:p>
      <w:pPr/>
      <w:r>
        <w:rPr>
          <w:rFonts w:ascii="Calibri" w:hAnsi="Calibri"/>
        </w:rPr>
        <w:t>All numerical statements and exhibits in this report are generated from the committed results/data and results/tables artifacts. The reproducible build command is python scripts/run_part_b.py, followed by python scripts/build_report.py. The Word file is the editable source; the PDF is generated from the same content model.</w:t>
      </w:r>
    </w:p>
    <w:p>
      <w:pPr>
        <w:pStyle w:val="Heading2"/>
      </w:pPr>
      <w:r>
        <w:t>Project links</w:t>
      </w:r>
    </w:p>
    <w:p>
      <w:pPr/>
      <w:r>
        <w:rPr>
          <w:rFonts w:ascii="Calibri" w:hAnsi="Calibri"/>
        </w:rPr>
        <w:t>Live app: https://marketready-funds-ustakylve9nywmyokqp4q4.streamlit.app/</w:t>
      </w:r>
    </w:p>
    <w:p>
      <w:pPr/>
      <w:r>
        <w:rPr>
          <w:rFonts w:ascii="Calibri" w:hAnsi="Calibri"/>
        </w:rPr>
        <w:t>Public GitHub repository: https://github.com/lgua9087/marketready-funds</w:t>
      </w:r>
    </w:p>
    <w:p>
      <w:pPr/>
      <w:r>
        <w:rPr>
          <w:rFonts w:ascii="Calibri" w:hAnsi="Calibri"/>
        </w:rPr>
        <w:t>The live app is deployed from the repository's main branch with streamlit_app.py at the repository root.</w:t>
      </w:r>
    </w:p>
    <w:p>
      <w:r>
        <w:br w:type="page"/>
      </w:r>
    </w:p>
    <w:p>
      <w:pPr>
        <w:pStyle w:val="Heading1"/>
      </w:pPr>
      <w:r>
        <w:t>Appendix A. Risk-adjusted ranking</w:t>
      </w:r>
    </w:p>
    <w:p>
      <w:pPr>
        <w:keepNext/>
        <w:jc w:val="center"/>
      </w:pPr>
      <w:r>
        <w:drawing>
          <wp:inline xmlns:a="http://schemas.openxmlformats.org/drawingml/2006/main" xmlns:pic="http://schemas.openxmlformats.org/drawingml/2006/picture">
            <wp:extent cx="5212080" cy="3548044"/>
            <wp:docPr id="6" name="Picture 6" descr="Horizontal bars ranking the Sharpe ratio of all 12 funds."/>
            <wp:cNvGraphicFramePr>
              <a:graphicFrameLocks noChangeAspect="1"/>
            </wp:cNvGraphicFramePr>
            <a:graphic>
              <a:graphicData uri="http://schemas.openxmlformats.org/drawingml/2006/picture">
                <pic:pic>
                  <pic:nvPicPr>
                    <pic:cNvPr id="0" name="sharpe_barplot.png"/>
                    <pic:cNvPicPr/>
                  </pic:nvPicPr>
                  <pic:blipFill>
                    <a:blip r:embed="rId16"/>
                    <a:stretch>
                      <a:fillRect/>
                    </a:stretch>
                  </pic:blipFill>
                  <pic:spPr>
                    <a:xfrm>
                      <a:off x="0" y="0"/>
                      <a:ext cx="5212080" cy="3548044"/>
                    </a:xfrm>
                    <a:prstGeom prst="rect"/>
                  </pic:spPr>
                </pic:pic>
              </a:graphicData>
            </a:graphic>
          </wp:inline>
        </w:drawing>
      </w:r>
    </w:p>
    <w:p>
      <w:pPr>
        <w:pStyle w:val="Caption"/>
      </w:pPr>
      <w:r>
        <w:rPr>
          <w:rFonts w:ascii="Calibri" w:hAnsi="Calibri"/>
          <w:i/>
          <w:color w:val="64748B"/>
          <w:sz w:val="15"/>
        </w:rPr>
        <w:t xml:space="preserve">Figure </w:t>
      </w:r>
      <w:bookmarkStart w:id="31" w:name="_RefFigSharpe"/>
      <w:r>
        <w:rPr>
          <w:rFonts w:ascii="Calibri" w:hAnsi="Calibri"/>
          <w:i/>
          <w:color w:val="64748B"/>
          <w:sz w:val="15"/>
        </w:rPr>
        <w:fldChar w:fldCharType="begin"/>
      </w:r>
      <w:r>
        <w:rPr>
          <w:rFonts w:ascii="Calibri" w:hAnsi="Calibri"/>
          <w:i/>
          <w:color w:val="64748B"/>
          <w:sz w:val="15"/>
        </w:rPr>
        <w:instrText xml:space="preserve"> SEQ Figure \* ARABIC </w:instrText>
      </w:r>
      <w:r>
        <w:rPr>
          <w:rFonts w:ascii="Calibri" w:hAnsi="Calibri"/>
          <w:i/>
          <w:color w:val="64748B"/>
          <w:sz w:val="15"/>
        </w:rPr>
        <w:fldChar w:fldCharType="separate"/>
      </w:r>
      <w:r>
        <w:rPr>
          <w:rFonts w:ascii="Calibri" w:hAnsi="Calibri"/>
          <w:i/>
          <w:color w:val="64748B"/>
          <w:sz w:val="15"/>
        </w:rPr>
        <w:t>6</w:t>
      </w:r>
      <w:r>
        <w:rPr>
          <w:rFonts w:ascii="Calibri" w:hAnsi="Calibri"/>
          <w:i/>
          <w:color w:val="64748B"/>
          <w:sz w:val="15"/>
        </w:rPr>
        <w:fldChar w:fldCharType="end"/>
      </w:r>
      <w:bookmarkEnd w:id="31"/>
      <w:r>
        <w:rPr>
          <w:rFonts w:ascii="Calibri" w:hAnsi="Calibri"/>
          <w:i/>
          <w:color w:val="64748B"/>
          <w:sz w:val="15"/>
        </w:rPr>
        <w:t>. Annualised Sharpe ratio for all 12 funds after 5 basis points per unit of realised turnover and before management fees, using a 0% risk-free rate. Live period: 2021-2023. Source: FINS5545 data and author calculations.</w:t>
      </w:r>
    </w:p>
    <w:p>
      <w:pPr/>
      <w:r>
        <w:rPr>
          <w:rFonts w:ascii="Calibri" w:hAnsi="Calibri"/>
        </w:rPr>
        <w:t xml:space="preserve">Figure </w:t>
      </w:r>
      <w:r>
        <w:rPr>
          <w:rFonts w:ascii="Calibri" w:hAnsi="Calibri"/>
        </w:rPr>
        <w:fldChar w:fldCharType="begin"/>
      </w:r>
      <w:r>
        <w:rPr>
          <w:rFonts w:ascii="Calibri" w:hAnsi="Calibri"/>
        </w:rPr>
        <w:instrText xml:space="preserve"> REF _RefFigSharpe \h </w:instrText>
      </w:r>
      <w:r>
        <w:rPr>
          <w:rFonts w:ascii="Calibri" w:hAnsi="Calibri"/>
        </w:rPr>
        <w:fldChar w:fldCharType="separate"/>
      </w:r>
      <w:r>
        <w:rPr>
          <w:rFonts w:ascii="Calibri" w:hAnsi="Calibri"/>
        </w:rPr>
        <w:t>6</w:t>
      </w:r>
      <w:r>
        <w:rPr>
          <w:rFonts w:ascii="Calibri" w:hAnsi="Calibri"/>
        </w:rPr>
        <w:fldChar w:fldCharType="end"/>
      </w:r>
      <w:r>
        <w:rPr>
          <w:rFonts w:ascii="Calibri" w:hAnsi="Calibri"/>
        </w:rPr>
        <w:t xml:space="preserve"> confirms that no single optimisation method dominates across families. Minimum Variance leads crypto, Risk Parity leads combined funds, and Equal Weight leads equities. The ranking is consistent with the report's recommendation to sell a range of clearly differentiated products rather than one universal rule.</w:t>
      </w:r>
    </w:p>
    <w:p>
      <w:r>
        <w:br w:type="page"/>
      </w:r>
    </w:p>
    <w:p>
      <w:pPr>
        <w:pStyle w:val="Heading1"/>
      </w:pPr>
      <w:r>
        <w:t>Appendix B. Latest holdings summary</w:t>
      </w:r>
    </w:p>
    <w:p>
      <w:pPr>
        <w:pStyle w:val="Caption"/>
      </w:pPr>
      <w:r>
        <w:rPr>
          <w:rFonts w:ascii="Calibri" w:hAnsi="Calibri"/>
          <w:i/>
          <w:color w:val="64748B"/>
          <w:sz w:val="15"/>
        </w:rPr>
        <w:t xml:space="preserve">Table </w:t>
      </w:r>
      <w:bookmarkStart w:id="32" w:name="_RefTblHoldings"/>
      <w:r>
        <w:rPr>
          <w:rFonts w:ascii="Calibri" w:hAnsi="Calibri"/>
          <w:i/>
          <w:color w:val="64748B"/>
          <w:sz w:val="15"/>
        </w:rPr>
        <w:fldChar w:fldCharType="begin"/>
      </w:r>
      <w:r>
        <w:rPr>
          <w:rFonts w:ascii="Calibri" w:hAnsi="Calibri"/>
          <w:i/>
          <w:color w:val="64748B"/>
          <w:sz w:val="15"/>
        </w:rPr>
        <w:instrText xml:space="preserve"> SEQ Table \* ARABIC </w:instrText>
      </w:r>
      <w:r>
        <w:rPr>
          <w:rFonts w:ascii="Calibri" w:hAnsi="Calibri"/>
          <w:i/>
          <w:color w:val="64748B"/>
          <w:sz w:val="15"/>
        </w:rPr>
        <w:fldChar w:fldCharType="separate"/>
      </w:r>
      <w:r>
        <w:rPr>
          <w:rFonts w:ascii="Calibri" w:hAnsi="Calibri"/>
          <w:i/>
          <w:color w:val="64748B"/>
          <w:sz w:val="15"/>
        </w:rPr>
        <w:t>7</w:t>
      </w:r>
      <w:r>
        <w:rPr>
          <w:rFonts w:ascii="Calibri" w:hAnsi="Calibri"/>
          <w:i/>
          <w:color w:val="64748B"/>
          <w:sz w:val="15"/>
        </w:rPr>
        <w:fldChar w:fldCharType="end"/>
      </w:r>
      <w:bookmarkEnd w:id="32"/>
      <w:r>
        <w:rPr>
          <w:rFonts w:ascii="Calibri" w:hAnsi="Calibri"/>
          <w:i/>
          <w:color w:val="64748B"/>
          <w:sz w:val="15"/>
        </w:rPr>
        <w:t>. Three largest target positions for every fund at its latest 2023 rebalance. Full holdings and exact weights are in results/data/fund_weights.csv and the app fact sheets. Source: author calculations.</w:t>
      </w:r>
    </w:p>
    <w:tbl>
      <w:tblPr>
        <w:tblStyle w:val="TableGrid"/>
        <w:tblW w:type="dxa" w:w="9720"/>
        <w:tblLayout w:type="fixed"/>
        <w:tblLook w:firstColumn="1" w:firstRow="1" w:lastColumn="0" w:lastRow="0" w:noHBand="0" w:noVBand="1" w:val="04A0"/>
        <w:jc w:val="left"/>
        <w:tblInd w:type="dxa" w:w="120"/>
      </w:tblPr>
      <w:tblGrid>
        <w:gridCol w:w="3384"/>
        <w:gridCol w:w="1512"/>
        <w:gridCol w:w="4824"/>
      </w:tblGrid>
      <w:tr>
        <w:trPr>
          <w:tblHeader w:val="true"/>
        </w:trPr>
        <w:tc>
          <w:tcPr>
            <w:tcW w:type="dxa" w:w="3384"/>
            <w:tcMar>
              <w:top w:w="70" w:type="dxa"/>
              <w:bottom w:w="70" w:type="dxa"/>
              <w:start w:w="120" w:type="dxa"/>
              <w:end w:w="120" w:type="dxa"/>
            </w:tcMar>
            <w:vAlign w:val="center"/>
            <w:shd w:fill="16324F"/>
          </w:tcPr>
          <w:p>
            <w:pPr>
              <w:spacing w:after="0"/>
              <w:jc w:val="center"/>
            </w:pPr>
            <w:r>
              <w:rPr>
                <w:rFonts w:ascii="Calibri" w:hAnsi="Calibri"/>
                <w:b/>
                <w:color w:val="FFFFFF"/>
                <w:sz w:val="14"/>
              </w:rPr>
              <w:t>Fund</w:t>
            </w:r>
          </w:p>
        </w:tc>
        <w:tc>
          <w:tcPr>
            <w:tcW w:type="dxa" w:w="1512"/>
            <w:tcMar>
              <w:top w:w="70" w:type="dxa"/>
              <w:bottom w:w="70" w:type="dxa"/>
              <w:start w:w="120" w:type="dxa"/>
              <w:end w:w="120" w:type="dxa"/>
            </w:tcMar>
            <w:vAlign w:val="center"/>
            <w:shd w:fill="16324F"/>
          </w:tcPr>
          <w:p>
            <w:pPr>
              <w:spacing w:after="0"/>
              <w:jc w:val="center"/>
            </w:pPr>
            <w:r>
              <w:rPr>
                <w:rFonts w:ascii="Calibri" w:hAnsi="Calibri"/>
                <w:b/>
                <w:color w:val="FFFFFF"/>
                <w:sz w:val="14"/>
              </w:rPr>
              <w:t>Target date</w:t>
            </w:r>
          </w:p>
        </w:tc>
        <w:tc>
          <w:tcPr>
            <w:tcW w:type="dxa" w:w="4824"/>
            <w:tcMar>
              <w:top w:w="70" w:type="dxa"/>
              <w:bottom w:w="70" w:type="dxa"/>
              <w:start w:w="120" w:type="dxa"/>
              <w:end w:w="120" w:type="dxa"/>
            </w:tcMar>
            <w:vAlign w:val="center"/>
            <w:shd w:fill="16324F"/>
          </w:tcPr>
          <w:p>
            <w:pPr>
              <w:spacing w:after="0"/>
              <w:jc w:val="center"/>
            </w:pPr>
            <w:r>
              <w:rPr>
                <w:rFonts w:ascii="Calibri" w:hAnsi="Calibri"/>
                <w:b/>
                <w:color w:val="FFFFFF"/>
                <w:sz w:val="14"/>
              </w:rPr>
              <w:t>Three largest targets</w:t>
            </w:r>
          </w:p>
        </w:tc>
      </w:tr>
      <w:tr>
        <w:tc>
          <w:tcPr>
            <w:tcW w:type="dxa" w:w="3384"/>
            <w:vAlign w:val="center"/>
            <w:tcMar>
              <w:top w:w="70" w:type="dxa"/>
              <w:bottom w:w="70" w:type="dxa"/>
              <w:start w:w="120" w:type="dxa"/>
              <w:end w:w="120" w:type="dxa"/>
            </w:tcMar>
          </w:tcPr>
          <w:p>
            <w:pPr>
              <w:spacing w:after="0" w:line="240" w:lineRule="auto"/>
              <w:jc w:val="left"/>
            </w:pPr>
            <w:r>
              <w:rPr>
                <w:rFonts w:ascii="Calibri" w:hAnsi="Calibri"/>
                <w:color w:val="1F2933"/>
                <w:sz w:val="14"/>
              </w:rPr>
              <w:t>Combined Equal Weight</w:t>
            </w:r>
          </w:p>
        </w:tc>
        <w:tc>
          <w:tcPr>
            <w:tcW w:type="dxa" w:w="1512"/>
            <w:vAlign w:val="center"/>
            <w:tcMar>
              <w:top w:w="70" w:type="dxa"/>
              <w:bottom w:w="70" w:type="dxa"/>
              <w:start w:w="120" w:type="dxa"/>
              <w:end w:w="120" w:type="dxa"/>
            </w:tcMar>
          </w:tcPr>
          <w:p>
            <w:pPr>
              <w:spacing w:after="0" w:line="240" w:lineRule="auto"/>
              <w:jc w:val="center"/>
            </w:pPr>
            <w:r>
              <w:rPr>
                <w:rFonts w:ascii="Calibri" w:hAnsi="Calibri"/>
                <w:color w:val="1F2933"/>
                <w:sz w:val="14"/>
              </w:rPr>
              <w:t>2023-12-01</w:t>
            </w:r>
          </w:p>
        </w:tc>
        <w:tc>
          <w:tcPr>
            <w:tcW w:type="dxa" w:w="4824"/>
            <w:vAlign w:val="center"/>
            <w:tcMar>
              <w:top w:w="70" w:type="dxa"/>
              <w:bottom w:w="70" w:type="dxa"/>
              <w:start w:w="120" w:type="dxa"/>
              <w:end w:w="120" w:type="dxa"/>
            </w:tcMar>
          </w:tcPr>
          <w:p>
            <w:pPr>
              <w:spacing w:after="0" w:line="240" w:lineRule="auto"/>
              <w:jc w:val="center"/>
            </w:pPr>
            <w:r>
              <w:rPr>
                <w:rFonts w:ascii="Calibri" w:hAnsi="Calibri"/>
                <w:color w:val="1F2933"/>
                <w:sz w:val="14"/>
              </w:rPr>
              <w:t>ABBV 1.7%; ABT 1.7%; ADBE 1.7%</w:t>
            </w:r>
          </w:p>
        </w:tc>
      </w:tr>
      <w:tr>
        <w:tc>
          <w:tcPr>
            <w:tcW w:type="dxa" w:w="3384"/>
            <w:vAlign w:val="center"/>
            <w:shd w:fill="F7FAFC"/>
            <w:tcMar>
              <w:top w:w="70" w:type="dxa"/>
              <w:bottom w:w="70" w:type="dxa"/>
              <w:start w:w="120" w:type="dxa"/>
              <w:end w:w="120" w:type="dxa"/>
            </w:tcMar>
          </w:tcPr>
          <w:p>
            <w:pPr>
              <w:spacing w:after="0" w:line="240" w:lineRule="auto"/>
              <w:jc w:val="left"/>
            </w:pPr>
            <w:r>
              <w:rPr>
                <w:rFonts w:ascii="Calibri" w:hAnsi="Calibri"/>
                <w:color w:val="1F2933"/>
                <w:sz w:val="14"/>
              </w:rPr>
              <w:t>Combined Maximum Sharpe</w:t>
            </w:r>
          </w:p>
        </w:tc>
        <w:tc>
          <w:tcPr>
            <w:tcW w:type="dxa" w:w="1512"/>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2023-12-01</w:t>
            </w:r>
          </w:p>
        </w:tc>
        <w:tc>
          <w:tcPr>
            <w:tcW w:type="dxa" w:w="4824"/>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SO 12.0%; NVDA 12.0%; GE 12.0%</w:t>
            </w:r>
          </w:p>
        </w:tc>
      </w:tr>
      <w:tr>
        <w:tc>
          <w:tcPr>
            <w:tcW w:type="dxa" w:w="3384"/>
            <w:vAlign w:val="center"/>
            <w:tcMar>
              <w:top w:w="70" w:type="dxa"/>
              <w:bottom w:w="70" w:type="dxa"/>
              <w:start w:w="120" w:type="dxa"/>
              <w:end w:w="120" w:type="dxa"/>
            </w:tcMar>
          </w:tcPr>
          <w:p>
            <w:pPr>
              <w:spacing w:after="0" w:line="240" w:lineRule="auto"/>
              <w:jc w:val="left"/>
            </w:pPr>
            <w:r>
              <w:rPr>
                <w:rFonts w:ascii="Calibri" w:hAnsi="Calibri"/>
                <w:color w:val="1F2933"/>
                <w:sz w:val="14"/>
              </w:rPr>
              <w:t>Combined Minimum Variance</w:t>
            </w:r>
          </w:p>
        </w:tc>
        <w:tc>
          <w:tcPr>
            <w:tcW w:type="dxa" w:w="1512"/>
            <w:vAlign w:val="center"/>
            <w:tcMar>
              <w:top w:w="70" w:type="dxa"/>
              <w:bottom w:w="70" w:type="dxa"/>
              <w:start w:w="120" w:type="dxa"/>
              <w:end w:w="120" w:type="dxa"/>
            </w:tcMar>
          </w:tcPr>
          <w:p>
            <w:pPr>
              <w:spacing w:after="0" w:line="240" w:lineRule="auto"/>
              <w:jc w:val="center"/>
            </w:pPr>
            <w:r>
              <w:rPr>
                <w:rFonts w:ascii="Calibri" w:hAnsi="Calibri"/>
                <w:color w:val="1F2933"/>
                <w:sz w:val="14"/>
              </w:rPr>
              <w:t>2023-12-01</w:t>
            </w:r>
          </w:p>
        </w:tc>
        <w:tc>
          <w:tcPr>
            <w:tcW w:type="dxa" w:w="4824"/>
            <w:vAlign w:val="center"/>
            <w:tcMar>
              <w:top w:w="70" w:type="dxa"/>
              <w:bottom w:w="70" w:type="dxa"/>
              <w:start w:w="120" w:type="dxa"/>
              <w:end w:w="120" w:type="dxa"/>
            </w:tcMar>
          </w:tcPr>
          <w:p>
            <w:pPr>
              <w:spacing w:after="0" w:line="240" w:lineRule="auto"/>
              <w:jc w:val="center"/>
            </w:pPr>
            <w:r>
              <w:rPr>
                <w:rFonts w:ascii="Calibri" w:hAnsi="Calibri"/>
                <w:color w:val="1F2933"/>
                <w:sz w:val="14"/>
              </w:rPr>
              <w:t>KO 12.0%; WMT 12.0%; MRK 10.6%</w:t>
            </w:r>
          </w:p>
        </w:tc>
      </w:tr>
      <w:tr>
        <w:tc>
          <w:tcPr>
            <w:tcW w:type="dxa" w:w="3384"/>
            <w:vAlign w:val="center"/>
            <w:shd w:fill="F7FAFC"/>
            <w:tcMar>
              <w:top w:w="70" w:type="dxa"/>
              <w:bottom w:w="70" w:type="dxa"/>
              <w:start w:w="120" w:type="dxa"/>
              <w:end w:w="120" w:type="dxa"/>
            </w:tcMar>
          </w:tcPr>
          <w:p>
            <w:pPr>
              <w:spacing w:after="0" w:line="240" w:lineRule="auto"/>
              <w:jc w:val="left"/>
            </w:pPr>
            <w:r>
              <w:rPr>
                <w:rFonts w:ascii="Calibri" w:hAnsi="Calibri"/>
                <w:color w:val="1F2933"/>
                <w:sz w:val="14"/>
              </w:rPr>
              <w:t>Combined Risk Parity</w:t>
            </w:r>
          </w:p>
        </w:tc>
        <w:tc>
          <w:tcPr>
            <w:tcW w:type="dxa" w:w="1512"/>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2023-12-01</w:t>
            </w:r>
          </w:p>
        </w:tc>
        <w:tc>
          <w:tcPr>
            <w:tcW w:type="dxa" w:w="4824"/>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MRK 3.8%; ABBV 3.7%; WMT 3.4%</w:t>
            </w:r>
          </w:p>
        </w:tc>
      </w:tr>
      <w:tr>
        <w:tc>
          <w:tcPr>
            <w:tcW w:type="dxa" w:w="3384"/>
            <w:vAlign w:val="center"/>
            <w:tcMar>
              <w:top w:w="70" w:type="dxa"/>
              <w:bottom w:w="70" w:type="dxa"/>
              <w:start w:w="120" w:type="dxa"/>
              <w:end w:w="120" w:type="dxa"/>
            </w:tcMar>
          </w:tcPr>
          <w:p>
            <w:pPr>
              <w:spacing w:after="0" w:line="240" w:lineRule="auto"/>
              <w:jc w:val="left"/>
            </w:pPr>
            <w:r>
              <w:rPr>
                <w:rFonts w:ascii="Calibri" w:hAnsi="Calibri"/>
                <w:color w:val="1F2933"/>
                <w:sz w:val="14"/>
              </w:rPr>
              <w:t>Crypto Equal Weight</w:t>
            </w:r>
          </w:p>
        </w:tc>
        <w:tc>
          <w:tcPr>
            <w:tcW w:type="dxa" w:w="1512"/>
            <w:vAlign w:val="center"/>
            <w:tcMar>
              <w:top w:w="70" w:type="dxa"/>
              <w:bottom w:w="70" w:type="dxa"/>
              <w:start w:w="120" w:type="dxa"/>
              <w:end w:w="120" w:type="dxa"/>
            </w:tcMar>
          </w:tcPr>
          <w:p>
            <w:pPr>
              <w:spacing w:after="0" w:line="240" w:lineRule="auto"/>
              <w:jc w:val="center"/>
            </w:pPr>
            <w:r>
              <w:rPr>
                <w:rFonts w:ascii="Calibri" w:hAnsi="Calibri"/>
                <w:color w:val="1F2933"/>
                <w:sz w:val="14"/>
              </w:rPr>
              <w:t>2023-12-01</w:t>
            </w:r>
          </w:p>
        </w:tc>
        <w:tc>
          <w:tcPr>
            <w:tcW w:type="dxa" w:w="4824"/>
            <w:vAlign w:val="center"/>
            <w:tcMar>
              <w:top w:w="70" w:type="dxa"/>
              <w:bottom w:w="70" w:type="dxa"/>
              <w:start w:w="120" w:type="dxa"/>
              <w:end w:w="120" w:type="dxa"/>
            </w:tcMar>
          </w:tcPr>
          <w:p>
            <w:pPr>
              <w:spacing w:after="0" w:line="240" w:lineRule="auto"/>
              <w:jc w:val="center"/>
            </w:pPr>
            <w:r>
              <w:rPr>
                <w:rFonts w:ascii="Calibri" w:hAnsi="Calibri"/>
                <w:color w:val="1F2933"/>
                <w:sz w:val="14"/>
              </w:rPr>
              <w:t>ADA-USD 10.0%; BCH-USD 10.0%; BTC-USD 10.0%</w:t>
            </w:r>
          </w:p>
        </w:tc>
      </w:tr>
      <w:tr>
        <w:tc>
          <w:tcPr>
            <w:tcW w:type="dxa" w:w="3384"/>
            <w:vAlign w:val="center"/>
            <w:shd w:fill="F7FAFC"/>
            <w:tcMar>
              <w:top w:w="70" w:type="dxa"/>
              <w:bottom w:w="70" w:type="dxa"/>
              <w:start w:w="120" w:type="dxa"/>
              <w:end w:w="120" w:type="dxa"/>
            </w:tcMar>
          </w:tcPr>
          <w:p>
            <w:pPr>
              <w:spacing w:after="0" w:line="240" w:lineRule="auto"/>
              <w:jc w:val="left"/>
            </w:pPr>
            <w:r>
              <w:rPr>
                <w:rFonts w:ascii="Calibri" w:hAnsi="Calibri"/>
                <w:color w:val="1F2933"/>
                <w:sz w:val="14"/>
              </w:rPr>
              <w:t>Crypto Maximum Sharpe</w:t>
            </w:r>
          </w:p>
        </w:tc>
        <w:tc>
          <w:tcPr>
            <w:tcW w:type="dxa" w:w="1512"/>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2023-12-01</w:t>
            </w:r>
          </w:p>
        </w:tc>
        <w:tc>
          <w:tcPr>
            <w:tcW w:type="dxa" w:w="4824"/>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BTC-USD 35.0%; TRX-USD 35.0%; ETH-USD 16.0%</w:t>
            </w:r>
          </w:p>
        </w:tc>
      </w:tr>
      <w:tr>
        <w:tc>
          <w:tcPr>
            <w:tcW w:type="dxa" w:w="3384"/>
            <w:vAlign w:val="center"/>
            <w:tcMar>
              <w:top w:w="70" w:type="dxa"/>
              <w:bottom w:w="70" w:type="dxa"/>
              <w:start w:w="120" w:type="dxa"/>
              <w:end w:w="120" w:type="dxa"/>
            </w:tcMar>
          </w:tcPr>
          <w:p>
            <w:pPr>
              <w:spacing w:after="0" w:line="240" w:lineRule="auto"/>
              <w:jc w:val="left"/>
            </w:pPr>
            <w:r>
              <w:rPr>
                <w:rFonts w:ascii="Calibri" w:hAnsi="Calibri"/>
                <w:color w:val="1F2933"/>
                <w:sz w:val="14"/>
              </w:rPr>
              <w:t>Crypto Minimum Variance</w:t>
            </w:r>
          </w:p>
        </w:tc>
        <w:tc>
          <w:tcPr>
            <w:tcW w:type="dxa" w:w="1512"/>
            <w:vAlign w:val="center"/>
            <w:tcMar>
              <w:top w:w="70" w:type="dxa"/>
              <w:bottom w:w="70" w:type="dxa"/>
              <w:start w:w="120" w:type="dxa"/>
              <w:end w:w="120" w:type="dxa"/>
            </w:tcMar>
          </w:tcPr>
          <w:p>
            <w:pPr>
              <w:spacing w:after="0" w:line="240" w:lineRule="auto"/>
              <w:jc w:val="center"/>
            </w:pPr>
            <w:r>
              <w:rPr>
                <w:rFonts w:ascii="Calibri" w:hAnsi="Calibri"/>
                <w:color w:val="1F2933"/>
                <w:sz w:val="14"/>
              </w:rPr>
              <w:t>2023-12-01</w:t>
            </w:r>
          </w:p>
        </w:tc>
        <w:tc>
          <w:tcPr>
            <w:tcW w:type="dxa" w:w="4824"/>
            <w:vAlign w:val="center"/>
            <w:tcMar>
              <w:top w:w="70" w:type="dxa"/>
              <w:bottom w:w="70" w:type="dxa"/>
              <w:start w:w="120" w:type="dxa"/>
              <w:end w:w="120" w:type="dxa"/>
            </w:tcMar>
          </w:tcPr>
          <w:p>
            <w:pPr>
              <w:spacing w:after="0" w:line="240" w:lineRule="auto"/>
              <w:jc w:val="center"/>
            </w:pPr>
            <w:r>
              <w:rPr>
                <w:rFonts w:ascii="Calibri" w:hAnsi="Calibri"/>
                <w:color w:val="1F2933"/>
                <w:sz w:val="14"/>
              </w:rPr>
              <w:t>BTC-USD 35.0%; TRX-USD 35.0%; ETH-USD 26.9%</w:t>
            </w:r>
          </w:p>
        </w:tc>
      </w:tr>
      <w:tr>
        <w:tc>
          <w:tcPr>
            <w:tcW w:type="dxa" w:w="3384"/>
            <w:vAlign w:val="center"/>
            <w:shd w:fill="F7FAFC"/>
            <w:tcMar>
              <w:top w:w="70" w:type="dxa"/>
              <w:bottom w:w="70" w:type="dxa"/>
              <w:start w:w="120" w:type="dxa"/>
              <w:end w:w="120" w:type="dxa"/>
            </w:tcMar>
          </w:tcPr>
          <w:p>
            <w:pPr>
              <w:spacing w:after="0" w:line="240" w:lineRule="auto"/>
              <w:jc w:val="left"/>
            </w:pPr>
            <w:r>
              <w:rPr>
                <w:rFonts w:ascii="Calibri" w:hAnsi="Calibri"/>
                <w:color w:val="1F2933"/>
                <w:sz w:val="14"/>
              </w:rPr>
              <w:t>Crypto Risk Parity</w:t>
            </w:r>
          </w:p>
        </w:tc>
        <w:tc>
          <w:tcPr>
            <w:tcW w:type="dxa" w:w="1512"/>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2023-12-01</w:t>
            </w:r>
          </w:p>
        </w:tc>
        <w:tc>
          <w:tcPr>
            <w:tcW w:type="dxa" w:w="4824"/>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TRX-USD 15.5%; BTC-USD 13.3%; ETH-USD 11.7%</w:t>
            </w:r>
          </w:p>
        </w:tc>
      </w:tr>
      <w:tr>
        <w:tc>
          <w:tcPr>
            <w:tcW w:type="dxa" w:w="3384"/>
            <w:vAlign w:val="center"/>
            <w:tcMar>
              <w:top w:w="70" w:type="dxa"/>
              <w:bottom w:w="70" w:type="dxa"/>
              <w:start w:w="120" w:type="dxa"/>
              <w:end w:w="120" w:type="dxa"/>
            </w:tcMar>
          </w:tcPr>
          <w:p>
            <w:pPr>
              <w:spacing w:after="0" w:line="240" w:lineRule="auto"/>
              <w:jc w:val="left"/>
            </w:pPr>
            <w:r>
              <w:rPr>
                <w:rFonts w:ascii="Calibri" w:hAnsi="Calibri"/>
                <w:color w:val="1F2933"/>
                <w:sz w:val="14"/>
              </w:rPr>
              <w:t>Equity Equal Weight</w:t>
            </w:r>
          </w:p>
        </w:tc>
        <w:tc>
          <w:tcPr>
            <w:tcW w:type="dxa" w:w="1512"/>
            <w:vAlign w:val="center"/>
            <w:tcMar>
              <w:top w:w="70" w:type="dxa"/>
              <w:bottom w:w="70" w:type="dxa"/>
              <w:start w:w="120" w:type="dxa"/>
              <w:end w:w="120" w:type="dxa"/>
            </w:tcMar>
          </w:tcPr>
          <w:p>
            <w:pPr>
              <w:spacing w:after="0" w:line="240" w:lineRule="auto"/>
              <w:jc w:val="center"/>
            </w:pPr>
            <w:r>
              <w:rPr>
                <w:rFonts w:ascii="Calibri" w:hAnsi="Calibri"/>
                <w:color w:val="1F2933"/>
                <w:sz w:val="14"/>
              </w:rPr>
              <w:t>2023-12-01</w:t>
            </w:r>
          </w:p>
        </w:tc>
        <w:tc>
          <w:tcPr>
            <w:tcW w:type="dxa" w:w="4824"/>
            <w:vAlign w:val="center"/>
            <w:tcMar>
              <w:top w:w="70" w:type="dxa"/>
              <w:bottom w:w="70" w:type="dxa"/>
              <w:start w:w="120" w:type="dxa"/>
              <w:end w:w="120" w:type="dxa"/>
            </w:tcMar>
          </w:tcPr>
          <w:p>
            <w:pPr>
              <w:spacing w:after="0" w:line="240" w:lineRule="auto"/>
              <w:jc w:val="center"/>
            </w:pPr>
            <w:r>
              <w:rPr>
                <w:rFonts w:ascii="Calibri" w:hAnsi="Calibri"/>
                <w:color w:val="1F2933"/>
                <w:sz w:val="14"/>
              </w:rPr>
              <w:t>ABBV 2.0%; ABT 2.0%; ADBE 2.0%</w:t>
            </w:r>
          </w:p>
        </w:tc>
      </w:tr>
      <w:tr>
        <w:tc>
          <w:tcPr>
            <w:tcW w:type="dxa" w:w="3384"/>
            <w:vAlign w:val="center"/>
            <w:shd w:fill="F7FAFC"/>
            <w:tcMar>
              <w:top w:w="70" w:type="dxa"/>
              <w:bottom w:w="70" w:type="dxa"/>
              <w:start w:w="120" w:type="dxa"/>
              <w:end w:w="120" w:type="dxa"/>
            </w:tcMar>
          </w:tcPr>
          <w:p>
            <w:pPr>
              <w:spacing w:after="0" w:line="240" w:lineRule="auto"/>
              <w:jc w:val="left"/>
            </w:pPr>
            <w:r>
              <w:rPr>
                <w:rFonts w:ascii="Calibri" w:hAnsi="Calibri"/>
                <w:color w:val="1F2933"/>
                <w:sz w:val="14"/>
              </w:rPr>
              <w:t>Equity Maximum Sharpe</w:t>
            </w:r>
          </w:p>
        </w:tc>
        <w:tc>
          <w:tcPr>
            <w:tcW w:type="dxa" w:w="1512"/>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2023-12-01</w:t>
            </w:r>
          </w:p>
        </w:tc>
        <w:tc>
          <w:tcPr>
            <w:tcW w:type="dxa" w:w="4824"/>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GE 15.0%; SO 15.0%; NVDA 14.7%</w:t>
            </w:r>
          </w:p>
        </w:tc>
      </w:tr>
      <w:tr>
        <w:tc>
          <w:tcPr>
            <w:tcW w:type="dxa" w:w="3384"/>
            <w:vAlign w:val="center"/>
            <w:tcMar>
              <w:top w:w="70" w:type="dxa"/>
              <w:bottom w:w="70" w:type="dxa"/>
              <w:start w:w="120" w:type="dxa"/>
              <w:end w:w="120" w:type="dxa"/>
            </w:tcMar>
          </w:tcPr>
          <w:p>
            <w:pPr>
              <w:spacing w:after="0" w:line="240" w:lineRule="auto"/>
              <w:jc w:val="left"/>
            </w:pPr>
            <w:r>
              <w:rPr>
                <w:rFonts w:ascii="Calibri" w:hAnsi="Calibri"/>
                <w:color w:val="1F2933"/>
                <w:sz w:val="14"/>
              </w:rPr>
              <w:t>Equity Minimum Variance</w:t>
            </w:r>
          </w:p>
        </w:tc>
        <w:tc>
          <w:tcPr>
            <w:tcW w:type="dxa" w:w="1512"/>
            <w:vAlign w:val="center"/>
            <w:tcMar>
              <w:top w:w="70" w:type="dxa"/>
              <w:bottom w:w="70" w:type="dxa"/>
              <w:start w:w="120" w:type="dxa"/>
              <w:end w:w="120" w:type="dxa"/>
            </w:tcMar>
          </w:tcPr>
          <w:p>
            <w:pPr>
              <w:spacing w:after="0" w:line="240" w:lineRule="auto"/>
              <w:jc w:val="center"/>
            </w:pPr>
            <w:r>
              <w:rPr>
                <w:rFonts w:ascii="Calibri" w:hAnsi="Calibri"/>
                <w:color w:val="1F2933"/>
                <w:sz w:val="14"/>
              </w:rPr>
              <w:t>2023-12-01</w:t>
            </w:r>
          </w:p>
        </w:tc>
        <w:tc>
          <w:tcPr>
            <w:tcW w:type="dxa" w:w="4824"/>
            <w:vAlign w:val="center"/>
            <w:tcMar>
              <w:top w:w="70" w:type="dxa"/>
              <w:bottom w:w="70" w:type="dxa"/>
              <w:start w:w="120" w:type="dxa"/>
              <w:end w:w="120" w:type="dxa"/>
            </w:tcMar>
          </w:tcPr>
          <w:p>
            <w:pPr>
              <w:spacing w:after="0" w:line="240" w:lineRule="auto"/>
              <w:jc w:val="center"/>
            </w:pPr>
            <w:r>
              <w:rPr>
                <w:rFonts w:ascii="Calibri" w:hAnsi="Calibri"/>
                <w:color w:val="1F2933"/>
                <w:sz w:val="14"/>
              </w:rPr>
              <w:t>KO 15.0%; WMT 15.0%; MRK 10.3%</w:t>
            </w:r>
          </w:p>
        </w:tc>
      </w:tr>
      <w:tr>
        <w:tc>
          <w:tcPr>
            <w:tcW w:type="dxa" w:w="3384"/>
            <w:vAlign w:val="center"/>
            <w:shd w:fill="F7FAFC"/>
            <w:tcMar>
              <w:top w:w="70" w:type="dxa"/>
              <w:bottom w:w="70" w:type="dxa"/>
              <w:start w:w="120" w:type="dxa"/>
              <w:end w:w="120" w:type="dxa"/>
            </w:tcMar>
          </w:tcPr>
          <w:p>
            <w:pPr>
              <w:spacing w:after="0" w:line="240" w:lineRule="auto"/>
              <w:jc w:val="left"/>
            </w:pPr>
            <w:r>
              <w:rPr>
                <w:rFonts w:ascii="Calibri" w:hAnsi="Calibri"/>
                <w:color w:val="1F2933"/>
                <w:sz w:val="14"/>
              </w:rPr>
              <w:t>Equity Risk Parity</w:t>
            </w:r>
          </w:p>
        </w:tc>
        <w:tc>
          <w:tcPr>
            <w:tcW w:type="dxa" w:w="1512"/>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2023-12-01</w:t>
            </w:r>
          </w:p>
        </w:tc>
        <w:tc>
          <w:tcPr>
            <w:tcW w:type="dxa" w:w="4824"/>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MRK 4.1%; ABBV 3.9%; WMT 3.8%</w:t>
            </w:r>
          </w:p>
        </w:tc>
      </w:tr>
    </w:tbl>
    <w:p>
      <w:pPr>
        <w:spacing w:after="40"/>
      </w:pPr>
    </w:p>
    <w:p>
      <w:r>
        <w:br w:type="page"/>
      </w:r>
    </w:p>
    <w:p>
      <w:pPr>
        <w:pStyle w:val="Heading1"/>
      </w:pPr>
      <w:r>
        <w:t>Appendix C. Validation and source integrity</w:t>
      </w:r>
    </w:p>
    <w:p>
      <w:pPr>
        <w:pStyle w:val="Caption"/>
      </w:pPr>
      <w:r>
        <w:rPr>
          <w:rFonts w:ascii="Calibri" w:hAnsi="Calibri"/>
          <w:i/>
          <w:color w:val="64748B"/>
          <w:sz w:val="15"/>
        </w:rPr>
        <w:t xml:space="preserve">Table </w:t>
      </w:r>
      <w:bookmarkStart w:id="33" w:name="_RefTblValidation"/>
      <w:r>
        <w:rPr>
          <w:rFonts w:ascii="Calibri" w:hAnsi="Calibri"/>
          <w:i/>
          <w:color w:val="64748B"/>
          <w:sz w:val="15"/>
        </w:rPr>
        <w:fldChar w:fldCharType="begin"/>
      </w:r>
      <w:r>
        <w:rPr>
          <w:rFonts w:ascii="Calibri" w:hAnsi="Calibri"/>
          <w:i/>
          <w:color w:val="64748B"/>
          <w:sz w:val="15"/>
        </w:rPr>
        <w:instrText xml:space="preserve"> SEQ Table \* ARABIC </w:instrText>
      </w:r>
      <w:r>
        <w:rPr>
          <w:rFonts w:ascii="Calibri" w:hAnsi="Calibri"/>
          <w:i/>
          <w:color w:val="64748B"/>
          <w:sz w:val="15"/>
        </w:rPr>
        <w:fldChar w:fldCharType="separate"/>
      </w:r>
      <w:r>
        <w:rPr>
          <w:rFonts w:ascii="Calibri" w:hAnsi="Calibri"/>
          <w:i/>
          <w:color w:val="64748B"/>
          <w:sz w:val="15"/>
        </w:rPr>
        <w:t>8</w:t>
      </w:r>
      <w:r>
        <w:rPr>
          <w:rFonts w:ascii="Calibri" w:hAnsi="Calibri"/>
          <w:i/>
          <w:color w:val="64748B"/>
          <w:sz w:val="15"/>
        </w:rPr>
        <w:fldChar w:fldCharType="end"/>
      </w:r>
      <w:bookmarkEnd w:id="33"/>
      <w:r>
        <w:rPr>
          <w:rFonts w:ascii="Calibri" w:hAnsi="Calibri"/>
          <w:i/>
          <w:color w:val="64748B"/>
          <w:sz w:val="15"/>
        </w:rPr>
        <w:t>. Critical pipeline validation results. Every check must pass before artifacts are written. Source: automated author tests.</w:t>
      </w:r>
    </w:p>
    <w:tbl>
      <w:tblPr>
        <w:tblStyle w:val="TableGrid"/>
        <w:tblW w:type="dxa" w:w="9720"/>
        <w:tblLayout w:type="fixed"/>
        <w:tblLook w:firstColumn="1" w:firstRow="1" w:lastColumn="0" w:lastRow="0" w:noHBand="0" w:noVBand="1" w:val="04A0"/>
        <w:jc w:val="left"/>
        <w:tblInd w:type="dxa" w:w="120"/>
      </w:tblPr>
      <w:tblGrid>
        <w:gridCol w:w="8280"/>
        <w:gridCol w:w="1440"/>
      </w:tblGrid>
      <w:tr>
        <w:trPr>
          <w:tblHeader w:val="true"/>
        </w:trPr>
        <w:tc>
          <w:tcPr>
            <w:tcW w:type="dxa" w:w="8280"/>
            <w:tcMar>
              <w:top w:w="70" w:type="dxa"/>
              <w:bottom w:w="70" w:type="dxa"/>
              <w:start w:w="120" w:type="dxa"/>
              <w:end w:w="120" w:type="dxa"/>
            </w:tcMar>
            <w:vAlign w:val="center"/>
            <w:shd w:fill="16324F"/>
          </w:tcPr>
          <w:p>
            <w:pPr>
              <w:spacing w:after="0"/>
              <w:jc w:val="center"/>
            </w:pPr>
            <w:r>
              <w:rPr>
                <w:rFonts w:ascii="Calibri" w:hAnsi="Calibri"/>
                <w:b/>
                <w:color w:val="FFFFFF"/>
                <w:sz w:val="14"/>
              </w:rPr>
              <w:t>Validation check</w:t>
            </w:r>
          </w:p>
        </w:tc>
        <w:tc>
          <w:tcPr>
            <w:tcW w:type="dxa" w:w="1440"/>
            <w:tcMar>
              <w:top w:w="70" w:type="dxa"/>
              <w:bottom w:w="70" w:type="dxa"/>
              <w:start w:w="120" w:type="dxa"/>
              <w:end w:w="120" w:type="dxa"/>
            </w:tcMar>
            <w:vAlign w:val="center"/>
            <w:shd w:fill="16324F"/>
          </w:tcPr>
          <w:p>
            <w:pPr>
              <w:spacing w:after="0"/>
              <w:jc w:val="center"/>
            </w:pPr>
            <w:r>
              <w:rPr>
                <w:rFonts w:ascii="Calibri" w:hAnsi="Calibri"/>
                <w:b/>
                <w:color w:val="FFFFFF"/>
                <w:sz w:val="14"/>
              </w:rPr>
              <w:t>Passed</w:t>
            </w:r>
          </w:p>
        </w:tc>
      </w:tr>
      <w:tr>
        <w:tc>
          <w:tcPr>
            <w:tcW w:type="dxa" w:w="8280"/>
            <w:vAlign w:val="center"/>
            <w:tcMar>
              <w:top w:w="70" w:type="dxa"/>
              <w:bottom w:w="70" w:type="dxa"/>
              <w:start w:w="120" w:type="dxa"/>
              <w:end w:w="120" w:type="dxa"/>
            </w:tcMar>
          </w:tcPr>
          <w:p>
            <w:pPr>
              <w:spacing w:after="0" w:line="240" w:lineRule="auto"/>
              <w:jc w:val="left"/>
            </w:pPr>
            <w:r>
              <w:rPr>
                <w:rFonts w:ascii="Calibri" w:hAnsi="Calibri"/>
                <w:color w:val="1F2933"/>
                <w:sz w:val="14"/>
              </w:rPr>
              <w:t>Equity ticker-date keys are unique</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4"/>
              </w:rPr>
              <w:t>Yes</w:t>
            </w:r>
          </w:p>
        </w:tc>
      </w:tr>
      <w:tr>
        <w:tc>
          <w:tcPr>
            <w:tcW w:type="dxa" w:w="8280"/>
            <w:vAlign w:val="center"/>
            <w:shd w:fill="F7FAFC"/>
            <w:tcMar>
              <w:top w:w="70" w:type="dxa"/>
              <w:bottom w:w="70" w:type="dxa"/>
              <w:start w:w="120" w:type="dxa"/>
              <w:end w:w="120" w:type="dxa"/>
            </w:tcMar>
          </w:tcPr>
          <w:p>
            <w:pPr>
              <w:spacing w:after="0" w:line="240" w:lineRule="auto"/>
              <w:jc w:val="left"/>
            </w:pPr>
            <w:r>
              <w:rPr>
                <w:rFonts w:ascii="Calibri" w:hAnsi="Calibri"/>
                <w:color w:val="1F2933"/>
                <w:sz w:val="14"/>
              </w:rPr>
              <w:t>Crypto ticker-date keys are unique</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Yes</w:t>
            </w:r>
          </w:p>
        </w:tc>
      </w:tr>
      <w:tr>
        <w:tc>
          <w:tcPr>
            <w:tcW w:type="dxa" w:w="8280"/>
            <w:vAlign w:val="center"/>
            <w:tcMar>
              <w:top w:w="70" w:type="dxa"/>
              <w:bottom w:w="70" w:type="dxa"/>
              <w:start w:w="120" w:type="dxa"/>
              <w:end w:w="120" w:type="dxa"/>
            </w:tcMar>
          </w:tcPr>
          <w:p>
            <w:pPr>
              <w:spacing w:after="0" w:line="240" w:lineRule="auto"/>
              <w:jc w:val="left"/>
            </w:pPr>
            <w:r>
              <w:rPr>
                <w:rFonts w:ascii="Calibri" w:hAnsi="Calibri"/>
                <w:color w:val="1F2933"/>
                <w:sz w:val="14"/>
              </w:rPr>
              <w:t>News ticker-date-title keys are unique</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4"/>
              </w:rPr>
              <w:t>Yes</w:t>
            </w:r>
          </w:p>
        </w:tc>
      </w:tr>
      <w:tr>
        <w:tc>
          <w:tcPr>
            <w:tcW w:type="dxa" w:w="8280"/>
            <w:vAlign w:val="center"/>
            <w:shd w:fill="F7FAFC"/>
            <w:tcMar>
              <w:top w:w="70" w:type="dxa"/>
              <w:bottom w:w="70" w:type="dxa"/>
              <w:start w:w="120" w:type="dxa"/>
              <w:end w:w="120" w:type="dxa"/>
            </w:tcMar>
          </w:tcPr>
          <w:p>
            <w:pPr>
              <w:spacing w:after="0" w:line="240" w:lineRule="auto"/>
              <w:jc w:val="left"/>
            </w:pPr>
            <w:r>
              <w:rPr>
                <w:rFonts w:ascii="Calibri" w:hAnsi="Calibri"/>
                <w:color w:val="1F2933"/>
                <w:sz w:val="14"/>
              </w:rPr>
              <w:t>First equity return is missing within ticker</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Yes</w:t>
            </w:r>
          </w:p>
        </w:tc>
      </w:tr>
      <w:tr>
        <w:tc>
          <w:tcPr>
            <w:tcW w:type="dxa" w:w="8280"/>
            <w:vAlign w:val="center"/>
            <w:tcMar>
              <w:top w:w="70" w:type="dxa"/>
              <w:bottom w:w="70" w:type="dxa"/>
              <w:start w:w="120" w:type="dxa"/>
              <w:end w:w="120" w:type="dxa"/>
            </w:tcMar>
          </w:tcPr>
          <w:p>
            <w:pPr>
              <w:spacing w:after="0" w:line="240" w:lineRule="auto"/>
              <w:jc w:val="left"/>
            </w:pPr>
            <w:r>
              <w:rPr>
                <w:rFonts w:ascii="Calibri" w:hAnsi="Calibri"/>
                <w:color w:val="1F2933"/>
                <w:sz w:val="14"/>
              </w:rPr>
              <w:t>First crypto return is missing within ticker</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4"/>
              </w:rPr>
              <w:t>Yes</w:t>
            </w:r>
          </w:p>
        </w:tc>
      </w:tr>
      <w:tr>
        <w:tc>
          <w:tcPr>
            <w:tcW w:type="dxa" w:w="8280"/>
            <w:vAlign w:val="center"/>
            <w:shd w:fill="F7FAFC"/>
            <w:tcMar>
              <w:top w:w="70" w:type="dxa"/>
              <w:bottom w:w="70" w:type="dxa"/>
              <w:start w:w="120" w:type="dxa"/>
              <w:end w:w="120" w:type="dxa"/>
            </w:tcMar>
          </w:tcPr>
          <w:p>
            <w:pPr>
              <w:spacing w:after="0" w:line="240" w:lineRule="auto"/>
              <w:jc w:val="left"/>
            </w:pPr>
            <w:r>
              <w:rPr>
                <w:rFonts w:ascii="Calibri" w:hAnsi="Calibri"/>
                <w:color w:val="1F2933"/>
                <w:sz w:val="14"/>
              </w:rPr>
              <w:t>Headline mapping never moves backward</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Yes</w:t>
            </w:r>
          </w:p>
        </w:tc>
      </w:tr>
      <w:tr>
        <w:tc>
          <w:tcPr>
            <w:tcW w:type="dxa" w:w="8280"/>
            <w:vAlign w:val="center"/>
            <w:tcMar>
              <w:top w:w="70" w:type="dxa"/>
              <w:bottom w:w="70" w:type="dxa"/>
              <w:start w:w="120" w:type="dxa"/>
              <w:end w:w="120" w:type="dxa"/>
            </w:tcMar>
          </w:tcPr>
          <w:p>
            <w:pPr>
              <w:spacing w:after="0" w:line="240" w:lineRule="auto"/>
              <w:jc w:val="left"/>
            </w:pPr>
            <w:r>
              <w:rPr>
                <w:rFonts w:ascii="Calibri" w:hAnsi="Calibri"/>
                <w:color w:val="1F2933"/>
                <w:sz w:val="14"/>
              </w:rPr>
              <w:t>Twelve fund products are present</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4"/>
              </w:rPr>
              <w:t>Yes</w:t>
            </w:r>
          </w:p>
        </w:tc>
      </w:tr>
      <w:tr>
        <w:tc>
          <w:tcPr>
            <w:tcW w:type="dxa" w:w="8280"/>
            <w:vAlign w:val="center"/>
            <w:shd w:fill="F7FAFC"/>
            <w:tcMar>
              <w:top w:w="70" w:type="dxa"/>
              <w:bottom w:w="70" w:type="dxa"/>
              <w:start w:w="120" w:type="dxa"/>
              <w:end w:w="120" w:type="dxa"/>
            </w:tcMar>
          </w:tcPr>
          <w:p>
            <w:pPr>
              <w:spacing w:after="0" w:line="240" w:lineRule="auto"/>
              <w:jc w:val="left"/>
            </w:pPr>
            <w:r>
              <w:rPr>
                <w:rFonts w:ascii="Calibri" w:hAnsi="Calibri"/>
                <w:color w:val="1F2933"/>
                <w:sz w:val="14"/>
              </w:rPr>
              <w:t>Three fund families are present</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Yes</w:t>
            </w:r>
          </w:p>
        </w:tc>
      </w:tr>
      <w:tr>
        <w:tc>
          <w:tcPr>
            <w:tcW w:type="dxa" w:w="8280"/>
            <w:vAlign w:val="center"/>
            <w:tcMar>
              <w:top w:w="70" w:type="dxa"/>
              <w:bottom w:w="70" w:type="dxa"/>
              <w:start w:w="120" w:type="dxa"/>
              <w:end w:w="120" w:type="dxa"/>
            </w:tcMar>
          </w:tcPr>
          <w:p>
            <w:pPr>
              <w:spacing w:after="0" w:line="240" w:lineRule="auto"/>
              <w:jc w:val="left"/>
            </w:pPr>
            <w:r>
              <w:rPr>
                <w:rFonts w:ascii="Calibri" w:hAnsi="Calibri"/>
                <w:color w:val="1F2933"/>
                <w:sz w:val="14"/>
              </w:rPr>
              <w:t>Four methods per family are present</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4"/>
              </w:rPr>
              <w:t>Yes</w:t>
            </w:r>
          </w:p>
        </w:tc>
      </w:tr>
      <w:tr>
        <w:tc>
          <w:tcPr>
            <w:tcW w:type="dxa" w:w="8280"/>
            <w:vAlign w:val="center"/>
            <w:shd w:fill="F7FAFC"/>
            <w:tcMar>
              <w:top w:w="70" w:type="dxa"/>
              <w:bottom w:w="70" w:type="dxa"/>
              <w:start w:w="120" w:type="dxa"/>
              <w:end w:w="120" w:type="dxa"/>
            </w:tcMar>
          </w:tcPr>
          <w:p>
            <w:pPr>
              <w:spacing w:after="0" w:line="240" w:lineRule="auto"/>
              <w:jc w:val="left"/>
            </w:pPr>
            <w:r>
              <w:rPr>
                <w:rFonts w:ascii="Calibri" w:hAnsi="Calibri"/>
                <w:color w:val="1F2933"/>
                <w:sz w:val="14"/>
              </w:rPr>
              <w:t>Fund weights sum to one</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Yes</w:t>
            </w:r>
          </w:p>
        </w:tc>
      </w:tr>
      <w:tr>
        <w:tc>
          <w:tcPr>
            <w:tcW w:type="dxa" w:w="8280"/>
            <w:vAlign w:val="center"/>
            <w:tcMar>
              <w:top w:w="70" w:type="dxa"/>
              <w:bottom w:w="70" w:type="dxa"/>
              <w:start w:w="120" w:type="dxa"/>
              <w:end w:w="120" w:type="dxa"/>
            </w:tcMar>
          </w:tcPr>
          <w:p>
            <w:pPr>
              <w:spacing w:after="0" w:line="240" w:lineRule="auto"/>
              <w:jc w:val="left"/>
            </w:pPr>
            <w:r>
              <w:rPr>
                <w:rFonts w:ascii="Calibri" w:hAnsi="Calibri"/>
                <w:color w:val="1F2933"/>
                <w:sz w:val="14"/>
              </w:rPr>
              <w:t>Fund weights are long-only</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4"/>
              </w:rPr>
              <w:t>Yes</w:t>
            </w:r>
          </w:p>
        </w:tc>
      </w:tr>
      <w:tr>
        <w:tc>
          <w:tcPr>
            <w:tcW w:type="dxa" w:w="8280"/>
            <w:vAlign w:val="center"/>
            <w:shd w:fill="F7FAFC"/>
            <w:tcMar>
              <w:top w:w="70" w:type="dxa"/>
              <w:bottom w:w="70" w:type="dxa"/>
              <w:start w:w="120" w:type="dxa"/>
              <w:end w:w="120" w:type="dxa"/>
            </w:tcMar>
          </w:tcPr>
          <w:p>
            <w:pPr>
              <w:spacing w:after="0" w:line="240" w:lineRule="auto"/>
              <w:jc w:val="left"/>
            </w:pPr>
            <w:r>
              <w:rPr>
                <w:rFonts w:ascii="Calibri" w:hAnsi="Calibri"/>
                <w:color w:val="1F2933"/>
                <w:sz w:val="14"/>
              </w:rPr>
              <w:t>Every estimation sample ends before its rebalance</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Yes</w:t>
            </w:r>
          </w:p>
        </w:tc>
      </w:tr>
      <w:tr>
        <w:tc>
          <w:tcPr>
            <w:tcW w:type="dxa" w:w="8280"/>
            <w:vAlign w:val="center"/>
            <w:tcMar>
              <w:top w:w="70" w:type="dxa"/>
              <w:bottom w:w="70" w:type="dxa"/>
              <w:start w:w="120" w:type="dxa"/>
              <w:end w:w="120" w:type="dxa"/>
            </w:tcMar>
          </w:tcPr>
          <w:p>
            <w:pPr>
              <w:spacing w:after="0" w:line="240" w:lineRule="auto"/>
              <w:jc w:val="left"/>
            </w:pPr>
            <w:r>
              <w:rPr>
                <w:rFonts w:ascii="Calibri" w:hAnsi="Calibri"/>
                <w:color w:val="1F2933"/>
                <w:sz w:val="14"/>
              </w:rPr>
              <w:t>Portfolio methods produce distinct latest weights</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4"/>
              </w:rPr>
              <w:t>Yes</w:t>
            </w:r>
          </w:p>
        </w:tc>
      </w:tr>
      <w:tr>
        <w:tc>
          <w:tcPr>
            <w:tcW w:type="dxa" w:w="8280"/>
            <w:vAlign w:val="center"/>
            <w:shd w:fill="F7FAFC"/>
            <w:tcMar>
              <w:top w:w="70" w:type="dxa"/>
              <w:bottom w:w="70" w:type="dxa"/>
              <w:start w:w="120" w:type="dxa"/>
              <w:end w:w="120" w:type="dxa"/>
            </w:tcMar>
          </w:tcPr>
          <w:p>
            <w:pPr>
              <w:spacing w:after="0" w:line="240" w:lineRule="auto"/>
              <w:jc w:val="left"/>
            </w:pPr>
            <w:r>
              <w:rPr>
                <w:rFonts w:ascii="Calibri" w:hAnsi="Calibri"/>
                <w:color w:val="1F2933"/>
                <w:sz w:val="14"/>
              </w:rPr>
              <w:t>Solver success rate is at least 95%</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Yes</w:t>
            </w:r>
          </w:p>
        </w:tc>
      </w:tr>
      <w:tr>
        <w:tc>
          <w:tcPr>
            <w:tcW w:type="dxa" w:w="8280"/>
            <w:vAlign w:val="center"/>
            <w:tcMar>
              <w:top w:w="70" w:type="dxa"/>
              <w:bottom w:w="70" w:type="dxa"/>
              <w:start w:w="120" w:type="dxa"/>
              <w:end w:w="120" w:type="dxa"/>
            </w:tcMar>
          </w:tcPr>
          <w:p>
            <w:pPr>
              <w:spacing w:after="0" w:line="240" w:lineRule="auto"/>
              <w:jc w:val="left"/>
            </w:pPr>
            <w:r>
              <w:rPr>
                <w:rFonts w:ascii="Calibri" w:hAnsi="Calibri"/>
                <w:color w:val="1F2933"/>
                <w:sz w:val="14"/>
              </w:rPr>
              <w:t>Ten sector sentiment indices are present</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4"/>
              </w:rPr>
              <w:t>Yes</w:t>
            </w:r>
          </w:p>
        </w:tc>
      </w:tr>
      <w:tr>
        <w:tc>
          <w:tcPr>
            <w:tcW w:type="dxa" w:w="8280"/>
            <w:vAlign w:val="center"/>
            <w:shd w:fill="F7FAFC"/>
            <w:tcMar>
              <w:top w:w="70" w:type="dxa"/>
              <w:bottom w:w="70" w:type="dxa"/>
              <w:start w:w="120" w:type="dxa"/>
              <w:end w:w="120" w:type="dxa"/>
            </w:tcMar>
          </w:tcPr>
          <w:p>
            <w:pPr>
              <w:spacing w:after="0" w:line="240" w:lineRule="auto"/>
              <w:jc w:val="left"/>
            </w:pPr>
            <w:r>
              <w:rPr>
                <w:rFonts w:ascii="Calibri" w:hAnsi="Calibri"/>
                <w:color w:val="1F2933"/>
                <w:sz w:val="14"/>
              </w:rPr>
              <w:t>Sentiment scores remain inside minus one to one</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Yes</w:t>
            </w:r>
          </w:p>
        </w:tc>
      </w:tr>
      <w:tr>
        <w:tc>
          <w:tcPr>
            <w:tcW w:type="dxa" w:w="8280"/>
            <w:vAlign w:val="center"/>
            <w:tcMar>
              <w:top w:w="70" w:type="dxa"/>
              <w:bottom w:w="70" w:type="dxa"/>
              <w:start w:w="120" w:type="dxa"/>
              <w:end w:w="120" w:type="dxa"/>
            </w:tcMar>
          </w:tcPr>
          <w:p>
            <w:pPr>
              <w:spacing w:after="0" w:line="240" w:lineRule="auto"/>
              <w:jc w:val="left"/>
            </w:pPr>
            <w:r>
              <w:rPr>
                <w:rFonts w:ascii="Calibri" w:hAnsi="Calibri"/>
                <w:color w:val="1F2933"/>
                <w:sz w:val="14"/>
              </w:rPr>
              <w:t>Ticker signal dates cover the usable equity-return calendar</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4"/>
              </w:rPr>
              <w:t>Yes</w:t>
            </w:r>
          </w:p>
        </w:tc>
      </w:tr>
      <w:tr>
        <w:tc>
          <w:tcPr>
            <w:tcW w:type="dxa" w:w="8280"/>
            <w:vAlign w:val="center"/>
            <w:shd w:fill="F7FAFC"/>
            <w:tcMar>
              <w:top w:w="70" w:type="dxa"/>
              <w:bottom w:w="70" w:type="dxa"/>
              <w:start w:w="120" w:type="dxa"/>
              <w:end w:w="120" w:type="dxa"/>
            </w:tcMar>
          </w:tcPr>
          <w:p>
            <w:pPr>
              <w:spacing w:after="0" w:line="240" w:lineRule="auto"/>
              <w:jc w:val="left"/>
            </w:pPr>
            <w:r>
              <w:rPr>
                <w:rFonts w:ascii="Calibri" w:hAnsi="Calibri"/>
                <w:color w:val="1F2933"/>
                <w:sz w:val="14"/>
              </w:rPr>
              <w:t>Fusion weights sum to one</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Yes</w:t>
            </w:r>
          </w:p>
        </w:tc>
      </w:tr>
      <w:tr>
        <w:tc>
          <w:tcPr>
            <w:tcW w:type="dxa" w:w="8280"/>
            <w:vAlign w:val="center"/>
            <w:tcMar>
              <w:top w:w="70" w:type="dxa"/>
              <w:bottom w:w="70" w:type="dxa"/>
              <w:start w:w="120" w:type="dxa"/>
              <w:end w:w="120" w:type="dxa"/>
            </w:tcMar>
          </w:tcPr>
          <w:p>
            <w:pPr>
              <w:spacing w:after="0" w:line="240" w:lineRule="auto"/>
              <w:jc w:val="left"/>
            </w:pPr>
            <w:r>
              <w:rPr>
                <w:rFonts w:ascii="Calibri" w:hAnsi="Calibri"/>
                <w:color w:val="1F2933"/>
                <w:sz w:val="14"/>
              </w:rPr>
              <w:t>Combined capital weights sum to one</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4"/>
              </w:rPr>
              <w:t>Yes</w:t>
            </w:r>
          </w:p>
        </w:tc>
      </w:tr>
      <w:tr>
        <w:tc>
          <w:tcPr>
            <w:tcW w:type="dxa" w:w="8280"/>
            <w:vAlign w:val="center"/>
            <w:shd w:fill="F7FAFC"/>
            <w:tcMar>
              <w:top w:w="70" w:type="dxa"/>
              <w:bottom w:w="70" w:type="dxa"/>
              <w:start w:w="120" w:type="dxa"/>
              <w:end w:w="120" w:type="dxa"/>
            </w:tcMar>
          </w:tcPr>
          <w:p>
            <w:pPr>
              <w:spacing w:after="0" w:line="240" w:lineRule="auto"/>
              <w:jc w:val="left"/>
            </w:pPr>
            <w:r>
              <w:rPr>
                <w:rFonts w:ascii="Calibri" w:hAnsi="Calibri"/>
                <w:color w:val="1F2933"/>
                <w:sz w:val="14"/>
              </w:rPr>
              <w:t>Combined covariance risk contributions sum to one</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Yes</w:t>
            </w:r>
          </w:p>
        </w:tc>
      </w:tr>
      <w:tr>
        <w:tc>
          <w:tcPr>
            <w:tcW w:type="dxa" w:w="8280"/>
            <w:vAlign w:val="center"/>
            <w:tcMar>
              <w:top w:w="70" w:type="dxa"/>
              <w:bottom w:w="70" w:type="dxa"/>
              <w:start w:w="120" w:type="dxa"/>
              <w:end w:w="120" w:type="dxa"/>
            </w:tcMar>
          </w:tcPr>
          <w:p>
            <w:pPr>
              <w:spacing w:after="0" w:line="240" w:lineRule="auto"/>
              <w:jc w:val="left"/>
            </w:pPr>
            <w:r>
              <w:rPr>
                <w:rFonts w:ascii="Calibri" w:hAnsi="Calibri"/>
                <w:color w:val="1F2933"/>
                <w:sz w:val="14"/>
              </w:rPr>
              <w:t>Sentiment prediction tests cover one and five trading days</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4"/>
              </w:rPr>
              <w:t>Yes</w:t>
            </w:r>
          </w:p>
        </w:tc>
      </w:tr>
      <w:tr>
        <w:tc>
          <w:tcPr>
            <w:tcW w:type="dxa" w:w="8280"/>
            <w:vAlign w:val="center"/>
            <w:shd w:fill="F7FAFC"/>
            <w:tcMar>
              <w:top w:w="70" w:type="dxa"/>
              <w:bottom w:w="70" w:type="dxa"/>
              <w:start w:w="120" w:type="dxa"/>
              <w:end w:w="120" w:type="dxa"/>
            </w:tcMar>
          </w:tcPr>
          <w:p>
            <w:pPr>
              <w:spacing w:after="0" w:line="240" w:lineRule="auto"/>
              <w:jc w:val="left"/>
            </w:pPr>
            <w:r>
              <w:rPr>
                <w:rFonts w:ascii="Calibri" w:hAnsi="Calibri"/>
                <w:color w:val="1F2933"/>
                <w:sz w:val="14"/>
              </w:rPr>
              <w:t>Annual fund results cover every fund in 2021 through 2023</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Yes</w:t>
            </w:r>
          </w:p>
        </w:tc>
      </w:tr>
      <w:tr>
        <w:tc>
          <w:tcPr>
            <w:tcW w:type="dxa" w:w="8280"/>
            <w:vAlign w:val="center"/>
            <w:tcMar>
              <w:top w:w="70" w:type="dxa"/>
              <w:bottom w:w="70" w:type="dxa"/>
              <w:start w:w="120" w:type="dxa"/>
              <w:end w:w="120" w:type="dxa"/>
            </w:tcMar>
          </w:tcPr>
          <w:p>
            <w:pPr>
              <w:spacing w:after="0" w:line="240" w:lineRule="auto"/>
              <w:jc w:val="left"/>
            </w:pPr>
            <w:r>
              <w:rPr>
                <w:rFonts w:ascii="Calibri" w:hAnsi="Calibri"/>
                <w:color w:val="1F2933"/>
                <w:sz w:val="14"/>
              </w:rPr>
              <w:t>Fusion robustness includes base case and two prespecified alternatives</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4"/>
              </w:rPr>
              <w:t>Yes</w:t>
            </w:r>
          </w:p>
        </w:tc>
      </w:tr>
    </w:tbl>
    <w:p>
      <w:pPr>
        <w:spacing w:after="40"/>
      </w:pPr>
    </w:p>
    <w:p>
      <w:pPr>
        <w:pStyle w:val="Caption"/>
      </w:pPr>
      <w:r>
        <w:rPr>
          <w:rFonts w:ascii="Calibri" w:hAnsi="Calibri"/>
          <w:i/>
          <w:color w:val="64748B"/>
          <w:sz w:val="15"/>
        </w:rPr>
        <w:t xml:space="preserve">Table </w:t>
      </w:r>
      <w:bookmarkStart w:id="34" w:name="_RefTblIntegrity"/>
      <w:r>
        <w:rPr>
          <w:rFonts w:ascii="Calibri" w:hAnsi="Calibri"/>
          <w:i/>
          <w:color w:val="64748B"/>
          <w:sz w:val="15"/>
        </w:rPr>
        <w:fldChar w:fldCharType="begin"/>
      </w:r>
      <w:r>
        <w:rPr>
          <w:rFonts w:ascii="Calibri" w:hAnsi="Calibri"/>
          <w:i/>
          <w:color w:val="64748B"/>
          <w:sz w:val="15"/>
        </w:rPr>
        <w:instrText xml:space="preserve"> SEQ Table \* ARABIC </w:instrText>
      </w:r>
      <w:r>
        <w:rPr>
          <w:rFonts w:ascii="Calibri" w:hAnsi="Calibri"/>
          <w:i/>
          <w:color w:val="64748B"/>
          <w:sz w:val="15"/>
        </w:rPr>
        <w:fldChar w:fldCharType="separate"/>
      </w:r>
      <w:r>
        <w:rPr>
          <w:rFonts w:ascii="Calibri" w:hAnsi="Calibri"/>
          <w:i/>
          <w:color w:val="64748B"/>
          <w:sz w:val="15"/>
        </w:rPr>
        <w:t>9</w:t>
      </w:r>
      <w:r>
        <w:rPr>
          <w:rFonts w:ascii="Calibri" w:hAnsi="Calibri"/>
          <w:i/>
          <w:color w:val="64748B"/>
          <w:sz w:val="15"/>
        </w:rPr>
        <w:fldChar w:fldCharType="end"/>
      </w:r>
      <w:bookmarkEnd w:id="34"/>
      <w:r>
        <w:rPr>
          <w:rFonts w:ascii="Calibri" w:hAnsi="Calibri"/>
          <w:i/>
          <w:color w:val="64748B"/>
          <w:sz w:val="15"/>
        </w:rPr>
        <w:t>. Retained source-integrity checks after the mandatory sample cap and exact-key deduplication. Source: FINS5545 data and author calculations.</w:t>
      </w:r>
    </w:p>
    <w:tbl>
      <w:tblPr>
        <w:tblStyle w:val="TableGrid"/>
        <w:tblW w:type="dxa" w:w="9720"/>
        <w:tblLayout w:type="fixed"/>
        <w:tblLook w:firstColumn="1" w:firstRow="1" w:lastColumn="0" w:lastRow="0" w:noHBand="0" w:noVBand="1" w:val="04A0"/>
        <w:jc w:val="left"/>
        <w:tblInd w:type="dxa" w:w="120"/>
      </w:tblPr>
      <w:tblGrid>
        <w:gridCol w:w="3528"/>
        <w:gridCol w:w="1224"/>
        <w:gridCol w:w="4968"/>
      </w:tblGrid>
      <w:tr>
        <w:trPr>
          <w:tblHeader w:val="true"/>
        </w:trPr>
        <w:tc>
          <w:tcPr>
            <w:tcW w:type="dxa" w:w="3528"/>
            <w:tcMar>
              <w:top w:w="70" w:type="dxa"/>
              <w:bottom w:w="70" w:type="dxa"/>
              <w:start w:w="120" w:type="dxa"/>
              <w:end w:w="120" w:type="dxa"/>
            </w:tcMar>
            <w:vAlign w:val="center"/>
            <w:shd w:fill="16324F"/>
          </w:tcPr>
          <w:p>
            <w:pPr>
              <w:spacing w:after="0"/>
              <w:jc w:val="center"/>
            </w:pPr>
            <w:r>
              <w:rPr>
                <w:rFonts w:ascii="Calibri" w:hAnsi="Calibri"/>
                <w:b/>
                <w:color w:val="FFFFFF"/>
                <w:sz w:val="13"/>
              </w:rPr>
              <w:t>Check</w:t>
            </w:r>
          </w:p>
        </w:tc>
        <w:tc>
          <w:tcPr>
            <w:tcW w:type="dxa" w:w="1224"/>
            <w:tcMar>
              <w:top w:w="70" w:type="dxa"/>
              <w:bottom w:w="70" w:type="dxa"/>
              <w:start w:w="120" w:type="dxa"/>
              <w:end w:w="120" w:type="dxa"/>
            </w:tcMar>
            <w:vAlign w:val="center"/>
            <w:shd w:fill="16324F"/>
          </w:tcPr>
          <w:p>
            <w:pPr>
              <w:spacing w:after="0"/>
              <w:jc w:val="center"/>
            </w:pPr>
            <w:r>
              <w:rPr>
                <w:rFonts w:ascii="Calibri" w:hAnsi="Calibri"/>
                <w:b/>
                <w:color w:val="FFFFFF"/>
                <w:sz w:val="13"/>
              </w:rPr>
              <w:t>Count</w:t>
            </w:r>
          </w:p>
        </w:tc>
        <w:tc>
          <w:tcPr>
            <w:tcW w:type="dxa" w:w="4968"/>
            <w:tcMar>
              <w:top w:w="70" w:type="dxa"/>
              <w:bottom w:w="70" w:type="dxa"/>
              <w:start w:w="120" w:type="dxa"/>
              <w:end w:w="120" w:type="dxa"/>
            </w:tcMar>
            <w:vAlign w:val="center"/>
            <w:shd w:fill="16324F"/>
          </w:tcPr>
          <w:p>
            <w:pPr>
              <w:spacing w:after="0"/>
              <w:jc w:val="center"/>
            </w:pPr>
            <w:r>
              <w:rPr>
                <w:rFonts w:ascii="Calibri" w:hAnsi="Calibri"/>
                <w:b/>
                <w:color w:val="FFFFFF"/>
                <w:sz w:val="13"/>
              </w:rPr>
              <w:t>Treatment</w:t>
            </w:r>
          </w:p>
        </w:tc>
      </w:tr>
      <w:tr>
        <w:tc>
          <w:tcPr>
            <w:tcW w:type="dxa" w:w="3528"/>
            <w:vAlign w:val="center"/>
            <w:tcMar>
              <w:top w:w="70" w:type="dxa"/>
              <w:bottom w:w="70" w:type="dxa"/>
              <w:start w:w="120" w:type="dxa"/>
              <w:end w:w="120" w:type="dxa"/>
            </w:tcMar>
          </w:tcPr>
          <w:p>
            <w:pPr>
              <w:spacing w:after="0" w:line="240" w:lineRule="auto"/>
              <w:jc w:val="left"/>
            </w:pPr>
            <w:r>
              <w:rPr>
                <w:rFonts w:ascii="Calibri" w:hAnsi="Calibri"/>
                <w:color w:val="1F2933"/>
                <w:sz w:val="13"/>
              </w:rPr>
              <w:t>Equity rows</w:t>
            </w:r>
          </w:p>
        </w:tc>
        <w:tc>
          <w:tcPr>
            <w:tcW w:type="dxa" w:w="1224"/>
            <w:vAlign w:val="center"/>
            <w:tcMar>
              <w:top w:w="70" w:type="dxa"/>
              <w:bottom w:w="70" w:type="dxa"/>
              <w:start w:w="120" w:type="dxa"/>
              <w:end w:w="120" w:type="dxa"/>
            </w:tcMar>
          </w:tcPr>
          <w:p>
            <w:pPr>
              <w:spacing w:after="0" w:line="240" w:lineRule="auto"/>
              <w:jc w:val="center"/>
            </w:pPr>
            <w:r>
              <w:rPr>
                <w:rFonts w:ascii="Calibri" w:hAnsi="Calibri"/>
                <w:color w:val="1F2933"/>
                <w:sz w:val="13"/>
              </w:rPr>
              <w:t>50,300</w:t>
            </w:r>
          </w:p>
        </w:tc>
        <w:tc>
          <w:tcPr>
            <w:tcW w:type="dxa" w:w="4968"/>
            <w:vAlign w:val="center"/>
            <w:tcMar>
              <w:top w:w="70" w:type="dxa"/>
              <w:bottom w:w="70" w:type="dxa"/>
              <w:start w:w="120" w:type="dxa"/>
              <w:end w:w="120" w:type="dxa"/>
            </w:tcMar>
          </w:tcPr>
          <w:p>
            <w:pPr>
              <w:spacing w:after="0" w:line="240" w:lineRule="auto"/>
              <w:jc w:val="center"/>
            </w:pPr>
            <w:r>
              <w:rPr>
                <w:rFonts w:ascii="Calibri" w:hAnsi="Calibri"/>
                <w:color w:val="1F2933"/>
                <w:sz w:val="13"/>
              </w:rPr>
              <w:t>retained after 2023 cutoff</w:t>
            </w:r>
          </w:p>
        </w:tc>
      </w:tr>
      <w:tr>
        <w:tc>
          <w:tcPr>
            <w:tcW w:type="dxa" w:w="3528"/>
            <w:vAlign w:val="center"/>
            <w:shd w:fill="F7FAFC"/>
            <w:tcMar>
              <w:top w:w="70" w:type="dxa"/>
              <w:bottom w:w="70" w:type="dxa"/>
              <w:start w:w="120" w:type="dxa"/>
              <w:end w:w="120" w:type="dxa"/>
            </w:tcMar>
          </w:tcPr>
          <w:p>
            <w:pPr>
              <w:spacing w:after="0" w:line="240" w:lineRule="auto"/>
              <w:jc w:val="left"/>
            </w:pPr>
            <w:r>
              <w:rPr>
                <w:rFonts w:ascii="Calibri" w:hAnsi="Calibri"/>
                <w:color w:val="1F2933"/>
                <w:sz w:val="13"/>
              </w:rPr>
              <w:t>Crypto rows</w:t>
            </w:r>
          </w:p>
        </w:tc>
        <w:tc>
          <w:tcPr>
            <w:tcW w:type="dxa" w:w="1224"/>
            <w:vAlign w:val="center"/>
            <w:shd w:fill="F7FAFC"/>
            <w:tcMar>
              <w:top w:w="70" w:type="dxa"/>
              <w:bottom w:w="70" w:type="dxa"/>
              <w:start w:w="120" w:type="dxa"/>
              <w:end w:w="120" w:type="dxa"/>
            </w:tcMar>
          </w:tcPr>
          <w:p>
            <w:pPr>
              <w:spacing w:after="0" w:line="240" w:lineRule="auto"/>
              <w:jc w:val="center"/>
            </w:pPr>
            <w:r>
              <w:rPr>
                <w:rFonts w:ascii="Calibri" w:hAnsi="Calibri"/>
                <w:color w:val="1F2933"/>
                <w:sz w:val="13"/>
              </w:rPr>
              <w:t>14,610</w:t>
            </w:r>
          </w:p>
        </w:tc>
        <w:tc>
          <w:tcPr>
            <w:tcW w:type="dxa" w:w="4968"/>
            <w:vAlign w:val="center"/>
            <w:shd w:fill="F7FAFC"/>
            <w:tcMar>
              <w:top w:w="70" w:type="dxa"/>
              <w:bottom w:w="70" w:type="dxa"/>
              <w:start w:w="120" w:type="dxa"/>
              <w:end w:w="120" w:type="dxa"/>
            </w:tcMar>
          </w:tcPr>
          <w:p>
            <w:pPr>
              <w:spacing w:after="0" w:line="240" w:lineRule="auto"/>
              <w:jc w:val="center"/>
            </w:pPr>
            <w:r>
              <w:rPr>
                <w:rFonts w:ascii="Calibri" w:hAnsi="Calibri"/>
                <w:color w:val="1F2933"/>
                <w:sz w:val="13"/>
              </w:rPr>
              <w:t>10 rows after 2023 removed</w:t>
            </w:r>
          </w:p>
        </w:tc>
      </w:tr>
      <w:tr>
        <w:tc>
          <w:tcPr>
            <w:tcW w:type="dxa" w:w="3528"/>
            <w:vAlign w:val="center"/>
            <w:tcMar>
              <w:top w:w="70" w:type="dxa"/>
              <w:bottom w:w="70" w:type="dxa"/>
              <w:start w:w="120" w:type="dxa"/>
              <w:end w:w="120" w:type="dxa"/>
            </w:tcMar>
          </w:tcPr>
          <w:p>
            <w:pPr>
              <w:spacing w:after="0" w:line="240" w:lineRule="auto"/>
              <w:jc w:val="left"/>
            </w:pPr>
            <w:r>
              <w:rPr>
                <w:rFonts w:ascii="Calibri" w:hAnsi="Calibri"/>
                <w:color w:val="1F2933"/>
                <w:sz w:val="13"/>
              </w:rPr>
              <w:t>Unique news headlines</w:t>
            </w:r>
          </w:p>
        </w:tc>
        <w:tc>
          <w:tcPr>
            <w:tcW w:type="dxa" w:w="1224"/>
            <w:vAlign w:val="center"/>
            <w:tcMar>
              <w:top w:w="70" w:type="dxa"/>
              <w:bottom w:w="70" w:type="dxa"/>
              <w:start w:w="120" w:type="dxa"/>
              <w:end w:w="120" w:type="dxa"/>
            </w:tcMar>
          </w:tcPr>
          <w:p>
            <w:pPr>
              <w:spacing w:after="0" w:line="240" w:lineRule="auto"/>
              <w:jc w:val="center"/>
            </w:pPr>
            <w:r>
              <w:rPr>
                <w:rFonts w:ascii="Calibri" w:hAnsi="Calibri"/>
                <w:color w:val="1F2933"/>
                <w:sz w:val="13"/>
              </w:rPr>
              <w:t>146,836</w:t>
            </w:r>
          </w:p>
        </w:tc>
        <w:tc>
          <w:tcPr>
            <w:tcW w:type="dxa" w:w="4968"/>
            <w:vAlign w:val="center"/>
            <w:tcMar>
              <w:top w:w="70" w:type="dxa"/>
              <w:bottom w:w="70" w:type="dxa"/>
              <w:start w:w="120" w:type="dxa"/>
              <w:end w:w="120" w:type="dxa"/>
            </w:tcMar>
          </w:tcPr>
          <w:p>
            <w:pPr>
              <w:spacing w:after="0" w:line="240" w:lineRule="auto"/>
              <w:jc w:val="center"/>
            </w:pPr>
            <w:r>
              <w:rPr>
                <w:rFonts w:ascii="Calibri" w:hAnsi="Calibri"/>
                <w:color w:val="1F2933"/>
                <w:sz w:val="13"/>
              </w:rPr>
              <w:t>ticker-date-title duplicates removed</w:t>
            </w:r>
          </w:p>
        </w:tc>
      </w:tr>
      <w:tr>
        <w:tc>
          <w:tcPr>
            <w:tcW w:type="dxa" w:w="3528"/>
            <w:vAlign w:val="center"/>
            <w:shd w:fill="F7FAFC"/>
            <w:tcMar>
              <w:top w:w="70" w:type="dxa"/>
              <w:bottom w:w="70" w:type="dxa"/>
              <w:start w:w="120" w:type="dxa"/>
              <w:end w:w="120" w:type="dxa"/>
            </w:tcMar>
          </w:tcPr>
          <w:p>
            <w:pPr>
              <w:spacing w:after="0" w:line="240" w:lineRule="auto"/>
              <w:jc w:val="left"/>
            </w:pPr>
            <w:r>
              <w:rPr>
                <w:rFonts w:ascii="Calibri" w:hAnsi="Calibri"/>
                <w:color w:val="1F2933"/>
                <w:sz w:val="13"/>
              </w:rPr>
              <w:t>Equity duplicate keys</w:t>
            </w:r>
          </w:p>
        </w:tc>
        <w:tc>
          <w:tcPr>
            <w:tcW w:type="dxa" w:w="1224"/>
            <w:vAlign w:val="center"/>
            <w:shd w:fill="F7FAFC"/>
            <w:tcMar>
              <w:top w:w="70" w:type="dxa"/>
              <w:bottom w:w="70" w:type="dxa"/>
              <w:start w:w="120" w:type="dxa"/>
              <w:end w:w="120" w:type="dxa"/>
            </w:tcMar>
          </w:tcPr>
          <w:p>
            <w:pPr>
              <w:spacing w:after="0" w:line="240" w:lineRule="auto"/>
              <w:jc w:val="center"/>
            </w:pPr>
            <w:r>
              <w:rPr>
                <w:rFonts w:ascii="Calibri" w:hAnsi="Calibri"/>
                <w:color w:val="1F2933"/>
                <w:sz w:val="13"/>
              </w:rPr>
              <w:t>0</w:t>
            </w:r>
          </w:p>
        </w:tc>
        <w:tc>
          <w:tcPr>
            <w:tcW w:type="dxa" w:w="4968"/>
            <w:vAlign w:val="center"/>
            <w:shd w:fill="F7FAFC"/>
            <w:tcMar>
              <w:top w:w="70" w:type="dxa"/>
              <w:bottom w:w="70" w:type="dxa"/>
              <w:start w:w="120" w:type="dxa"/>
              <w:end w:w="120" w:type="dxa"/>
            </w:tcMar>
          </w:tcPr>
          <w:p>
            <w:pPr>
              <w:spacing w:after="0" w:line="240" w:lineRule="auto"/>
              <w:jc w:val="center"/>
            </w:pPr>
            <w:r>
              <w:rPr>
                <w:rFonts w:ascii="Calibri" w:hAnsi="Calibri"/>
                <w:color w:val="1F2933"/>
                <w:sz w:val="13"/>
              </w:rPr>
              <w:t>must equal zero</w:t>
            </w:r>
          </w:p>
        </w:tc>
      </w:tr>
      <w:tr>
        <w:tc>
          <w:tcPr>
            <w:tcW w:type="dxa" w:w="3528"/>
            <w:vAlign w:val="center"/>
            <w:tcMar>
              <w:top w:w="70" w:type="dxa"/>
              <w:bottom w:w="70" w:type="dxa"/>
              <w:start w:w="120" w:type="dxa"/>
              <w:end w:w="120" w:type="dxa"/>
            </w:tcMar>
          </w:tcPr>
          <w:p>
            <w:pPr>
              <w:spacing w:after="0" w:line="240" w:lineRule="auto"/>
              <w:jc w:val="left"/>
            </w:pPr>
            <w:r>
              <w:rPr>
                <w:rFonts w:ascii="Calibri" w:hAnsi="Calibri"/>
                <w:color w:val="1F2933"/>
                <w:sz w:val="13"/>
              </w:rPr>
              <w:t>Crypto duplicate keys</w:t>
            </w:r>
          </w:p>
        </w:tc>
        <w:tc>
          <w:tcPr>
            <w:tcW w:type="dxa" w:w="1224"/>
            <w:vAlign w:val="center"/>
            <w:tcMar>
              <w:top w:w="70" w:type="dxa"/>
              <w:bottom w:w="70" w:type="dxa"/>
              <w:start w:w="120" w:type="dxa"/>
              <w:end w:w="120" w:type="dxa"/>
            </w:tcMar>
          </w:tcPr>
          <w:p>
            <w:pPr>
              <w:spacing w:after="0" w:line="240" w:lineRule="auto"/>
              <w:jc w:val="center"/>
            </w:pPr>
            <w:r>
              <w:rPr>
                <w:rFonts w:ascii="Calibri" w:hAnsi="Calibri"/>
                <w:color w:val="1F2933"/>
                <w:sz w:val="13"/>
              </w:rPr>
              <w:t>0</w:t>
            </w:r>
          </w:p>
        </w:tc>
        <w:tc>
          <w:tcPr>
            <w:tcW w:type="dxa" w:w="4968"/>
            <w:vAlign w:val="center"/>
            <w:tcMar>
              <w:top w:w="70" w:type="dxa"/>
              <w:bottom w:w="70" w:type="dxa"/>
              <w:start w:w="120" w:type="dxa"/>
              <w:end w:w="120" w:type="dxa"/>
            </w:tcMar>
          </w:tcPr>
          <w:p>
            <w:pPr>
              <w:spacing w:after="0" w:line="240" w:lineRule="auto"/>
              <w:jc w:val="center"/>
            </w:pPr>
            <w:r>
              <w:rPr>
                <w:rFonts w:ascii="Calibri" w:hAnsi="Calibri"/>
                <w:color w:val="1F2933"/>
                <w:sz w:val="13"/>
              </w:rPr>
              <w:t>must equal zero</w:t>
            </w:r>
          </w:p>
        </w:tc>
      </w:tr>
      <w:tr>
        <w:tc>
          <w:tcPr>
            <w:tcW w:type="dxa" w:w="3528"/>
            <w:vAlign w:val="center"/>
            <w:shd w:fill="F7FAFC"/>
            <w:tcMar>
              <w:top w:w="70" w:type="dxa"/>
              <w:bottom w:w="70" w:type="dxa"/>
              <w:start w:w="120" w:type="dxa"/>
              <w:end w:w="120" w:type="dxa"/>
            </w:tcMar>
          </w:tcPr>
          <w:p>
            <w:pPr>
              <w:spacing w:after="0" w:line="240" w:lineRule="auto"/>
              <w:jc w:val="left"/>
            </w:pPr>
            <w:r>
              <w:rPr>
                <w:rFonts w:ascii="Calibri" w:hAnsi="Calibri"/>
                <w:color w:val="1F2933"/>
                <w:sz w:val="13"/>
              </w:rPr>
              <w:t>News duplicate keys</w:t>
            </w:r>
          </w:p>
        </w:tc>
        <w:tc>
          <w:tcPr>
            <w:tcW w:type="dxa" w:w="1224"/>
            <w:vAlign w:val="center"/>
            <w:shd w:fill="F7FAFC"/>
            <w:tcMar>
              <w:top w:w="70" w:type="dxa"/>
              <w:bottom w:w="70" w:type="dxa"/>
              <w:start w:w="120" w:type="dxa"/>
              <w:end w:w="120" w:type="dxa"/>
            </w:tcMar>
          </w:tcPr>
          <w:p>
            <w:pPr>
              <w:spacing w:after="0" w:line="240" w:lineRule="auto"/>
              <w:jc w:val="center"/>
            </w:pPr>
            <w:r>
              <w:rPr>
                <w:rFonts w:ascii="Calibri" w:hAnsi="Calibri"/>
                <w:color w:val="1F2933"/>
                <w:sz w:val="13"/>
              </w:rPr>
              <w:t>0</w:t>
            </w:r>
          </w:p>
        </w:tc>
        <w:tc>
          <w:tcPr>
            <w:tcW w:type="dxa" w:w="4968"/>
            <w:vAlign w:val="center"/>
            <w:shd w:fill="F7FAFC"/>
            <w:tcMar>
              <w:top w:w="70" w:type="dxa"/>
              <w:bottom w:w="70" w:type="dxa"/>
              <w:start w:w="120" w:type="dxa"/>
              <w:end w:w="120" w:type="dxa"/>
            </w:tcMar>
          </w:tcPr>
          <w:p>
            <w:pPr>
              <w:spacing w:after="0" w:line="240" w:lineRule="auto"/>
              <w:jc w:val="center"/>
            </w:pPr>
            <w:r>
              <w:rPr>
                <w:rFonts w:ascii="Calibri" w:hAnsi="Calibri"/>
                <w:color w:val="1F2933"/>
                <w:sz w:val="13"/>
              </w:rPr>
              <w:t>must equal zero</w:t>
            </w:r>
          </w:p>
        </w:tc>
      </w:tr>
      <w:tr>
        <w:tc>
          <w:tcPr>
            <w:tcW w:type="dxa" w:w="3528"/>
            <w:vAlign w:val="center"/>
            <w:tcMar>
              <w:top w:w="70" w:type="dxa"/>
              <w:bottom w:w="70" w:type="dxa"/>
              <w:start w:w="120" w:type="dxa"/>
              <w:end w:w="120" w:type="dxa"/>
            </w:tcMar>
          </w:tcPr>
          <w:p>
            <w:pPr>
              <w:spacing w:after="0" w:line="240" w:lineRule="auto"/>
              <w:jc w:val="left"/>
            </w:pPr>
            <w:r>
              <w:rPr>
                <w:rFonts w:ascii="Calibri" w:hAnsi="Calibri"/>
                <w:color w:val="1F2933"/>
                <w:sz w:val="13"/>
              </w:rPr>
              <w:t>Nonpositive equity prices</w:t>
            </w:r>
          </w:p>
        </w:tc>
        <w:tc>
          <w:tcPr>
            <w:tcW w:type="dxa" w:w="1224"/>
            <w:vAlign w:val="center"/>
            <w:tcMar>
              <w:top w:w="70" w:type="dxa"/>
              <w:bottom w:w="70" w:type="dxa"/>
              <w:start w:w="120" w:type="dxa"/>
              <w:end w:w="120" w:type="dxa"/>
            </w:tcMar>
          </w:tcPr>
          <w:p>
            <w:pPr>
              <w:spacing w:after="0" w:line="240" w:lineRule="auto"/>
              <w:jc w:val="center"/>
            </w:pPr>
            <w:r>
              <w:rPr>
                <w:rFonts w:ascii="Calibri" w:hAnsi="Calibri"/>
                <w:color w:val="1F2933"/>
                <w:sz w:val="13"/>
              </w:rPr>
              <w:t>0</w:t>
            </w:r>
          </w:p>
        </w:tc>
        <w:tc>
          <w:tcPr>
            <w:tcW w:type="dxa" w:w="4968"/>
            <w:vAlign w:val="center"/>
            <w:tcMar>
              <w:top w:w="70" w:type="dxa"/>
              <w:bottom w:w="70" w:type="dxa"/>
              <w:start w:w="120" w:type="dxa"/>
              <w:end w:w="120" w:type="dxa"/>
            </w:tcMar>
          </w:tcPr>
          <w:p>
            <w:pPr>
              <w:spacing w:after="0" w:line="240" w:lineRule="auto"/>
              <w:jc w:val="center"/>
            </w:pPr>
            <w:r>
              <w:rPr>
                <w:rFonts w:ascii="Calibri" w:hAnsi="Calibri"/>
                <w:color w:val="1F2933"/>
                <w:sz w:val="13"/>
              </w:rPr>
              <w:t>must equal zero</w:t>
            </w:r>
          </w:p>
        </w:tc>
      </w:tr>
      <w:tr>
        <w:tc>
          <w:tcPr>
            <w:tcW w:type="dxa" w:w="3528"/>
            <w:vAlign w:val="center"/>
            <w:shd w:fill="F7FAFC"/>
            <w:tcMar>
              <w:top w:w="70" w:type="dxa"/>
              <w:bottom w:w="70" w:type="dxa"/>
              <w:start w:w="120" w:type="dxa"/>
              <w:end w:w="120" w:type="dxa"/>
            </w:tcMar>
          </w:tcPr>
          <w:p>
            <w:pPr>
              <w:spacing w:after="0" w:line="240" w:lineRule="auto"/>
              <w:jc w:val="left"/>
            </w:pPr>
            <w:r>
              <w:rPr>
                <w:rFonts w:ascii="Calibri" w:hAnsi="Calibri"/>
                <w:color w:val="1F2933"/>
                <w:sz w:val="13"/>
              </w:rPr>
              <w:t>Nonpositive crypto prices</w:t>
            </w:r>
          </w:p>
        </w:tc>
        <w:tc>
          <w:tcPr>
            <w:tcW w:type="dxa" w:w="1224"/>
            <w:vAlign w:val="center"/>
            <w:shd w:fill="F7FAFC"/>
            <w:tcMar>
              <w:top w:w="70" w:type="dxa"/>
              <w:bottom w:w="70" w:type="dxa"/>
              <w:start w:w="120" w:type="dxa"/>
              <w:end w:w="120" w:type="dxa"/>
            </w:tcMar>
          </w:tcPr>
          <w:p>
            <w:pPr>
              <w:spacing w:after="0" w:line="240" w:lineRule="auto"/>
              <w:jc w:val="center"/>
            </w:pPr>
            <w:r>
              <w:rPr>
                <w:rFonts w:ascii="Calibri" w:hAnsi="Calibri"/>
                <w:color w:val="1F2933"/>
                <w:sz w:val="13"/>
              </w:rPr>
              <w:t>0</w:t>
            </w:r>
          </w:p>
        </w:tc>
        <w:tc>
          <w:tcPr>
            <w:tcW w:type="dxa" w:w="4968"/>
            <w:vAlign w:val="center"/>
            <w:shd w:fill="F7FAFC"/>
            <w:tcMar>
              <w:top w:w="70" w:type="dxa"/>
              <w:bottom w:w="70" w:type="dxa"/>
              <w:start w:w="120" w:type="dxa"/>
              <w:end w:w="120" w:type="dxa"/>
            </w:tcMar>
          </w:tcPr>
          <w:p>
            <w:pPr>
              <w:spacing w:after="0" w:line="240" w:lineRule="auto"/>
              <w:jc w:val="center"/>
            </w:pPr>
            <w:r>
              <w:rPr>
                <w:rFonts w:ascii="Calibri" w:hAnsi="Calibri"/>
                <w:color w:val="1F2933"/>
                <w:sz w:val="13"/>
              </w:rPr>
              <w:t>must equal zero</w:t>
            </w:r>
          </w:p>
        </w:tc>
      </w:tr>
      <w:tr>
        <w:tc>
          <w:tcPr>
            <w:tcW w:type="dxa" w:w="3528"/>
            <w:vAlign w:val="center"/>
            <w:tcMar>
              <w:top w:w="70" w:type="dxa"/>
              <w:bottom w:w="70" w:type="dxa"/>
              <w:start w:w="120" w:type="dxa"/>
              <w:end w:w="120" w:type="dxa"/>
            </w:tcMar>
          </w:tcPr>
          <w:p>
            <w:pPr>
              <w:spacing w:after="0" w:line="240" w:lineRule="auto"/>
              <w:jc w:val="left"/>
            </w:pPr>
            <w:r>
              <w:rPr>
                <w:rFonts w:ascii="Calibri" w:hAnsi="Calibri"/>
                <w:color w:val="1F2933"/>
                <w:sz w:val="13"/>
              </w:rPr>
              <w:t>Equity OHLC flags</w:t>
            </w:r>
          </w:p>
        </w:tc>
        <w:tc>
          <w:tcPr>
            <w:tcW w:type="dxa" w:w="1224"/>
            <w:vAlign w:val="center"/>
            <w:tcMar>
              <w:top w:w="70" w:type="dxa"/>
              <w:bottom w:w="70" w:type="dxa"/>
              <w:start w:w="120" w:type="dxa"/>
              <w:end w:w="120" w:type="dxa"/>
            </w:tcMar>
          </w:tcPr>
          <w:p>
            <w:pPr>
              <w:spacing w:after="0" w:line="240" w:lineRule="auto"/>
              <w:jc w:val="center"/>
            </w:pPr>
            <w:r>
              <w:rPr>
                <w:rFonts w:ascii="Calibri" w:hAnsi="Calibri"/>
                <w:color w:val="1F2933"/>
                <w:sz w:val="13"/>
              </w:rPr>
              <w:t>0</w:t>
            </w:r>
          </w:p>
        </w:tc>
        <w:tc>
          <w:tcPr>
            <w:tcW w:type="dxa" w:w="4968"/>
            <w:vAlign w:val="center"/>
            <w:tcMar>
              <w:top w:w="70" w:type="dxa"/>
              <w:bottom w:w="70" w:type="dxa"/>
              <w:start w:w="120" w:type="dxa"/>
              <w:end w:w="120" w:type="dxa"/>
            </w:tcMar>
          </w:tcPr>
          <w:p>
            <w:pPr>
              <w:spacing w:after="0" w:line="240" w:lineRule="auto"/>
              <w:jc w:val="center"/>
            </w:pPr>
            <w:r>
              <w:rPr>
                <w:rFonts w:ascii="Calibri" w:hAnsi="Calibri"/>
                <w:color w:val="1F2933"/>
                <w:sz w:val="13"/>
              </w:rPr>
              <w:t>must equal zero</w:t>
            </w:r>
          </w:p>
        </w:tc>
      </w:tr>
      <w:tr>
        <w:tc>
          <w:tcPr>
            <w:tcW w:type="dxa" w:w="3528"/>
            <w:vAlign w:val="center"/>
            <w:shd w:fill="F7FAFC"/>
            <w:tcMar>
              <w:top w:w="70" w:type="dxa"/>
              <w:bottom w:w="70" w:type="dxa"/>
              <w:start w:w="120" w:type="dxa"/>
              <w:end w:w="120" w:type="dxa"/>
            </w:tcMar>
          </w:tcPr>
          <w:p>
            <w:pPr>
              <w:spacing w:after="0" w:line="240" w:lineRule="auto"/>
              <w:jc w:val="left"/>
            </w:pPr>
            <w:r>
              <w:rPr>
                <w:rFonts w:ascii="Calibri" w:hAnsi="Calibri"/>
                <w:color w:val="1F2933"/>
                <w:sz w:val="13"/>
              </w:rPr>
              <w:t>Crypto OHLC flags</w:t>
            </w:r>
          </w:p>
        </w:tc>
        <w:tc>
          <w:tcPr>
            <w:tcW w:type="dxa" w:w="1224"/>
            <w:vAlign w:val="center"/>
            <w:shd w:fill="F7FAFC"/>
            <w:tcMar>
              <w:top w:w="70" w:type="dxa"/>
              <w:bottom w:w="70" w:type="dxa"/>
              <w:start w:w="120" w:type="dxa"/>
              <w:end w:w="120" w:type="dxa"/>
            </w:tcMar>
          </w:tcPr>
          <w:p>
            <w:pPr>
              <w:spacing w:after="0" w:line="240" w:lineRule="auto"/>
              <w:jc w:val="center"/>
            </w:pPr>
            <w:r>
              <w:rPr>
                <w:rFonts w:ascii="Calibri" w:hAnsi="Calibri"/>
                <w:color w:val="1F2933"/>
                <w:sz w:val="13"/>
              </w:rPr>
              <w:t>0</w:t>
            </w:r>
          </w:p>
        </w:tc>
        <w:tc>
          <w:tcPr>
            <w:tcW w:type="dxa" w:w="4968"/>
            <w:vAlign w:val="center"/>
            <w:shd w:fill="F7FAFC"/>
            <w:tcMar>
              <w:top w:w="70" w:type="dxa"/>
              <w:bottom w:w="70" w:type="dxa"/>
              <w:start w:w="120" w:type="dxa"/>
              <w:end w:w="120" w:type="dxa"/>
            </w:tcMar>
          </w:tcPr>
          <w:p>
            <w:pPr>
              <w:spacing w:after="0" w:line="240" w:lineRule="auto"/>
              <w:jc w:val="center"/>
            </w:pPr>
            <w:r>
              <w:rPr>
                <w:rFonts w:ascii="Calibri" w:hAnsi="Calibri"/>
                <w:color w:val="1F2933"/>
                <w:sz w:val="13"/>
              </w:rPr>
              <w:t>must equal zero</w:t>
            </w:r>
          </w:p>
        </w:tc>
      </w:tr>
      <w:tr>
        <w:tc>
          <w:tcPr>
            <w:tcW w:type="dxa" w:w="3528"/>
            <w:vAlign w:val="center"/>
            <w:tcMar>
              <w:top w:w="70" w:type="dxa"/>
              <w:bottom w:w="70" w:type="dxa"/>
              <w:start w:w="120" w:type="dxa"/>
              <w:end w:w="120" w:type="dxa"/>
            </w:tcMar>
          </w:tcPr>
          <w:p>
            <w:pPr>
              <w:spacing w:after="0" w:line="240" w:lineRule="auto"/>
              <w:jc w:val="left"/>
            </w:pPr>
            <w:r>
              <w:rPr>
                <w:rFonts w:ascii="Calibri" w:hAnsi="Calibri"/>
                <w:color w:val="1F2933"/>
                <w:sz w:val="13"/>
              </w:rPr>
              <w:t>Rows removed after cutoff</w:t>
            </w:r>
          </w:p>
        </w:tc>
        <w:tc>
          <w:tcPr>
            <w:tcW w:type="dxa" w:w="1224"/>
            <w:vAlign w:val="center"/>
            <w:tcMar>
              <w:top w:w="70" w:type="dxa"/>
              <w:bottom w:w="70" w:type="dxa"/>
              <w:start w:w="120" w:type="dxa"/>
              <w:end w:w="120" w:type="dxa"/>
            </w:tcMar>
          </w:tcPr>
          <w:p>
            <w:pPr>
              <w:spacing w:after="0" w:line="240" w:lineRule="auto"/>
              <w:jc w:val="center"/>
            </w:pPr>
            <w:r>
              <w:rPr>
                <w:rFonts w:ascii="Calibri" w:hAnsi="Calibri"/>
                <w:color w:val="1F2933"/>
                <w:sz w:val="13"/>
              </w:rPr>
              <w:t>10</w:t>
            </w:r>
          </w:p>
        </w:tc>
        <w:tc>
          <w:tcPr>
            <w:tcW w:type="dxa" w:w="4968"/>
            <w:vAlign w:val="center"/>
            <w:tcMar>
              <w:top w:w="70" w:type="dxa"/>
              <w:bottom w:w="70" w:type="dxa"/>
              <w:start w:w="120" w:type="dxa"/>
              <w:end w:w="120" w:type="dxa"/>
            </w:tcMar>
          </w:tcPr>
          <w:p>
            <w:pPr>
              <w:spacing w:after="0" w:line="240" w:lineRule="auto"/>
              <w:jc w:val="center"/>
            </w:pPr>
            <w:r>
              <w:rPr>
                <w:rFonts w:ascii="Calibri" w:hAnsi="Calibri"/>
                <w:color w:val="1F2933"/>
                <w:sz w:val="13"/>
              </w:rPr>
              <w:t>mandatory sample cap</w:t>
            </w:r>
          </w:p>
        </w:tc>
      </w:tr>
      <w:tr>
        <w:tc>
          <w:tcPr>
            <w:tcW w:type="dxa" w:w="3528"/>
            <w:vAlign w:val="center"/>
            <w:shd w:fill="F7FAFC"/>
            <w:tcMar>
              <w:top w:w="70" w:type="dxa"/>
              <w:bottom w:w="70" w:type="dxa"/>
              <w:start w:w="120" w:type="dxa"/>
              <w:end w:w="120" w:type="dxa"/>
            </w:tcMar>
          </w:tcPr>
          <w:p>
            <w:pPr>
              <w:spacing w:after="0" w:line="240" w:lineRule="auto"/>
              <w:jc w:val="left"/>
            </w:pPr>
            <w:r>
              <w:rPr>
                <w:rFonts w:ascii="Calibri" w:hAnsi="Calibri"/>
                <w:color w:val="1F2933"/>
                <w:sz w:val="13"/>
              </w:rPr>
              <w:t>News duplicates removed</w:t>
            </w:r>
          </w:p>
        </w:tc>
        <w:tc>
          <w:tcPr>
            <w:tcW w:type="dxa" w:w="1224"/>
            <w:vAlign w:val="center"/>
            <w:shd w:fill="F7FAFC"/>
            <w:tcMar>
              <w:top w:w="70" w:type="dxa"/>
              <w:bottom w:w="70" w:type="dxa"/>
              <w:start w:w="120" w:type="dxa"/>
              <w:end w:w="120" w:type="dxa"/>
            </w:tcMar>
          </w:tcPr>
          <w:p>
            <w:pPr>
              <w:spacing w:after="0" w:line="240" w:lineRule="auto"/>
              <w:jc w:val="center"/>
            </w:pPr>
            <w:r>
              <w:rPr>
                <w:rFonts w:ascii="Calibri" w:hAnsi="Calibri"/>
                <w:color w:val="1F2933"/>
                <w:sz w:val="13"/>
              </w:rPr>
              <w:t>2,847</w:t>
            </w:r>
          </w:p>
        </w:tc>
        <w:tc>
          <w:tcPr>
            <w:tcW w:type="dxa" w:w="4968"/>
            <w:vAlign w:val="center"/>
            <w:shd w:fill="F7FAFC"/>
            <w:tcMar>
              <w:top w:w="70" w:type="dxa"/>
              <w:bottom w:w="70" w:type="dxa"/>
              <w:start w:w="120" w:type="dxa"/>
              <w:end w:w="120" w:type="dxa"/>
            </w:tcMar>
          </w:tcPr>
          <w:p>
            <w:pPr>
              <w:spacing w:after="0" w:line="240" w:lineRule="auto"/>
              <w:jc w:val="center"/>
            </w:pPr>
            <w:r>
              <w:rPr>
                <w:rFonts w:ascii="Calibri" w:hAnsi="Calibri"/>
                <w:color w:val="1F2933"/>
                <w:sz w:val="13"/>
              </w:rPr>
              <w:t>exact copied headlines only</w:t>
            </w:r>
          </w:p>
        </w:tc>
      </w:tr>
    </w:tbl>
    <w:p>
      <w:pPr>
        <w:spacing w:after="40"/>
      </w:pPr>
    </w:p>
    <w:p>
      <w:r>
        <w:br w:type="page"/>
      </w:r>
    </w:p>
    <w:p>
      <w:pPr>
        <w:pStyle w:val="Heading1"/>
      </w:pPr>
      <w:r>
        <w:t>Appendix D. Annual results</w:t>
      </w:r>
    </w:p>
    <w:p>
      <w:pPr>
        <w:pStyle w:val="Caption"/>
      </w:pPr>
      <w:r>
        <w:rPr>
          <w:rFonts w:ascii="Calibri" w:hAnsi="Calibri"/>
          <w:i/>
          <w:color w:val="64748B"/>
          <w:sz w:val="15"/>
        </w:rPr>
        <w:t xml:space="preserve">Table </w:t>
      </w:r>
      <w:bookmarkStart w:id="35" w:name="_RefTblAnnual"/>
      <w:r>
        <w:rPr>
          <w:rFonts w:ascii="Calibri" w:hAnsi="Calibri"/>
          <w:i/>
          <w:color w:val="64748B"/>
          <w:sz w:val="15"/>
        </w:rPr>
        <w:fldChar w:fldCharType="begin"/>
      </w:r>
      <w:r>
        <w:rPr>
          <w:rFonts w:ascii="Calibri" w:hAnsi="Calibri"/>
          <w:i/>
          <w:color w:val="64748B"/>
          <w:sz w:val="15"/>
        </w:rPr>
        <w:instrText xml:space="preserve"> SEQ Table \* ARABIC </w:instrText>
      </w:r>
      <w:r>
        <w:rPr>
          <w:rFonts w:ascii="Calibri" w:hAnsi="Calibri"/>
          <w:i/>
          <w:color w:val="64748B"/>
          <w:sz w:val="15"/>
        </w:rPr>
        <w:fldChar w:fldCharType="separate"/>
      </w:r>
      <w:r>
        <w:rPr>
          <w:rFonts w:ascii="Calibri" w:hAnsi="Calibri"/>
          <w:i/>
          <w:color w:val="64748B"/>
          <w:sz w:val="15"/>
        </w:rPr>
        <w:t>10</w:t>
      </w:r>
      <w:r>
        <w:rPr>
          <w:rFonts w:ascii="Calibri" w:hAnsi="Calibri"/>
          <w:i/>
          <w:color w:val="64748B"/>
          <w:sz w:val="15"/>
        </w:rPr>
        <w:fldChar w:fldCharType="end"/>
      </w:r>
      <w:bookmarkEnd w:id="35"/>
      <w:r>
        <w:rPr>
          <w:rFonts w:ascii="Calibri" w:hAnsi="Calibri"/>
          <w:i/>
          <w:color w:val="64748B"/>
          <w:sz w:val="15"/>
        </w:rPr>
        <w:t>. Calendar-year total returns after the 5-basis-point trading-cost model and before management fees. Partial-year observations are not present; every fund has a full 2021, 2022, and 2023 live year. Source: author calculations.</w:t>
      </w:r>
    </w:p>
    <w:tbl>
      <w:tblPr>
        <w:tblStyle w:val="TableGrid"/>
        <w:tblW w:type="dxa" w:w="9432"/>
        <w:tblLayout w:type="fixed"/>
        <w:tblLook w:firstColumn="1" w:firstRow="1" w:lastColumn="0" w:lastRow="0" w:noHBand="0" w:noVBand="1" w:val="04A0"/>
        <w:jc w:val="left"/>
        <w:tblInd w:type="dxa" w:w="120"/>
      </w:tblPr>
      <w:tblGrid>
        <w:gridCol w:w="5112"/>
        <w:gridCol w:w="1440"/>
        <w:gridCol w:w="1440"/>
        <w:gridCol w:w="1440"/>
      </w:tblGrid>
      <w:tr>
        <w:trPr>
          <w:tblHeader w:val="true"/>
        </w:trPr>
        <w:tc>
          <w:tcPr>
            <w:tcW w:type="dxa" w:w="5112"/>
            <w:tcMar>
              <w:top w:w="70" w:type="dxa"/>
              <w:bottom w:w="70" w:type="dxa"/>
              <w:start w:w="120" w:type="dxa"/>
              <w:end w:w="120" w:type="dxa"/>
            </w:tcMar>
            <w:vAlign w:val="center"/>
            <w:shd w:fill="16324F"/>
          </w:tcPr>
          <w:p>
            <w:pPr>
              <w:spacing w:after="0"/>
              <w:jc w:val="center"/>
            </w:pPr>
            <w:r>
              <w:rPr>
                <w:rFonts w:ascii="Calibri" w:hAnsi="Calibri"/>
                <w:b/>
                <w:color w:val="FFFFFF"/>
                <w:sz w:val="14"/>
              </w:rPr>
              <w:t>Fund</w:t>
            </w:r>
          </w:p>
        </w:tc>
        <w:tc>
          <w:tcPr>
            <w:tcW w:type="dxa" w:w="1440"/>
            <w:tcMar>
              <w:top w:w="70" w:type="dxa"/>
              <w:bottom w:w="70" w:type="dxa"/>
              <w:start w:w="120" w:type="dxa"/>
              <w:end w:w="120" w:type="dxa"/>
            </w:tcMar>
            <w:vAlign w:val="center"/>
            <w:shd w:fill="16324F"/>
          </w:tcPr>
          <w:p>
            <w:pPr>
              <w:spacing w:after="0"/>
              <w:jc w:val="center"/>
            </w:pPr>
            <w:r>
              <w:rPr>
                <w:rFonts w:ascii="Calibri" w:hAnsi="Calibri"/>
                <w:b/>
                <w:color w:val="FFFFFF"/>
                <w:sz w:val="14"/>
              </w:rPr>
              <w:t>2021</w:t>
            </w:r>
          </w:p>
        </w:tc>
        <w:tc>
          <w:tcPr>
            <w:tcW w:type="dxa" w:w="1440"/>
            <w:tcMar>
              <w:top w:w="70" w:type="dxa"/>
              <w:bottom w:w="70" w:type="dxa"/>
              <w:start w:w="120" w:type="dxa"/>
              <w:end w:w="120" w:type="dxa"/>
            </w:tcMar>
            <w:vAlign w:val="center"/>
            <w:shd w:fill="16324F"/>
          </w:tcPr>
          <w:p>
            <w:pPr>
              <w:spacing w:after="0"/>
              <w:jc w:val="center"/>
            </w:pPr>
            <w:r>
              <w:rPr>
                <w:rFonts w:ascii="Calibri" w:hAnsi="Calibri"/>
                <w:b/>
                <w:color w:val="FFFFFF"/>
                <w:sz w:val="14"/>
              </w:rPr>
              <w:t>2022</w:t>
            </w:r>
          </w:p>
        </w:tc>
        <w:tc>
          <w:tcPr>
            <w:tcW w:type="dxa" w:w="1440"/>
            <w:tcMar>
              <w:top w:w="70" w:type="dxa"/>
              <w:bottom w:w="70" w:type="dxa"/>
              <w:start w:w="120" w:type="dxa"/>
              <w:end w:w="120" w:type="dxa"/>
            </w:tcMar>
            <w:vAlign w:val="center"/>
            <w:shd w:fill="16324F"/>
          </w:tcPr>
          <w:p>
            <w:pPr>
              <w:spacing w:after="0"/>
              <w:jc w:val="center"/>
            </w:pPr>
            <w:r>
              <w:rPr>
                <w:rFonts w:ascii="Calibri" w:hAnsi="Calibri"/>
                <w:b/>
                <w:color w:val="FFFFFF"/>
                <w:sz w:val="14"/>
              </w:rPr>
              <w:t>2023</w:t>
            </w:r>
          </w:p>
        </w:tc>
      </w:tr>
      <w:tr>
        <w:tc>
          <w:tcPr>
            <w:tcW w:type="dxa" w:w="5112"/>
            <w:vAlign w:val="center"/>
            <w:tcMar>
              <w:top w:w="70" w:type="dxa"/>
              <w:bottom w:w="70" w:type="dxa"/>
              <w:start w:w="120" w:type="dxa"/>
              <w:end w:w="120" w:type="dxa"/>
            </w:tcMar>
          </w:tcPr>
          <w:p>
            <w:pPr>
              <w:spacing w:after="0" w:line="240" w:lineRule="auto"/>
              <w:jc w:val="left"/>
            </w:pPr>
            <w:r>
              <w:rPr>
                <w:rFonts w:ascii="Calibri" w:hAnsi="Calibri"/>
                <w:color w:val="1F2933"/>
                <w:sz w:val="14"/>
              </w:rPr>
              <w:t>Equity Equal Weight</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4"/>
              </w:rPr>
              <w:t>27.1%</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4"/>
              </w:rPr>
              <w:t>-4.4%</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4"/>
              </w:rPr>
              <w:t>17.3%</w:t>
            </w:r>
          </w:p>
        </w:tc>
      </w:tr>
      <w:tr>
        <w:tc>
          <w:tcPr>
            <w:tcW w:type="dxa" w:w="5112"/>
            <w:vAlign w:val="center"/>
            <w:shd w:fill="F7FAFC"/>
            <w:tcMar>
              <w:top w:w="70" w:type="dxa"/>
              <w:bottom w:w="70" w:type="dxa"/>
              <w:start w:w="120" w:type="dxa"/>
              <w:end w:w="120" w:type="dxa"/>
            </w:tcMar>
          </w:tcPr>
          <w:p>
            <w:pPr>
              <w:spacing w:after="0" w:line="240" w:lineRule="auto"/>
              <w:jc w:val="left"/>
            </w:pPr>
            <w:r>
              <w:rPr>
                <w:rFonts w:ascii="Calibri" w:hAnsi="Calibri"/>
                <w:color w:val="1F2933"/>
                <w:sz w:val="14"/>
              </w:rPr>
              <w:t>Equity Maximum Sharpe</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10.0%</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2.6%</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4.0%</w:t>
            </w:r>
          </w:p>
        </w:tc>
      </w:tr>
      <w:tr>
        <w:tc>
          <w:tcPr>
            <w:tcW w:type="dxa" w:w="5112"/>
            <w:vAlign w:val="center"/>
            <w:tcMar>
              <w:top w:w="70" w:type="dxa"/>
              <w:bottom w:w="70" w:type="dxa"/>
              <w:start w:w="120" w:type="dxa"/>
              <w:end w:w="120" w:type="dxa"/>
            </w:tcMar>
          </w:tcPr>
          <w:p>
            <w:pPr>
              <w:spacing w:after="0" w:line="240" w:lineRule="auto"/>
              <w:jc w:val="left"/>
            </w:pPr>
            <w:r>
              <w:rPr>
                <w:rFonts w:ascii="Calibri" w:hAnsi="Calibri"/>
                <w:color w:val="1F2933"/>
                <w:sz w:val="14"/>
              </w:rPr>
              <w:t>Equity Minimum Variance</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4"/>
              </w:rPr>
              <w:t>13.6%</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4"/>
              </w:rPr>
              <w:t>3.0%</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4"/>
              </w:rPr>
              <w:t>1.1%</w:t>
            </w:r>
          </w:p>
        </w:tc>
      </w:tr>
      <w:tr>
        <w:tc>
          <w:tcPr>
            <w:tcW w:type="dxa" w:w="5112"/>
            <w:vAlign w:val="center"/>
            <w:shd w:fill="F7FAFC"/>
            <w:tcMar>
              <w:top w:w="70" w:type="dxa"/>
              <w:bottom w:w="70" w:type="dxa"/>
              <w:start w:w="120" w:type="dxa"/>
              <w:end w:w="120" w:type="dxa"/>
            </w:tcMar>
          </w:tcPr>
          <w:p>
            <w:pPr>
              <w:spacing w:after="0" w:line="240" w:lineRule="auto"/>
              <w:jc w:val="left"/>
            </w:pPr>
            <w:r>
              <w:rPr>
                <w:rFonts w:ascii="Calibri" w:hAnsi="Calibri"/>
                <w:color w:val="1F2933"/>
                <w:sz w:val="14"/>
              </w:rPr>
              <w:t>Equity Risk Parity</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23.7%</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-3.8%</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11.4%</w:t>
            </w:r>
          </w:p>
        </w:tc>
      </w:tr>
      <w:tr>
        <w:tc>
          <w:tcPr>
            <w:tcW w:type="dxa" w:w="5112"/>
            <w:vAlign w:val="center"/>
            <w:tcMar>
              <w:top w:w="70" w:type="dxa"/>
              <w:bottom w:w="70" w:type="dxa"/>
              <w:start w:w="120" w:type="dxa"/>
              <w:end w:w="120" w:type="dxa"/>
            </w:tcMar>
          </w:tcPr>
          <w:p>
            <w:pPr>
              <w:spacing w:after="0" w:line="240" w:lineRule="auto"/>
              <w:jc w:val="left"/>
            </w:pPr>
            <w:r>
              <w:rPr>
                <w:rFonts w:ascii="Calibri" w:hAnsi="Calibri"/>
                <w:color w:val="1F2933"/>
                <w:sz w:val="14"/>
              </w:rPr>
              <w:t>Crypto Equal Weight</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4"/>
              </w:rPr>
              <w:t>257.2%</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4"/>
              </w:rPr>
              <w:t>-61.0%</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4"/>
              </w:rPr>
              <w:t>99.0%</w:t>
            </w:r>
          </w:p>
        </w:tc>
      </w:tr>
      <w:tr>
        <w:tc>
          <w:tcPr>
            <w:tcW w:type="dxa" w:w="5112"/>
            <w:vAlign w:val="center"/>
            <w:shd w:fill="F7FAFC"/>
            <w:tcMar>
              <w:top w:w="70" w:type="dxa"/>
              <w:bottom w:w="70" w:type="dxa"/>
              <w:start w:w="120" w:type="dxa"/>
              <w:end w:w="120" w:type="dxa"/>
            </w:tcMar>
          </w:tcPr>
          <w:p>
            <w:pPr>
              <w:spacing w:after="0" w:line="240" w:lineRule="auto"/>
              <w:jc w:val="left"/>
            </w:pPr>
            <w:r>
              <w:rPr>
                <w:rFonts w:ascii="Calibri" w:hAnsi="Calibri"/>
                <w:color w:val="1F2933"/>
                <w:sz w:val="14"/>
              </w:rPr>
              <w:t>Crypto Maximum Sharpe</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300.3%</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-73.9%</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51.0%</w:t>
            </w:r>
          </w:p>
        </w:tc>
      </w:tr>
      <w:tr>
        <w:tc>
          <w:tcPr>
            <w:tcW w:type="dxa" w:w="5112"/>
            <w:vAlign w:val="center"/>
            <w:tcMar>
              <w:top w:w="70" w:type="dxa"/>
              <w:bottom w:w="70" w:type="dxa"/>
              <w:start w:w="120" w:type="dxa"/>
              <w:end w:w="120" w:type="dxa"/>
            </w:tcMar>
          </w:tcPr>
          <w:p>
            <w:pPr>
              <w:spacing w:after="0" w:line="240" w:lineRule="auto"/>
              <w:jc w:val="left"/>
            </w:pPr>
            <w:r>
              <w:rPr>
                <w:rFonts w:ascii="Calibri" w:hAnsi="Calibri"/>
                <w:color w:val="1F2933"/>
                <w:sz w:val="14"/>
              </w:rPr>
              <w:t>Crypto Minimum Variance</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4"/>
              </w:rPr>
              <w:t>328.1%</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4"/>
              </w:rPr>
              <w:t>-59.3%</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4"/>
              </w:rPr>
              <w:t>147.2%</w:t>
            </w:r>
          </w:p>
        </w:tc>
      </w:tr>
      <w:tr>
        <w:tc>
          <w:tcPr>
            <w:tcW w:type="dxa" w:w="5112"/>
            <w:vAlign w:val="center"/>
            <w:shd w:fill="F7FAFC"/>
            <w:tcMar>
              <w:top w:w="70" w:type="dxa"/>
              <w:bottom w:w="70" w:type="dxa"/>
              <w:start w:w="120" w:type="dxa"/>
              <w:end w:w="120" w:type="dxa"/>
            </w:tcMar>
          </w:tcPr>
          <w:p>
            <w:pPr>
              <w:spacing w:after="0" w:line="240" w:lineRule="auto"/>
              <w:jc w:val="left"/>
            </w:pPr>
            <w:r>
              <w:rPr>
                <w:rFonts w:ascii="Calibri" w:hAnsi="Calibri"/>
                <w:color w:val="1F2933"/>
                <w:sz w:val="14"/>
              </w:rPr>
              <w:t>Crypto Risk Parity</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261.3%</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-60.3%</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109.2%</w:t>
            </w:r>
          </w:p>
        </w:tc>
      </w:tr>
      <w:tr>
        <w:tc>
          <w:tcPr>
            <w:tcW w:type="dxa" w:w="5112"/>
            <w:vAlign w:val="center"/>
            <w:tcMar>
              <w:top w:w="70" w:type="dxa"/>
              <w:bottom w:w="70" w:type="dxa"/>
              <w:start w:w="120" w:type="dxa"/>
              <w:end w:w="120" w:type="dxa"/>
            </w:tcMar>
          </w:tcPr>
          <w:p>
            <w:pPr>
              <w:spacing w:after="0" w:line="240" w:lineRule="auto"/>
              <w:jc w:val="left"/>
            </w:pPr>
            <w:r>
              <w:rPr>
                <w:rFonts w:ascii="Calibri" w:hAnsi="Calibri"/>
                <w:color w:val="1F2933"/>
                <w:sz w:val="14"/>
              </w:rPr>
              <w:t>Combined Equal Weight</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4"/>
              </w:rPr>
              <w:t>42.9%</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4"/>
              </w:rPr>
              <w:t>-14.7%</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4"/>
              </w:rPr>
              <w:t>24.9%</w:t>
            </w:r>
          </w:p>
        </w:tc>
      </w:tr>
      <w:tr>
        <w:tc>
          <w:tcPr>
            <w:tcW w:type="dxa" w:w="5112"/>
            <w:vAlign w:val="center"/>
            <w:shd w:fill="F7FAFC"/>
            <w:tcMar>
              <w:top w:w="70" w:type="dxa"/>
              <w:bottom w:w="70" w:type="dxa"/>
              <w:start w:w="120" w:type="dxa"/>
              <w:end w:w="120" w:type="dxa"/>
            </w:tcMar>
          </w:tcPr>
          <w:p>
            <w:pPr>
              <w:spacing w:after="0" w:line="240" w:lineRule="auto"/>
              <w:jc w:val="left"/>
            </w:pPr>
            <w:r>
              <w:rPr>
                <w:rFonts w:ascii="Calibri" w:hAnsi="Calibri"/>
                <w:color w:val="1F2933"/>
                <w:sz w:val="14"/>
              </w:rPr>
              <w:t>Combined Maximum Sharpe</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26.1%</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3.5%</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4.4%</w:t>
            </w:r>
          </w:p>
        </w:tc>
      </w:tr>
      <w:tr>
        <w:tc>
          <w:tcPr>
            <w:tcW w:type="dxa" w:w="5112"/>
            <w:vAlign w:val="center"/>
            <w:tcMar>
              <w:top w:w="70" w:type="dxa"/>
              <w:bottom w:w="70" w:type="dxa"/>
              <w:start w:w="120" w:type="dxa"/>
              <w:end w:w="120" w:type="dxa"/>
            </w:tcMar>
          </w:tcPr>
          <w:p>
            <w:pPr>
              <w:spacing w:after="0" w:line="240" w:lineRule="auto"/>
              <w:jc w:val="left"/>
            </w:pPr>
            <w:r>
              <w:rPr>
                <w:rFonts w:ascii="Calibri" w:hAnsi="Calibri"/>
                <w:color w:val="1F2933"/>
                <w:sz w:val="14"/>
              </w:rPr>
              <w:t>Combined Minimum Variance</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4"/>
              </w:rPr>
              <w:t>12.7%</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4"/>
              </w:rPr>
              <w:t>2.6%</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4"/>
              </w:rPr>
              <w:t>2.5%</w:t>
            </w:r>
          </w:p>
        </w:tc>
      </w:tr>
      <w:tr>
        <w:tc>
          <w:tcPr>
            <w:tcW w:type="dxa" w:w="5112"/>
            <w:vAlign w:val="center"/>
            <w:shd w:fill="F7FAFC"/>
            <w:tcMar>
              <w:top w:w="70" w:type="dxa"/>
              <w:bottom w:w="70" w:type="dxa"/>
              <w:start w:w="120" w:type="dxa"/>
              <w:end w:w="120" w:type="dxa"/>
            </w:tcMar>
          </w:tcPr>
          <w:p>
            <w:pPr>
              <w:spacing w:after="0" w:line="240" w:lineRule="auto"/>
              <w:jc w:val="left"/>
            </w:pPr>
            <w:r>
              <w:rPr>
                <w:rFonts w:ascii="Calibri" w:hAnsi="Calibri"/>
                <w:color w:val="1F2933"/>
                <w:sz w:val="14"/>
              </w:rPr>
              <w:t>Combined Risk Parity</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37.3%</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-6.8%</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15.5%</w:t>
            </w:r>
          </w:p>
        </w:tc>
      </w:tr>
    </w:tbl>
    <w:p>
      <w:pPr>
        <w:spacing w:after="40"/>
      </w:pPr>
    </w:p>
    <w:p>
      <w:pPr/>
      <w:r>
        <w:rPr>
          <w:rFonts w:ascii="Calibri" w:hAnsi="Calibri"/>
        </w:rPr>
        <w:t xml:space="preserve">Table </w:t>
      </w:r>
      <w:r>
        <w:rPr>
          <w:rFonts w:ascii="Calibri" w:hAnsi="Calibri"/>
        </w:rPr>
        <w:fldChar w:fldCharType="begin"/>
      </w:r>
      <w:r>
        <w:rPr>
          <w:rFonts w:ascii="Calibri" w:hAnsi="Calibri"/>
        </w:rPr>
        <w:instrText xml:space="preserve"> REF _RefTblAnnual \h </w:instrText>
      </w:r>
      <w:r>
        <w:rPr>
          <w:rFonts w:ascii="Calibri" w:hAnsi="Calibri"/>
        </w:rPr>
        <w:fldChar w:fldCharType="separate"/>
      </w:r>
      <w:r>
        <w:rPr>
          <w:rFonts w:ascii="Calibri" w:hAnsi="Calibri"/>
        </w:rPr>
        <w:t>10</w:t>
      </w:r>
      <w:r>
        <w:rPr>
          <w:rFonts w:ascii="Calibri" w:hAnsi="Calibri"/>
        </w:rPr>
        <w:fldChar w:fldCharType="end"/>
      </w:r>
      <w:r>
        <w:rPr>
          <w:rFonts w:ascii="Calibri" w:hAnsi="Calibri"/>
        </w:rPr>
        <w:t xml:space="preserve"> shows that no method wins every calendar year. The three-year product conclusions nevertheless survive the year split: crypto remains the widest-upside and deepest-downside family, while Combined Risk Parity participates in 2021 and 2023 gains with a materially smaller 2022 loss than Combined Equal Weight.</w:t>
      </w:r>
    </w:p>
    <w:p>
      <w:r>
        <w:br w:type="page"/>
      </w:r>
    </w:p>
    <w:p>
      <w:pPr>
        <w:pStyle w:val="Heading1"/>
      </w:pPr>
      <w:r>
        <w:t>Appendix E. Assumption robustness</w:t>
      </w:r>
    </w:p>
    <w:p>
      <w:pPr>
        <w:pStyle w:val="Caption"/>
      </w:pPr>
      <w:r>
        <w:rPr>
          <w:rFonts w:ascii="Calibri" w:hAnsi="Calibri"/>
          <w:i/>
          <w:color w:val="64748B"/>
          <w:sz w:val="15"/>
        </w:rPr>
        <w:t xml:space="preserve">Table </w:t>
      </w:r>
      <w:bookmarkStart w:id="36" w:name="_RefTblCostFee"/>
      <w:r>
        <w:rPr>
          <w:rFonts w:ascii="Calibri" w:hAnsi="Calibri"/>
          <w:i/>
          <w:color w:val="64748B"/>
          <w:sz w:val="15"/>
        </w:rPr>
        <w:fldChar w:fldCharType="begin"/>
      </w:r>
      <w:r>
        <w:rPr>
          <w:rFonts w:ascii="Calibri" w:hAnsi="Calibri"/>
          <w:i/>
          <w:color w:val="64748B"/>
          <w:sz w:val="15"/>
        </w:rPr>
        <w:instrText xml:space="preserve"> SEQ Table \* ARABIC </w:instrText>
      </w:r>
      <w:r>
        <w:rPr>
          <w:rFonts w:ascii="Calibri" w:hAnsi="Calibri"/>
          <w:i/>
          <w:color w:val="64748B"/>
          <w:sz w:val="15"/>
        </w:rPr>
        <w:fldChar w:fldCharType="separate"/>
      </w:r>
      <w:r>
        <w:rPr>
          <w:rFonts w:ascii="Calibri" w:hAnsi="Calibri"/>
          <w:i/>
          <w:color w:val="64748B"/>
          <w:sz w:val="15"/>
        </w:rPr>
        <w:t>11</w:t>
      </w:r>
      <w:r>
        <w:rPr>
          <w:rFonts w:ascii="Calibri" w:hAnsi="Calibri"/>
          <w:i/>
          <w:color w:val="64748B"/>
          <w:sz w:val="15"/>
        </w:rPr>
        <w:fldChar w:fldCharType="end"/>
      </w:r>
      <w:bookmarkEnd w:id="36"/>
      <w:r>
        <w:rPr>
          <w:rFonts w:ascii="Calibri" w:hAnsi="Calibri"/>
          <w:i/>
          <w:color w:val="64748B"/>
          <w:sz w:val="15"/>
        </w:rPr>
        <w:t>. Combined Risk Parity sensitivity. Trading-cost scenarios reprice realised turnover; management fees are charged continuously to the baseline 5-basis-point path. Returns are annualised arithmetic means. Live period: 2021-2023. Source: author calculations.</w:t>
      </w:r>
    </w:p>
    <w:tbl>
      <w:tblPr>
        <w:tblStyle w:val="TableGrid"/>
        <w:tblW w:type="dxa" w:w="8856"/>
        <w:tblLayout w:type="fixed"/>
        <w:tblLook w:firstColumn="1" w:firstRow="1" w:lastColumn="0" w:lastRow="0" w:noHBand="0" w:noVBand="1" w:val="04A0"/>
        <w:jc w:val="left"/>
        <w:tblInd w:type="dxa" w:w="120"/>
      </w:tblPr>
      <w:tblGrid>
        <w:gridCol w:w="3816"/>
        <w:gridCol w:w="1296"/>
        <w:gridCol w:w="1152"/>
        <w:gridCol w:w="1296"/>
        <w:gridCol w:w="1296"/>
      </w:tblGrid>
      <w:tr>
        <w:trPr>
          <w:tblHeader w:val="true"/>
        </w:trPr>
        <w:tc>
          <w:tcPr>
            <w:tcW w:type="dxa" w:w="3816"/>
            <w:tcMar>
              <w:top w:w="70" w:type="dxa"/>
              <w:bottom w:w="70" w:type="dxa"/>
              <w:start w:w="120" w:type="dxa"/>
              <w:end w:w="120" w:type="dxa"/>
            </w:tcMar>
            <w:vAlign w:val="center"/>
            <w:shd w:fill="16324F"/>
          </w:tcPr>
          <w:p>
            <w:pPr>
              <w:spacing w:after="0"/>
              <w:jc w:val="center"/>
            </w:pPr>
            <w:r>
              <w:rPr>
                <w:rFonts w:ascii="Calibri" w:hAnsi="Calibri"/>
                <w:b/>
                <w:color w:val="FFFFFF"/>
                <w:sz w:val="14"/>
              </w:rPr>
              <w:t>Scenario</w:t>
            </w:r>
          </w:p>
        </w:tc>
        <w:tc>
          <w:tcPr>
            <w:tcW w:type="dxa" w:w="1296"/>
            <w:tcMar>
              <w:top w:w="70" w:type="dxa"/>
              <w:bottom w:w="70" w:type="dxa"/>
              <w:start w:w="120" w:type="dxa"/>
              <w:end w:w="120" w:type="dxa"/>
            </w:tcMar>
            <w:vAlign w:val="center"/>
            <w:shd w:fill="16324F"/>
          </w:tcPr>
          <w:p>
            <w:pPr>
              <w:spacing w:after="0"/>
              <w:jc w:val="center"/>
            </w:pPr>
            <w:r>
              <w:rPr>
                <w:rFonts w:ascii="Calibri" w:hAnsi="Calibri"/>
                <w:b/>
                <w:color w:val="FFFFFF"/>
                <w:sz w:val="14"/>
              </w:rPr>
              <w:t>Return</w:t>
            </w:r>
          </w:p>
        </w:tc>
        <w:tc>
          <w:tcPr>
            <w:tcW w:type="dxa" w:w="1152"/>
            <w:tcMar>
              <w:top w:w="70" w:type="dxa"/>
              <w:bottom w:w="70" w:type="dxa"/>
              <w:start w:w="120" w:type="dxa"/>
              <w:end w:w="120" w:type="dxa"/>
            </w:tcMar>
            <w:vAlign w:val="center"/>
            <w:shd w:fill="16324F"/>
          </w:tcPr>
          <w:p>
            <w:pPr>
              <w:spacing w:after="0"/>
              <w:jc w:val="center"/>
            </w:pPr>
            <w:r>
              <w:rPr>
                <w:rFonts w:ascii="Calibri" w:hAnsi="Calibri"/>
                <w:b/>
                <w:color w:val="FFFFFF"/>
                <w:sz w:val="14"/>
              </w:rPr>
              <w:t>Sharpe</w:t>
            </w:r>
          </w:p>
        </w:tc>
        <w:tc>
          <w:tcPr>
            <w:tcW w:type="dxa" w:w="1296"/>
            <w:tcMar>
              <w:top w:w="70" w:type="dxa"/>
              <w:bottom w:w="70" w:type="dxa"/>
              <w:start w:w="120" w:type="dxa"/>
              <w:end w:w="120" w:type="dxa"/>
            </w:tcMar>
            <w:vAlign w:val="center"/>
            <w:shd w:fill="16324F"/>
          </w:tcPr>
          <w:p>
            <w:pPr>
              <w:spacing w:after="0"/>
              <w:jc w:val="center"/>
            </w:pPr>
            <w:r>
              <w:rPr>
                <w:rFonts w:ascii="Calibri" w:hAnsi="Calibri"/>
                <w:b/>
                <w:color w:val="FFFFFF"/>
                <w:sz w:val="14"/>
              </w:rPr>
              <w:t>Max DD</w:t>
            </w:r>
          </w:p>
        </w:tc>
        <w:tc>
          <w:tcPr>
            <w:tcW w:type="dxa" w:w="1296"/>
            <w:tcMar>
              <w:top w:w="70" w:type="dxa"/>
              <w:bottom w:w="70" w:type="dxa"/>
              <w:start w:w="120" w:type="dxa"/>
              <w:end w:w="120" w:type="dxa"/>
            </w:tcMar>
            <w:vAlign w:val="center"/>
            <w:shd w:fill="16324F"/>
          </w:tcPr>
          <w:p>
            <w:pPr>
              <w:spacing w:after="0"/>
              <w:jc w:val="center"/>
            </w:pPr>
            <w:r>
              <w:rPr>
                <w:rFonts w:ascii="Calibri" w:hAnsi="Calibri"/>
                <w:b/>
                <w:color w:val="FFFFFF"/>
                <w:sz w:val="14"/>
              </w:rPr>
              <w:t>Ending $1</w:t>
            </w:r>
          </w:p>
        </w:tc>
      </w:tr>
      <w:tr>
        <w:tc>
          <w:tcPr>
            <w:tcW w:type="dxa" w:w="3816"/>
            <w:vAlign w:val="center"/>
            <w:tcMar>
              <w:top w:w="70" w:type="dxa"/>
              <w:bottom w:w="70" w:type="dxa"/>
              <w:start w:w="120" w:type="dxa"/>
              <w:end w:w="120" w:type="dxa"/>
            </w:tcMar>
          </w:tcPr>
          <w:p>
            <w:pPr>
              <w:spacing w:after="0" w:line="240" w:lineRule="auto"/>
              <w:jc w:val="left"/>
            </w:pPr>
            <w:r>
              <w:rPr>
                <w:rFonts w:ascii="Calibri" w:hAnsi="Calibri"/>
                <w:color w:val="1F2933"/>
                <w:sz w:val="14"/>
              </w:rPr>
              <w:t>Trading cost: 0 bp</w:t>
            </w:r>
          </w:p>
        </w:tc>
        <w:tc>
          <w:tcPr>
            <w:tcW w:type="dxa" w:w="1296"/>
            <w:vAlign w:val="center"/>
            <w:tcMar>
              <w:top w:w="70" w:type="dxa"/>
              <w:bottom w:w="70" w:type="dxa"/>
              <w:start w:w="120" w:type="dxa"/>
              <w:end w:w="120" w:type="dxa"/>
            </w:tcMar>
          </w:tcPr>
          <w:p>
            <w:pPr>
              <w:spacing w:after="0" w:line="240" w:lineRule="auto"/>
              <w:jc w:val="center"/>
            </w:pPr>
            <w:r>
              <w:rPr>
                <w:rFonts w:ascii="Calibri" w:hAnsi="Calibri"/>
                <w:color w:val="1F2933"/>
                <w:sz w:val="14"/>
              </w:rPr>
              <w:t>14.4%</w:t>
            </w:r>
          </w:p>
        </w:tc>
        <w:tc>
          <w:tcPr>
            <w:tcW w:type="dxa" w:w="1152"/>
            <w:vAlign w:val="center"/>
            <w:tcMar>
              <w:top w:w="70" w:type="dxa"/>
              <w:bottom w:w="70" w:type="dxa"/>
              <w:start w:w="120" w:type="dxa"/>
              <w:end w:w="120" w:type="dxa"/>
            </w:tcMar>
          </w:tcPr>
          <w:p>
            <w:pPr>
              <w:spacing w:after="0" w:line="240" w:lineRule="auto"/>
              <w:jc w:val="center"/>
            </w:pPr>
            <w:r>
              <w:rPr>
                <w:rFonts w:ascii="Calibri" w:hAnsi="Calibri"/>
                <w:color w:val="1F2933"/>
                <w:sz w:val="14"/>
              </w:rPr>
              <w:t>0.888</w:t>
            </w:r>
          </w:p>
        </w:tc>
        <w:tc>
          <w:tcPr>
            <w:tcW w:type="dxa" w:w="1296"/>
            <w:vAlign w:val="center"/>
            <w:tcMar>
              <w:top w:w="70" w:type="dxa"/>
              <w:bottom w:w="70" w:type="dxa"/>
              <w:start w:w="120" w:type="dxa"/>
              <w:end w:w="120" w:type="dxa"/>
            </w:tcMar>
          </w:tcPr>
          <w:p>
            <w:pPr>
              <w:spacing w:after="0" w:line="240" w:lineRule="auto"/>
              <w:jc w:val="center"/>
            </w:pPr>
            <w:r>
              <w:rPr>
                <w:rFonts w:ascii="Calibri" w:hAnsi="Calibri"/>
                <w:color w:val="1F2933"/>
                <w:sz w:val="14"/>
              </w:rPr>
              <w:t>-19.5%</w:t>
            </w:r>
          </w:p>
        </w:tc>
        <w:tc>
          <w:tcPr>
            <w:tcW w:type="dxa" w:w="1296"/>
            <w:vAlign w:val="center"/>
            <w:tcMar>
              <w:top w:w="70" w:type="dxa"/>
              <w:bottom w:w="70" w:type="dxa"/>
              <w:start w:w="120" w:type="dxa"/>
              <w:end w:w="120" w:type="dxa"/>
            </w:tcMar>
          </w:tcPr>
          <w:p>
            <w:pPr>
              <w:spacing w:after="0" w:line="240" w:lineRule="auto"/>
              <w:jc w:val="center"/>
            </w:pPr>
            <w:r>
              <w:rPr>
                <w:rFonts w:ascii="Calibri" w:hAnsi="Calibri"/>
                <w:color w:val="1F2933"/>
                <w:sz w:val="14"/>
              </w:rPr>
              <w:t>$1.48</w:t>
            </w:r>
          </w:p>
        </w:tc>
      </w:tr>
      <w:tr>
        <w:tc>
          <w:tcPr>
            <w:tcW w:type="dxa" w:w="3816"/>
            <w:vAlign w:val="center"/>
            <w:shd w:fill="F7FAFC"/>
            <w:tcMar>
              <w:top w:w="70" w:type="dxa"/>
              <w:bottom w:w="70" w:type="dxa"/>
              <w:start w:w="120" w:type="dxa"/>
              <w:end w:w="120" w:type="dxa"/>
            </w:tcMar>
          </w:tcPr>
          <w:p>
            <w:pPr>
              <w:spacing w:after="0" w:line="240" w:lineRule="auto"/>
              <w:jc w:val="left"/>
            </w:pPr>
            <w:r>
              <w:rPr>
                <w:rFonts w:ascii="Calibri" w:hAnsi="Calibri"/>
                <w:color w:val="1F2933"/>
                <w:sz w:val="14"/>
              </w:rPr>
              <w:t>Trading cost: 5 bp; fee: 0%</w:t>
            </w:r>
          </w:p>
        </w:tc>
        <w:tc>
          <w:tcPr>
            <w:tcW w:type="dxa" w:w="1296"/>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14.4%</w:t>
            </w:r>
          </w:p>
        </w:tc>
        <w:tc>
          <w:tcPr>
            <w:tcW w:type="dxa" w:w="1152"/>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0.887</w:t>
            </w:r>
          </w:p>
        </w:tc>
        <w:tc>
          <w:tcPr>
            <w:tcW w:type="dxa" w:w="1296"/>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-19.5%</w:t>
            </w:r>
          </w:p>
        </w:tc>
        <w:tc>
          <w:tcPr>
            <w:tcW w:type="dxa" w:w="1296"/>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$1.48</w:t>
            </w:r>
          </w:p>
        </w:tc>
      </w:tr>
      <w:tr>
        <w:tc>
          <w:tcPr>
            <w:tcW w:type="dxa" w:w="3816"/>
            <w:vAlign w:val="center"/>
            <w:tcMar>
              <w:top w:w="70" w:type="dxa"/>
              <w:bottom w:w="70" w:type="dxa"/>
              <w:start w:w="120" w:type="dxa"/>
              <w:end w:w="120" w:type="dxa"/>
            </w:tcMar>
          </w:tcPr>
          <w:p>
            <w:pPr>
              <w:spacing w:after="0" w:line="240" w:lineRule="auto"/>
              <w:jc w:val="left"/>
            </w:pPr>
            <w:r>
              <w:rPr>
                <w:rFonts w:ascii="Calibri" w:hAnsi="Calibri"/>
                <w:color w:val="1F2933"/>
                <w:sz w:val="14"/>
              </w:rPr>
              <w:t>Trading cost: 10 bp</w:t>
            </w:r>
          </w:p>
        </w:tc>
        <w:tc>
          <w:tcPr>
            <w:tcW w:type="dxa" w:w="1296"/>
            <w:vAlign w:val="center"/>
            <w:tcMar>
              <w:top w:w="70" w:type="dxa"/>
              <w:bottom w:w="70" w:type="dxa"/>
              <w:start w:w="120" w:type="dxa"/>
              <w:end w:w="120" w:type="dxa"/>
            </w:tcMar>
          </w:tcPr>
          <w:p>
            <w:pPr>
              <w:spacing w:after="0" w:line="240" w:lineRule="auto"/>
              <w:jc w:val="center"/>
            </w:pPr>
            <w:r>
              <w:rPr>
                <w:rFonts w:ascii="Calibri" w:hAnsi="Calibri"/>
                <w:color w:val="1F2933"/>
                <w:sz w:val="14"/>
              </w:rPr>
              <w:t>14.3%</w:t>
            </w:r>
          </w:p>
        </w:tc>
        <w:tc>
          <w:tcPr>
            <w:tcW w:type="dxa" w:w="1152"/>
            <w:vAlign w:val="center"/>
            <w:tcMar>
              <w:top w:w="70" w:type="dxa"/>
              <w:bottom w:w="70" w:type="dxa"/>
              <w:start w:w="120" w:type="dxa"/>
              <w:end w:w="120" w:type="dxa"/>
            </w:tcMar>
          </w:tcPr>
          <w:p>
            <w:pPr>
              <w:spacing w:after="0" w:line="240" w:lineRule="auto"/>
              <w:jc w:val="center"/>
            </w:pPr>
            <w:r>
              <w:rPr>
                <w:rFonts w:ascii="Calibri" w:hAnsi="Calibri"/>
                <w:color w:val="1F2933"/>
                <w:sz w:val="14"/>
              </w:rPr>
              <w:t>0.885</w:t>
            </w:r>
          </w:p>
        </w:tc>
        <w:tc>
          <w:tcPr>
            <w:tcW w:type="dxa" w:w="1296"/>
            <w:vAlign w:val="center"/>
            <w:tcMar>
              <w:top w:w="70" w:type="dxa"/>
              <w:bottom w:w="70" w:type="dxa"/>
              <w:start w:w="120" w:type="dxa"/>
              <w:end w:w="120" w:type="dxa"/>
            </w:tcMar>
          </w:tcPr>
          <w:p>
            <w:pPr>
              <w:spacing w:after="0" w:line="240" w:lineRule="auto"/>
              <w:jc w:val="center"/>
            </w:pPr>
            <w:r>
              <w:rPr>
                <w:rFonts w:ascii="Calibri" w:hAnsi="Calibri"/>
                <w:color w:val="1F2933"/>
                <w:sz w:val="14"/>
              </w:rPr>
              <w:t>-19.5%</w:t>
            </w:r>
          </w:p>
        </w:tc>
        <w:tc>
          <w:tcPr>
            <w:tcW w:type="dxa" w:w="1296"/>
            <w:vAlign w:val="center"/>
            <w:tcMar>
              <w:top w:w="70" w:type="dxa"/>
              <w:bottom w:w="70" w:type="dxa"/>
              <w:start w:w="120" w:type="dxa"/>
              <w:end w:w="120" w:type="dxa"/>
            </w:tcMar>
          </w:tcPr>
          <w:p>
            <w:pPr>
              <w:spacing w:after="0" w:line="240" w:lineRule="auto"/>
              <w:jc w:val="center"/>
            </w:pPr>
            <w:r>
              <w:rPr>
                <w:rFonts w:ascii="Calibri" w:hAnsi="Calibri"/>
                <w:color w:val="1F2933"/>
                <w:sz w:val="14"/>
              </w:rPr>
              <w:t>$1.48</w:t>
            </w:r>
          </w:p>
        </w:tc>
      </w:tr>
      <w:tr>
        <w:tc>
          <w:tcPr>
            <w:tcW w:type="dxa" w:w="3816"/>
            <w:vAlign w:val="center"/>
            <w:shd w:fill="F7FAFC"/>
            <w:tcMar>
              <w:top w:w="70" w:type="dxa"/>
              <w:bottom w:w="70" w:type="dxa"/>
              <w:start w:w="120" w:type="dxa"/>
              <w:end w:w="120" w:type="dxa"/>
            </w:tcMar>
          </w:tcPr>
          <w:p>
            <w:pPr>
              <w:spacing w:after="0" w:line="240" w:lineRule="auto"/>
              <w:jc w:val="left"/>
            </w:pPr>
            <w:r>
              <w:rPr>
                <w:rFonts w:ascii="Calibri" w:hAnsi="Calibri"/>
                <w:color w:val="1F2933"/>
                <w:sz w:val="14"/>
              </w:rPr>
              <w:t>5 bp cost + 0.5% annual fee</w:t>
            </w:r>
          </w:p>
        </w:tc>
        <w:tc>
          <w:tcPr>
            <w:tcW w:type="dxa" w:w="1296"/>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13.9%</w:t>
            </w:r>
          </w:p>
        </w:tc>
        <w:tc>
          <w:tcPr>
            <w:tcW w:type="dxa" w:w="1152"/>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0.856</w:t>
            </w:r>
          </w:p>
        </w:tc>
        <w:tc>
          <w:tcPr>
            <w:tcW w:type="dxa" w:w="1296"/>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-19.7%</w:t>
            </w:r>
          </w:p>
        </w:tc>
        <w:tc>
          <w:tcPr>
            <w:tcW w:type="dxa" w:w="1296"/>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$1.45</w:t>
            </w:r>
          </w:p>
        </w:tc>
      </w:tr>
      <w:tr>
        <w:tc>
          <w:tcPr>
            <w:tcW w:type="dxa" w:w="3816"/>
            <w:vAlign w:val="center"/>
            <w:tcMar>
              <w:top w:w="70" w:type="dxa"/>
              <w:bottom w:w="70" w:type="dxa"/>
              <w:start w:w="120" w:type="dxa"/>
              <w:end w:w="120" w:type="dxa"/>
            </w:tcMar>
          </w:tcPr>
          <w:p>
            <w:pPr>
              <w:spacing w:after="0" w:line="240" w:lineRule="auto"/>
              <w:jc w:val="left"/>
            </w:pPr>
            <w:r>
              <w:rPr>
                <w:rFonts w:ascii="Calibri" w:hAnsi="Calibri"/>
                <w:color w:val="1F2933"/>
                <w:sz w:val="14"/>
              </w:rPr>
              <w:t>5 bp cost + 1.0% annual fee</w:t>
            </w:r>
          </w:p>
        </w:tc>
        <w:tc>
          <w:tcPr>
            <w:tcW w:type="dxa" w:w="1296"/>
            <w:vAlign w:val="center"/>
            <w:tcMar>
              <w:top w:w="70" w:type="dxa"/>
              <w:bottom w:w="70" w:type="dxa"/>
              <w:start w:w="120" w:type="dxa"/>
              <w:end w:w="120" w:type="dxa"/>
            </w:tcMar>
          </w:tcPr>
          <w:p>
            <w:pPr>
              <w:spacing w:after="0" w:line="240" w:lineRule="auto"/>
              <w:jc w:val="center"/>
            </w:pPr>
            <w:r>
              <w:rPr>
                <w:rFonts w:ascii="Calibri" w:hAnsi="Calibri"/>
                <w:color w:val="1F2933"/>
                <w:sz w:val="14"/>
              </w:rPr>
              <w:t>13.4%</w:t>
            </w:r>
          </w:p>
        </w:tc>
        <w:tc>
          <w:tcPr>
            <w:tcW w:type="dxa" w:w="1152"/>
            <w:vAlign w:val="center"/>
            <w:tcMar>
              <w:top w:w="70" w:type="dxa"/>
              <w:bottom w:w="70" w:type="dxa"/>
              <w:start w:w="120" w:type="dxa"/>
              <w:end w:w="120" w:type="dxa"/>
            </w:tcMar>
          </w:tcPr>
          <w:p>
            <w:pPr>
              <w:spacing w:after="0" w:line="240" w:lineRule="auto"/>
              <w:jc w:val="center"/>
            </w:pPr>
            <w:r>
              <w:rPr>
                <w:rFonts w:ascii="Calibri" w:hAnsi="Calibri"/>
                <w:color w:val="1F2933"/>
                <w:sz w:val="14"/>
              </w:rPr>
              <w:t>0.825</w:t>
            </w:r>
          </w:p>
        </w:tc>
        <w:tc>
          <w:tcPr>
            <w:tcW w:type="dxa" w:w="1296"/>
            <w:vAlign w:val="center"/>
            <w:tcMar>
              <w:top w:w="70" w:type="dxa"/>
              <w:bottom w:w="70" w:type="dxa"/>
              <w:start w:w="120" w:type="dxa"/>
              <w:end w:w="120" w:type="dxa"/>
            </w:tcMar>
          </w:tcPr>
          <w:p>
            <w:pPr>
              <w:spacing w:after="0" w:line="240" w:lineRule="auto"/>
              <w:jc w:val="center"/>
            </w:pPr>
            <w:r>
              <w:rPr>
                <w:rFonts w:ascii="Calibri" w:hAnsi="Calibri"/>
                <w:color w:val="1F2933"/>
                <w:sz w:val="14"/>
              </w:rPr>
              <w:t>-19.9%</w:t>
            </w:r>
          </w:p>
        </w:tc>
        <w:tc>
          <w:tcPr>
            <w:tcW w:type="dxa" w:w="1296"/>
            <w:vAlign w:val="center"/>
            <w:tcMar>
              <w:top w:w="70" w:type="dxa"/>
              <w:bottom w:w="70" w:type="dxa"/>
              <w:start w:w="120" w:type="dxa"/>
              <w:end w:w="120" w:type="dxa"/>
            </w:tcMar>
          </w:tcPr>
          <w:p>
            <w:pPr>
              <w:spacing w:after="0" w:line="240" w:lineRule="auto"/>
              <w:jc w:val="center"/>
            </w:pPr>
            <w:r>
              <w:rPr>
                <w:rFonts w:ascii="Calibri" w:hAnsi="Calibri"/>
                <w:color w:val="1F2933"/>
                <w:sz w:val="14"/>
              </w:rPr>
              <w:t>$1.43</w:t>
            </w:r>
          </w:p>
        </w:tc>
      </w:tr>
    </w:tbl>
    <w:p>
      <w:pPr>
        <w:spacing w:after="40"/>
      </w:pPr>
    </w:p>
    <w:p>
      <w:pPr>
        <w:pStyle w:val="Caption"/>
      </w:pPr>
      <w:r>
        <w:rPr>
          <w:rFonts w:ascii="Calibri" w:hAnsi="Calibri"/>
          <w:i/>
          <w:color w:val="64748B"/>
          <w:sz w:val="15"/>
        </w:rPr>
        <w:t xml:space="preserve">Table </w:t>
      </w:r>
      <w:bookmarkStart w:id="37" w:name="_RefTblFusionSensitivity"/>
      <w:r>
        <w:rPr>
          <w:rFonts w:ascii="Calibri" w:hAnsi="Calibri"/>
          <w:i/>
          <w:color w:val="64748B"/>
          <w:sz w:val="15"/>
        </w:rPr>
        <w:fldChar w:fldCharType="begin"/>
      </w:r>
      <w:r>
        <w:rPr>
          <w:rFonts w:ascii="Calibri" w:hAnsi="Calibri"/>
          <w:i/>
          <w:color w:val="64748B"/>
          <w:sz w:val="15"/>
        </w:rPr>
        <w:instrText xml:space="preserve"> SEQ Table \* ARABIC </w:instrText>
      </w:r>
      <w:r>
        <w:rPr>
          <w:rFonts w:ascii="Calibri" w:hAnsi="Calibri"/>
          <w:i/>
          <w:color w:val="64748B"/>
          <w:sz w:val="15"/>
        </w:rPr>
        <w:fldChar w:fldCharType="separate"/>
      </w:r>
      <w:r>
        <w:rPr>
          <w:rFonts w:ascii="Calibri" w:hAnsi="Calibri"/>
          <w:i/>
          <w:color w:val="64748B"/>
          <w:sz w:val="15"/>
        </w:rPr>
        <w:t>12</w:t>
      </w:r>
      <w:r>
        <w:rPr>
          <w:rFonts w:ascii="Calibri" w:hAnsi="Calibri"/>
          <w:i/>
          <w:color w:val="64748B"/>
          <w:sz w:val="15"/>
        </w:rPr>
        <w:fldChar w:fldCharType="end"/>
      </w:r>
      <w:bookmarkEnd w:id="37"/>
      <w:r>
        <w:rPr>
          <w:rFonts w:ascii="Calibri" w:hAnsi="Calibri"/>
          <w:i/>
          <w:color w:val="64748B"/>
          <w:sz w:val="15"/>
        </w:rPr>
        <w:t>. Prespecified sentiment-fusion implementation checks, all after 5 basis points per unit of realised turnover and before management fees. These are robustness checks, not a parameter search. Live period: 2021-2023. Source: author calculations.</w:t>
      </w:r>
    </w:p>
    <w:tbl>
      <w:tblPr>
        <w:tblStyle w:val="TableGrid"/>
        <w:tblW w:type="dxa" w:w="8784"/>
        <w:tblLayout w:type="fixed"/>
        <w:tblLook w:firstColumn="1" w:firstRow="1" w:lastColumn="0" w:lastRow="0" w:noHBand="0" w:noVBand="1" w:val="04A0"/>
        <w:jc w:val="left"/>
        <w:tblInd w:type="dxa" w:w="120"/>
      </w:tblPr>
      <w:tblGrid>
        <w:gridCol w:w="3888"/>
        <w:gridCol w:w="1224"/>
        <w:gridCol w:w="1152"/>
        <w:gridCol w:w="1224"/>
        <w:gridCol w:w="1296"/>
      </w:tblGrid>
      <w:tr>
        <w:trPr>
          <w:tblHeader w:val="true"/>
        </w:trPr>
        <w:tc>
          <w:tcPr>
            <w:tcW w:type="dxa" w:w="3888"/>
            <w:tcMar>
              <w:top w:w="70" w:type="dxa"/>
              <w:bottom w:w="70" w:type="dxa"/>
              <w:start w:w="120" w:type="dxa"/>
              <w:end w:w="120" w:type="dxa"/>
            </w:tcMar>
            <w:vAlign w:val="center"/>
            <w:shd w:fill="16324F"/>
          </w:tcPr>
          <w:p>
            <w:pPr>
              <w:spacing w:after="0"/>
              <w:jc w:val="center"/>
            </w:pPr>
            <w:r>
              <w:rPr>
                <w:rFonts w:ascii="Calibri" w:hAnsi="Calibri"/>
                <w:b/>
                <w:color w:val="FFFFFF"/>
                <w:sz w:val="13"/>
              </w:rPr>
              <w:t>Scenario</w:t>
            </w:r>
          </w:p>
        </w:tc>
        <w:tc>
          <w:tcPr>
            <w:tcW w:type="dxa" w:w="1224"/>
            <w:tcMar>
              <w:top w:w="70" w:type="dxa"/>
              <w:bottom w:w="70" w:type="dxa"/>
              <w:start w:w="120" w:type="dxa"/>
              <w:end w:w="120" w:type="dxa"/>
            </w:tcMar>
            <w:vAlign w:val="center"/>
            <w:shd w:fill="16324F"/>
          </w:tcPr>
          <w:p>
            <w:pPr>
              <w:spacing w:after="0"/>
              <w:jc w:val="center"/>
            </w:pPr>
            <w:r>
              <w:rPr>
                <w:rFonts w:ascii="Calibri" w:hAnsi="Calibri"/>
                <w:b/>
                <w:color w:val="FFFFFF"/>
                <w:sz w:val="13"/>
              </w:rPr>
              <w:t>Return</w:t>
            </w:r>
          </w:p>
        </w:tc>
        <w:tc>
          <w:tcPr>
            <w:tcW w:type="dxa" w:w="1152"/>
            <w:tcMar>
              <w:top w:w="70" w:type="dxa"/>
              <w:bottom w:w="70" w:type="dxa"/>
              <w:start w:w="120" w:type="dxa"/>
              <w:end w:w="120" w:type="dxa"/>
            </w:tcMar>
            <w:vAlign w:val="center"/>
            <w:shd w:fill="16324F"/>
          </w:tcPr>
          <w:p>
            <w:pPr>
              <w:spacing w:after="0"/>
              <w:jc w:val="center"/>
            </w:pPr>
            <w:r>
              <w:rPr>
                <w:rFonts w:ascii="Calibri" w:hAnsi="Calibri"/>
                <w:b/>
                <w:color w:val="FFFFFF"/>
                <w:sz w:val="13"/>
              </w:rPr>
              <w:t>Sharpe</w:t>
            </w:r>
          </w:p>
        </w:tc>
        <w:tc>
          <w:tcPr>
            <w:tcW w:type="dxa" w:w="1224"/>
            <w:tcMar>
              <w:top w:w="70" w:type="dxa"/>
              <w:bottom w:w="70" w:type="dxa"/>
              <w:start w:w="120" w:type="dxa"/>
              <w:end w:w="120" w:type="dxa"/>
            </w:tcMar>
            <w:vAlign w:val="center"/>
            <w:shd w:fill="16324F"/>
          </w:tcPr>
          <w:p>
            <w:pPr>
              <w:spacing w:after="0"/>
              <w:jc w:val="center"/>
            </w:pPr>
            <w:r>
              <w:rPr>
                <w:rFonts w:ascii="Calibri" w:hAnsi="Calibri"/>
                <w:b/>
                <w:color w:val="FFFFFF"/>
                <w:sz w:val="13"/>
              </w:rPr>
              <w:t>Max DD</w:t>
            </w:r>
          </w:p>
        </w:tc>
        <w:tc>
          <w:tcPr>
            <w:tcW w:type="dxa" w:w="1296"/>
            <w:tcMar>
              <w:top w:w="70" w:type="dxa"/>
              <w:bottom w:w="70" w:type="dxa"/>
              <w:start w:w="120" w:type="dxa"/>
              <w:end w:w="120" w:type="dxa"/>
            </w:tcMar>
            <w:vAlign w:val="center"/>
            <w:shd w:fill="16324F"/>
          </w:tcPr>
          <w:p>
            <w:pPr>
              <w:spacing w:after="0"/>
              <w:jc w:val="center"/>
            </w:pPr>
            <w:r>
              <w:rPr>
                <w:rFonts w:ascii="Calibri" w:hAnsi="Calibri"/>
                <w:b/>
                <w:color w:val="FFFFFF"/>
                <w:sz w:val="13"/>
              </w:rPr>
              <w:t>Turnover</w:t>
            </w:r>
          </w:p>
        </w:tc>
      </w:tr>
      <w:tr>
        <w:tc>
          <w:tcPr>
            <w:tcW w:type="dxa" w:w="3888"/>
            <w:vAlign w:val="center"/>
            <w:tcMar>
              <w:top w:w="70" w:type="dxa"/>
              <w:bottom w:w="70" w:type="dxa"/>
              <w:start w:w="120" w:type="dxa"/>
              <w:end w:w="120" w:type="dxa"/>
            </w:tcMar>
          </w:tcPr>
          <w:p>
            <w:pPr>
              <w:spacing w:after="0" w:line="240" w:lineRule="auto"/>
              <w:jc w:val="left"/>
            </w:pPr>
            <w:r>
              <w:rPr>
                <w:rFonts w:ascii="Calibri" w:hAnsi="Calibri"/>
                <w:color w:val="1F2933"/>
                <w:sz w:val="13"/>
              </w:rPr>
              <w:t>Base equity risk parity</w:t>
            </w:r>
          </w:p>
        </w:tc>
        <w:tc>
          <w:tcPr>
            <w:tcW w:type="dxa" w:w="1224"/>
            <w:vAlign w:val="center"/>
            <w:tcMar>
              <w:top w:w="70" w:type="dxa"/>
              <w:bottom w:w="70" w:type="dxa"/>
              <w:start w:w="120" w:type="dxa"/>
              <w:end w:w="120" w:type="dxa"/>
            </w:tcMar>
          </w:tcPr>
          <w:p>
            <w:pPr>
              <w:spacing w:after="0" w:line="240" w:lineRule="auto"/>
              <w:jc w:val="center"/>
            </w:pPr>
            <w:r>
              <w:rPr>
                <w:rFonts w:ascii="Calibri" w:hAnsi="Calibri"/>
                <w:color w:val="1F2933"/>
                <w:sz w:val="13"/>
              </w:rPr>
              <w:t>10.5%</w:t>
            </w:r>
          </w:p>
        </w:tc>
        <w:tc>
          <w:tcPr>
            <w:tcW w:type="dxa" w:w="1152"/>
            <w:vAlign w:val="center"/>
            <w:tcMar>
              <w:top w:w="70" w:type="dxa"/>
              <w:bottom w:w="70" w:type="dxa"/>
              <w:start w:w="120" w:type="dxa"/>
              <w:end w:w="120" w:type="dxa"/>
            </w:tcMar>
          </w:tcPr>
          <w:p>
            <w:pPr>
              <w:spacing w:after="0" w:line="240" w:lineRule="auto"/>
              <w:jc w:val="center"/>
            </w:pPr>
            <w:r>
              <w:rPr>
                <w:rFonts w:ascii="Calibri" w:hAnsi="Calibri"/>
                <w:color w:val="1F2933"/>
                <w:sz w:val="13"/>
              </w:rPr>
              <w:t>0.722</w:t>
            </w:r>
          </w:p>
        </w:tc>
        <w:tc>
          <w:tcPr>
            <w:tcW w:type="dxa" w:w="1224"/>
            <w:vAlign w:val="center"/>
            <w:tcMar>
              <w:top w:w="70" w:type="dxa"/>
              <w:bottom w:w="70" w:type="dxa"/>
              <w:start w:w="120" w:type="dxa"/>
              <w:end w:w="120" w:type="dxa"/>
            </w:tcMar>
          </w:tcPr>
          <w:p>
            <w:pPr>
              <w:spacing w:after="0" w:line="240" w:lineRule="auto"/>
              <w:jc w:val="center"/>
            </w:pPr>
            <w:r>
              <w:rPr>
                <w:rFonts w:ascii="Calibri" w:hAnsi="Calibri"/>
                <w:color w:val="1F2933"/>
                <w:sz w:val="13"/>
              </w:rPr>
              <w:t>-18.5%</w:t>
            </w:r>
          </w:p>
        </w:tc>
        <w:tc>
          <w:tcPr>
            <w:tcW w:type="dxa" w:w="1296"/>
            <w:vAlign w:val="center"/>
            <w:tcMar>
              <w:top w:w="70" w:type="dxa"/>
              <w:bottom w:w="70" w:type="dxa"/>
              <w:start w:w="120" w:type="dxa"/>
              <w:end w:w="120" w:type="dxa"/>
            </w:tcMar>
          </w:tcPr>
          <w:p>
            <w:pPr>
              <w:spacing w:after="0" w:line="240" w:lineRule="auto"/>
              <w:jc w:val="center"/>
            </w:pPr>
            <w:r>
              <w:rPr>
                <w:rFonts w:ascii="Calibri" w:hAnsi="Calibri"/>
                <w:color w:val="1F2933"/>
                <w:sz w:val="13"/>
              </w:rPr>
              <w:t>3.2%</w:t>
            </w:r>
          </w:p>
        </w:tc>
      </w:tr>
      <w:tr>
        <w:tc>
          <w:tcPr>
            <w:tcW w:type="dxa" w:w="3888"/>
            <w:vAlign w:val="center"/>
            <w:shd w:fill="F7FAFC"/>
            <w:tcMar>
              <w:top w:w="70" w:type="dxa"/>
              <w:bottom w:w="70" w:type="dxa"/>
              <w:start w:w="120" w:type="dxa"/>
              <w:end w:w="120" w:type="dxa"/>
            </w:tcMar>
          </w:tcPr>
          <w:p>
            <w:pPr>
              <w:spacing w:after="0" w:line="240" w:lineRule="auto"/>
              <w:jc w:val="left"/>
            </w:pPr>
            <w:r>
              <w:rPr>
                <w:rFonts w:ascii="Calibri" w:hAnsi="Calibri"/>
                <w:color w:val="1F2933"/>
                <w:sz w:val="13"/>
              </w:rPr>
              <w:t>21-day signal, 0.15 tilt</w:t>
            </w:r>
          </w:p>
        </w:tc>
        <w:tc>
          <w:tcPr>
            <w:tcW w:type="dxa" w:w="1224"/>
            <w:vAlign w:val="center"/>
            <w:shd w:fill="F7FAFC"/>
            <w:tcMar>
              <w:top w:w="70" w:type="dxa"/>
              <w:bottom w:w="70" w:type="dxa"/>
              <w:start w:w="120" w:type="dxa"/>
              <w:end w:w="120" w:type="dxa"/>
            </w:tcMar>
          </w:tcPr>
          <w:p>
            <w:pPr>
              <w:spacing w:after="0" w:line="240" w:lineRule="auto"/>
              <w:jc w:val="center"/>
            </w:pPr>
            <w:r>
              <w:rPr>
                <w:rFonts w:ascii="Calibri" w:hAnsi="Calibri"/>
                <w:color w:val="1F2933"/>
                <w:sz w:val="13"/>
              </w:rPr>
              <w:t>10.3%</w:t>
            </w:r>
          </w:p>
        </w:tc>
        <w:tc>
          <w:tcPr>
            <w:tcW w:type="dxa" w:w="1152"/>
            <w:vAlign w:val="center"/>
            <w:shd w:fill="F7FAFC"/>
            <w:tcMar>
              <w:top w:w="70" w:type="dxa"/>
              <w:bottom w:w="70" w:type="dxa"/>
              <w:start w:w="120" w:type="dxa"/>
              <w:end w:w="120" w:type="dxa"/>
            </w:tcMar>
          </w:tcPr>
          <w:p>
            <w:pPr>
              <w:spacing w:after="0" w:line="240" w:lineRule="auto"/>
              <w:jc w:val="center"/>
            </w:pPr>
            <w:r>
              <w:rPr>
                <w:rFonts w:ascii="Calibri" w:hAnsi="Calibri"/>
                <w:color w:val="1F2933"/>
                <w:sz w:val="13"/>
              </w:rPr>
              <w:t>0.709</w:t>
            </w:r>
          </w:p>
        </w:tc>
        <w:tc>
          <w:tcPr>
            <w:tcW w:type="dxa" w:w="1224"/>
            <w:vAlign w:val="center"/>
            <w:shd w:fill="F7FAFC"/>
            <w:tcMar>
              <w:top w:w="70" w:type="dxa"/>
              <w:bottom w:w="70" w:type="dxa"/>
              <w:start w:w="120" w:type="dxa"/>
              <w:end w:w="120" w:type="dxa"/>
            </w:tcMar>
          </w:tcPr>
          <w:p>
            <w:pPr>
              <w:spacing w:after="0" w:line="240" w:lineRule="auto"/>
              <w:jc w:val="center"/>
            </w:pPr>
            <w:r>
              <w:rPr>
                <w:rFonts w:ascii="Calibri" w:hAnsi="Calibri"/>
                <w:color w:val="1F2933"/>
                <w:sz w:val="13"/>
              </w:rPr>
              <w:t>-18.3%</w:t>
            </w:r>
          </w:p>
        </w:tc>
        <w:tc>
          <w:tcPr>
            <w:tcW w:type="dxa" w:w="1296"/>
            <w:vAlign w:val="center"/>
            <w:shd w:fill="F7FAFC"/>
            <w:tcMar>
              <w:top w:w="70" w:type="dxa"/>
              <w:bottom w:w="70" w:type="dxa"/>
              <w:start w:w="120" w:type="dxa"/>
              <w:end w:w="120" w:type="dxa"/>
            </w:tcMar>
          </w:tcPr>
          <w:p>
            <w:pPr>
              <w:spacing w:after="0" w:line="240" w:lineRule="auto"/>
              <w:jc w:val="center"/>
            </w:pPr>
            <w:r>
              <w:rPr>
                <w:rFonts w:ascii="Calibri" w:hAnsi="Calibri"/>
                <w:color w:val="1F2933"/>
                <w:sz w:val="13"/>
              </w:rPr>
              <w:t>6.4%</w:t>
            </w:r>
          </w:p>
        </w:tc>
      </w:tr>
      <w:tr>
        <w:tc>
          <w:tcPr>
            <w:tcW w:type="dxa" w:w="3888"/>
            <w:vAlign w:val="center"/>
            <w:tcMar>
              <w:top w:w="70" w:type="dxa"/>
              <w:bottom w:w="70" w:type="dxa"/>
              <w:start w:w="120" w:type="dxa"/>
              <w:end w:w="120" w:type="dxa"/>
            </w:tcMar>
          </w:tcPr>
          <w:p>
            <w:pPr>
              <w:spacing w:after="0" w:line="240" w:lineRule="auto"/>
              <w:jc w:val="left"/>
            </w:pPr>
            <w:r>
              <w:rPr>
                <w:rFonts w:ascii="Calibri" w:hAnsi="Calibri"/>
                <w:color w:val="1F2933"/>
                <w:sz w:val="13"/>
              </w:rPr>
              <w:t>21-day signal, 0.30 tilt (primary)</w:t>
            </w:r>
          </w:p>
        </w:tc>
        <w:tc>
          <w:tcPr>
            <w:tcW w:type="dxa" w:w="1224"/>
            <w:vAlign w:val="center"/>
            <w:tcMar>
              <w:top w:w="70" w:type="dxa"/>
              <w:bottom w:w="70" w:type="dxa"/>
              <w:start w:w="120" w:type="dxa"/>
              <w:end w:w="120" w:type="dxa"/>
            </w:tcMar>
          </w:tcPr>
          <w:p>
            <w:pPr>
              <w:spacing w:after="0" w:line="240" w:lineRule="auto"/>
              <w:jc w:val="center"/>
            </w:pPr>
            <w:r>
              <w:rPr>
                <w:rFonts w:ascii="Calibri" w:hAnsi="Calibri"/>
                <w:color w:val="1F2933"/>
                <w:sz w:val="13"/>
              </w:rPr>
              <w:t>10.1%</w:t>
            </w:r>
          </w:p>
        </w:tc>
        <w:tc>
          <w:tcPr>
            <w:tcW w:type="dxa" w:w="1152"/>
            <w:vAlign w:val="center"/>
            <w:tcMar>
              <w:top w:w="70" w:type="dxa"/>
              <w:bottom w:w="70" w:type="dxa"/>
              <w:start w:w="120" w:type="dxa"/>
              <w:end w:w="120" w:type="dxa"/>
            </w:tcMar>
          </w:tcPr>
          <w:p>
            <w:pPr>
              <w:spacing w:after="0" w:line="240" w:lineRule="auto"/>
              <w:jc w:val="center"/>
            </w:pPr>
            <w:r>
              <w:rPr>
                <w:rFonts w:ascii="Calibri" w:hAnsi="Calibri"/>
                <w:color w:val="1F2933"/>
                <w:sz w:val="13"/>
              </w:rPr>
              <w:t>0.695</w:t>
            </w:r>
          </w:p>
        </w:tc>
        <w:tc>
          <w:tcPr>
            <w:tcW w:type="dxa" w:w="1224"/>
            <w:vAlign w:val="center"/>
            <w:tcMar>
              <w:top w:w="70" w:type="dxa"/>
              <w:bottom w:w="70" w:type="dxa"/>
              <w:start w:w="120" w:type="dxa"/>
              <w:end w:w="120" w:type="dxa"/>
            </w:tcMar>
          </w:tcPr>
          <w:p>
            <w:pPr>
              <w:spacing w:after="0" w:line="240" w:lineRule="auto"/>
              <w:jc w:val="center"/>
            </w:pPr>
            <w:r>
              <w:rPr>
                <w:rFonts w:ascii="Calibri" w:hAnsi="Calibri"/>
                <w:color w:val="1F2933"/>
                <w:sz w:val="13"/>
              </w:rPr>
              <w:t>-18.0%</w:t>
            </w:r>
          </w:p>
        </w:tc>
        <w:tc>
          <w:tcPr>
            <w:tcW w:type="dxa" w:w="1296"/>
            <w:vAlign w:val="center"/>
            <w:tcMar>
              <w:top w:w="70" w:type="dxa"/>
              <w:bottom w:w="70" w:type="dxa"/>
              <w:start w:w="120" w:type="dxa"/>
              <w:end w:w="120" w:type="dxa"/>
            </w:tcMar>
          </w:tcPr>
          <w:p>
            <w:pPr>
              <w:spacing w:after="0" w:line="240" w:lineRule="auto"/>
              <w:jc w:val="center"/>
            </w:pPr>
            <w:r>
              <w:rPr>
                <w:rFonts w:ascii="Calibri" w:hAnsi="Calibri"/>
                <w:color w:val="1F2933"/>
                <w:sz w:val="13"/>
              </w:rPr>
              <w:t>11.5%</w:t>
            </w:r>
          </w:p>
        </w:tc>
      </w:tr>
      <w:tr>
        <w:tc>
          <w:tcPr>
            <w:tcW w:type="dxa" w:w="3888"/>
            <w:vAlign w:val="center"/>
            <w:shd w:fill="F7FAFC"/>
            <w:tcMar>
              <w:top w:w="70" w:type="dxa"/>
              <w:bottom w:w="70" w:type="dxa"/>
              <w:start w:w="120" w:type="dxa"/>
              <w:end w:w="120" w:type="dxa"/>
            </w:tcMar>
          </w:tcPr>
          <w:p>
            <w:pPr>
              <w:spacing w:after="0" w:line="240" w:lineRule="auto"/>
              <w:jc w:val="left"/>
            </w:pPr>
            <w:r>
              <w:rPr>
                <w:rFonts w:ascii="Calibri" w:hAnsi="Calibri"/>
                <w:color w:val="1F2933"/>
                <w:sz w:val="13"/>
              </w:rPr>
              <w:t>42-day signal, 0.30 tilt</w:t>
            </w:r>
          </w:p>
        </w:tc>
        <w:tc>
          <w:tcPr>
            <w:tcW w:type="dxa" w:w="1224"/>
            <w:vAlign w:val="center"/>
            <w:shd w:fill="F7FAFC"/>
            <w:tcMar>
              <w:top w:w="70" w:type="dxa"/>
              <w:bottom w:w="70" w:type="dxa"/>
              <w:start w:w="120" w:type="dxa"/>
              <w:end w:w="120" w:type="dxa"/>
            </w:tcMar>
          </w:tcPr>
          <w:p>
            <w:pPr>
              <w:spacing w:after="0" w:line="240" w:lineRule="auto"/>
              <w:jc w:val="center"/>
            </w:pPr>
            <w:r>
              <w:rPr>
                <w:rFonts w:ascii="Calibri" w:hAnsi="Calibri"/>
                <w:color w:val="1F2933"/>
                <w:sz w:val="13"/>
              </w:rPr>
              <w:t>9.5%</w:t>
            </w:r>
          </w:p>
        </w:tc>
        <w:tc>
          <w:tcPr>
            <w:tcW w:type="dxa" w:w="1152"/>
            <w:vAlign w:val="center"/>
            <w:shd w:fill="F7FAFC"/>
            <w:tcMar>
              <w:top w:w="70" w:type="dxa"/>
              <w:bottom w:w="70" w:type="dxa"/>
              <w:start w:w="120" w:type="dxa"/>
              <w:end w:w="120" w:type="dxa"/>
            </w:tcMar>
          </w:tcPr>
          <w:p>
            <w:pPr>
              <w:spacing w:after="0" w:line="240" w:lineRule="auto"/>
              <w:jc w:val="center"/>
            </w:pPr>
            <w:r>
              <w:rPr>
                <w:rFonts w:ascii="Calibri" w:hAnsi="Calibri"/>
                <w:color w:val="1F2933"/>
                <w:sz w:val="13"/>
              </w:rPr>
              <w:t>0.654</w:t>
            </w:r>
          </w:p>
        </w:tc>
        <w:tc>
          <w:tcPr>
            <w:tcW w:type="dxa" w:w="1224"/>
            <w:vAlign w:val="center"/>
            <w:shd w:fill="F7FAFC"/>
            <w:tcMar>
              <w:top w:w="70" w:type="dxa"/>
              <w:bottom w:w="70" w:type="dxa"/>
              <w:start w:w="120" w:type="dxa"/>
              <w:end w:w="120" w:type="dxa"/>
            </w:tcMar>
          </w:tcPr>
          <w:p>
            <w:pPr>
              <w:spacing w:after="0" w:line="240" w:lineRule="auto"/>
              <w:jc w:val="center"/>
            </w:pPr>
            <w:r>
              <w:rPr>
                <w:rFonts w:ascii="Calibri" w:hAnsi="Calibri"/>
                <w:color w:val="1F2933"/>
                <w:sz w:val="13"/>
              </w:rPr>
              <w:t>-18.4%</w:t>
            </w:r>
          </w:p>
        </w:tc>
        <w:tc>
          <w:tcPr>
            <w:tcW w:type="dxa" w:w="1296"/>
            <w:vAlign w:val="center"/>
            <w:shd w:fill="F7FAFC"/>
            <w:tcMar>
              <w:top w:w="70" w:type="dxa"/>
              <w:bottom w:w="70" w:type="dxa"/>
              <w:start w:w="120" w:type="dxa"/>
              <w:end w:w="120" w:type="dxa"/>
            </w:tcMar>
          </w:tcPr>
          <w:p>
            <w:pPr>
              <w:spacing w:after="0" w:line="240" w:lineRule="auto"/>
              <w:jc w:val="center"/>
            </w:pPr>
            <w:r>
              <w:rPr>
                <w:rFonts w:ascii="Calibri" w:hAnsi="Calibri"/>
                <w:color w:val="1F2933"/>
                <w:sz w:val="13"/>
              </w:rPr>
              <w:t>7.6%</w:t>
            </w:r>
          </w:p>
        </w:tc>
      </w:tr>
    </w:tbl>
    <w:p>
      <w:pPr>
        <w:spacing w:after="40"/>
      </w:pPr>
    </w:p>
    <w:p>
      <w:pPr/>
      <w:r>
        <w:rPr>
          <w:rFonts w:ascii="Calibri" w:hAnsi="Calibri"/>
        </w:rPr>
        <w:t xml:space="preserve">Table </w:t>
      </w:r>
      <w:r>
        <w:rPr>
          <w:rFonts w:ascii="Calibri" w:hAnsi="Calibri"/>
        </w:rPr>
        <w:fldChar w:fldCharType="begin"/>
      </w:r>
      <w:r>
        <w:rPr>
          <w:rFonts w:ascii="Calibri" w:hAnsi="Calibri"/>
        </w:rPr>
        <w:instrText xml:space="preserve"> REF _RefTblCostFee \h </w:instrText>
      </w:r>
      <w:r>
        <w:rPr>
          <w:rFonts w:ascii="Calibri" w:hAnsi="Calibri"/>
        </w:rPr>
        <w:fldChar w:fldCharType="separate"/>
      </w:r>
      <w:r>
        <w:rPr>
          <w:rFonts w:ascii="Calibri" w:hAnsi="Calibri"/>
        </w:rPr>
        <w:t>11</w:t>
      </w:r>
      <w:r>
        <w:rPr>
          <w:rFonts w:ascii="Calibri" w:hAnsi="Calibri"/>
        </w:rPr>
        <w:fldChar w:fldCharType="end"/>
      </w:r>
      <w:r>
        <w:rPr>
          <w:rFonts w:ascii="Calibri" w:hAnsi="Calibri"/>
        </w:rPr>
        <w:t xml:space="preserve"> shows that doubling the trading-cost rate does not alter the combined-fund recommendation, while a 1% annual management fee reduces but does not reverse the flagship's Sharpe advantage. </w:t>
      </w:r>
      <w:r>
        <w:rPr>
          <w:rFonts w:ascii="Calibri" w:hAnsi="Calibri"/>
        </w:rPr>
        <w:t xml:space="preserve">Table </w:t>
      </w:r>
      <w:r>
        <w:rPr>
          <w:rFonts w:ascii="Calibri" w:hAnsi="Calibri"/>
        </w:rPr>
        <w:fldChar w:fldCharType="begin"/>
      </w:r>
      <w:r>
        <w:rPr>
          <w:rFonts w:ascii="Calibri" w:hAnsi="Calibri"/>
        </w:rPr>
        <w:instrText xml:space="preserve"> REF _RefTblFusionSensitivity \h </w:instrText>
      </w:r>
      <w:r>
        <w:rPr>
          <w:rFonts w:ascii="Calibri" w:hAnsi="Calibri"/>
        </w:rPr>
        <w:fldChar w:fldCharType="separate"/>
      </w:r>
      <w:r>
        <w:rPr>
          <w:rFonts w:ascii="Calibri" w:hAnsi="Calibri"/>
        </w:rPr>
        <w:t>12</w:t>
      </w:r>
      <w:r>
        <w:rPr>
          <w:rFonts w:ascii="Calibri" w:hAnsi="Calibri"/>
        </w:rPr>
        <w:fldChar w:fldCharType="end"/>
      </w:r>
      <w:r>
        <w:rPr>
          <w:rFonts w:ascii="Calibri" w:hAnsi="Calibri"/>
        </w:rPr>
        <w:t xml:space="preserve"> shows every prespecified tilt variant below the equity Risk Parity base, so the research-only sentiment conclusion is qualitatively stable.</w:t>
      </w:r>
    </w:p>
    <w:p>
      <w:r>
        <w:br w:type="page"/>
      </w:r>
    </w:p>
    <w:p>
      <w:pPr>
        <w:pStyle w:val="Heading1"/>
      </w:pPr>
      <w:r>
        <w:t>Appendix F. Text model and estimation audit</w:t>
      </w:r>
    </w:p>
    <w:p>
      <w:pPr>
        <w:pStyle w:val="Caption"/>
      </w:pPr>
      <w:r>
        <w:rPr>
          <w:rFonts w:ascii="Calibri" w:hAnsi="Calibri"/>
          <w:i/>
          <w:color w:val="64748B"/>
          <w:sz w:val="15"/>
        </w:rPr>
        <w:t xml:space="preserve">Table </w:t>
      </w:r>
      <w:bookmarkStart w:id="38" w:name="_RefTblVader"/>
      <w:r>
        <w:rPr>
          <w:rFonts w:ascii="Calibri" w:hAnsi="Calibri"/>
          <w:i/>
          <w:color w:val="64748B"/>
          <w:sz w:val="15"/>
        </w:rPr>
        <w:fldChar w:fldCharType="begin"/>
      </w:r>
      <w:r>
        <w:rPr>
          <w:rFonts w:ascii="Calibri" w:hAnsi="Calibri"/>
          <w:i/>
          <w:color w:val="64748B"/>
          <w:sz w:val="15"/>
        </w:rPr>
        <w:instrText xml:space="preserve"> SEQ Table \* ARABIC </w:instrText>
      </w:r>
      <w:r>
        <w:rPr>
          <w:rFonts w:ascii="Calibri" w:hAnsi="Calibri"/>
          <w:i/>
          <w:color w:val="64748B"/>
          <w:sz w:val="15"/>
        </w:rPr>
        <w:fldChar w:fldCharType="separate"/>
      </w:r>
      <w:r>
        <w:rPr>
          <w:rFonts w:ascii="Calibri" w:hAnsi="Calibri"/>
          <w:i/>
          <w:color w:val="64748B"/>
          <w:sz w:val="15"/>
        </w:rPr>
        <w:t>13</w:t>
      </w:r>
      <w:r>
        <w:rPr>
          <w:rFonts w:ascii="Calibri" w:hAnsi="Calibri"/>
          <w:i/>
          <w:color w:val="64748B"/>
          <w:sz w:val="15"/>
        </w:rPr>
        <w:fldChar w:fldCharType="end"/>
      </w:r>
      <w:bookmarkEnd w:id="38"/>
      <w:r>
        <w:rPr>
          <w:rFonts w:ascii="Calibri" w:hAnsi="Calibri"/>
          <w:i/>
          <w:color w:val="64748B"/>
          <w:sz w:val="15"/>
        </w:rPr>
        <w:t>. Plain and finance-extended VADER distributions across 146,830 aligned headlines. Thresholds are positive &gt;= 0.05, negative &lt;= -0.05, and neutral otherwise. Source: vaderSentiment 3.3.2 and author extension.</w:t>
      </w:r>
    </w:p>
    <w:tbl>
      <w:tblPr>
        <w:tblStyle w:val="TableGrid"/>
        <w:tblW w:type="dxa" w:w="9288"/>
        <w:tblLayout w:type="fixed"/>
        <w:tblLook w:firstColumn="1" w:firstRow="1" w:lastColumn="0" w:lastRow="0" w:noHBand="0" w:noVBand="1" w:val="04A0"/>
        <w:jc w:val="left"/>
        <w:tblInd w:type="dxa" w:w="120"/>
      </w:tblPr>
      <w:tblGrid>
        <w:gridCol w:w="2232"/>
        <w:gridCol w:w="1224"/>
        <w:gridCol w:w="1512"/>
        <w:gridCol w:w="1440"/>
        <w:gridCol w:w="1440"/>
        <w:gridCol w:w="1440"/>
      </w:tblGrid>
      <w:tr>
        <w:trPr>
          <w:tblHeader w:val="true"/>
        </w:trPr>
        <w:tc>
          <w:tcPr>
            <w:tcW w:type="dxa" w:w="2232"/>
            <w:tcMar>
              <w:top w:w="70" w:type="dxa"/>
              <w:bottom w:w="70" w:type="dxa"/>
              <w:start w:w="120" w:type="dxa"/>
              <w:end w:w="120" w:type="dxa"/>
            </w:tcMar>
            <w:vAlign w:val="center"/>
            <w:shd w:fill="16324F"/>
          </w:tcPr>
          <w:p>
            <w:pPr>
              <w:spacing w:after="0"/>
              <w:jc w:val="center"/>
            </w:pPr>
            <w:r>
              <w:rPr>
                <w:rFonts w:ascii="Calibri" w:hAnsi="Calibri"/>
                <w:b/>
                <w:color w:val="FFFFFF"/>
                <w:sz w:val="15"/>
              </w:rPr>
              <w:t>Model</w:t>
            </w:r>
          </w:p>
        </w:tc>
        <w:tc>
          <w:tcPr>
            <w:tcW w:type="dxa" w:w="1224"/>
            <w:tcMar>
              <w:top w:w="70" w:type="dxa"/>
              <w:bottom w:w="70" w:type="dxa"/>
              <w:start w:w="120" w:type="dxa"/>
              <w:end w:w="120" w:type="dxa"/>
            </w:tcMar>
            <w:vAlign w:val="center"/>
            <w:shd w:fill="16324F"/>
          </w:tcPr>
          <w:p>
            <w:pPr>
              <w:spacing w:after="0"/>
              <w:jc w:val="center"/>
            </w:pPr>
            <w:r>
              <w:rPr>
                <w:rFonts w:ascii="Calibri" w:hAnsi="Calibri"/>
                <w:b/>
                <w:color w:val="FFFFFF"/>
                <w:sz w:val="15"/>
              </w:rPr>
              <w:t>Mean</w:t>
            </w:r>
          </w:p>
        </w:tc>
        <w:tc>
          <w:tcPr>
            <w:tcW w:type="dxa" w:w="1512"/>
            <w:tcMar>
              <w:top w:w="70" w:type="dxa"/>
              <w:bottom w:w="70" w:type="dxa"/>
              <w:start w:w="120" w:type="dxa"/>
              <w:end w:w="120" w:type="dxa"/>
            </w:tcMar>
            <w:vAlign w:val="center"/>
            <w:shd w:fill="16324F"/>
          </w:tcPr>
          <w:p>
            <w:pPr>
              <w:spacing w:after="0"/>
              <w:jc w:val="center"/>
            </w:pPr>
            <w:r>
              <w:rPr>
                <w:rFonts w:ascii="Calibri" w:hAnsi="Calibri"/>
                <w:b/>
                <w:color w:val="FFFFFF"/>
                <w:sz w:val="15"/>
              </w:rPr>
              <w:t>Positive</w:t>
            </w:r>
          </w:p>
        </w:tc>
        <w:tc>
          <w:tcPr>
            <w:tcW w:type="dxa" w:w="1440"/>
            <w:tcMar>
              <w:top w:w="70" w:type="dxa"/>
              <w:bottom w:w="70" w:type="dxa"/>
              <w:start w:w="120" w:type="dxa"/>
              <w:end w:w="120" w:type="dxa"/>
            </w:tcMar>
            <w:vAlign w:val="center"/>
            <w:shd w:fill="16324F"/>
          </w:tcPr>
          <w:p>
            <w:pPr>
              <w:spacing w:after="0"/>
              <w:jc w:val="center"/>
            </w:pPr>
            <w:r>
              <w:rPr>
                <w:rFonts w:ascii="Calibri" w:hAnsi="Calibri"/>
                <w:b/>
                <w:color w:val="FFFFFF"/>
                <w:sz w:val="15"/>
              </w:rPr>
              <w:t>Neutral</w:t>
            </w:r>
          </w:p>
        </w:tc>
        <w:tc>
          <w:tcPr>
            <w:tcW w:type="dxa" w:w="1440"/>
            <w:tcMar>
              <w:top w:w="70" w:type="dxa"/>
              <w:bottom w:w="70" w:type="dxa"/>
              <w:start w:w="120" w:type="dxa"/>
              <w:end w:w="120" w:type="dxa"/>
            </w:tcMar>
            <w:vAlign w:val="center"/>
            <w:shd w:fill="16324F"/>
          </w:tcPr>
          <w:p>
            <w:pPr>
              <w:spacing w:after="0"/>
              <w:jc w:val="center"/>
            </w:pPr>
            <w:r>
              <w:rPr>
                <w:rFonts w:ascii="Calibri" w:hAnsi="Calibri"/>
                <w:b/>
                <w:color w:val="FFFFFF"/>
                <w:sz w:val="15"/>
              </w:rPr>
              <w:t>Negative</w:t>
            </w:r>
          </w:p>
        </w:tc>
        <w:tc>
          <w:tcPr>
            <w:tcW w:type="dxa" w:w="1440"/>
            <w:tcMar>
              <w:top w:w="70" w:type="dxa"/>
              <w:bottom w:w="70" w:type="dxa"/>
              <w:start w:w="120" w:type="dxa"/>
              <w:end w:w="120" w:type="dxa"/>
            </w:tcMar>
            <w:vAlign w:val="center"/>
            <w:shd w:fill="16324F"/>
          </w:tcPr>
          <w:p>
            <w:pPr>
              <w:spacing w:after="0"/>
              <w:jc w:val="center"/>
            </w:pPr>
            <w:r>
              <w:rPr>
                <w:rFonts w:ascii="Calibri" w:hAnsi="Calibri"/>
                <w:b/>
                <w:color w:val="FFFFFF"/>
                <w:sz w:val="15"/>
              </w:rPr>
              <w:t>Changed</w:t>
            </w:r>
          </w:p>
        </w:tc>
      </w:tr>
      <w:tr>
        <w:tc>
          <w:tcPr>
            <w:tcW w:type="dxa" w:w="2232"/>
            <w:vAlign w:val="center"/>
            <w:tcMar>
              <w:top w:w="70" w:type="dxa"/>
              <w:bottom w:w="70" w:type="dxa"/>
              <w:start w:w="120" w:type="dxa"/>
              <w:end w:w="120" w:type="dxa"/>
            </w:tcMar>
          </w:tcPr>
          <w:p>
            <w:pPr>
              <w:spacing w:after="0" w:line="240" w:lineRule="auto"/>
              <w:jc w:val="left"/>
            </w:pPr>
            <w:r>
              <w:rPr>
                <w:rFonts w:ascii="Calibri" w:hAnsi="Calibri"/>
                <w:color w:val="1F2933"/>
                <w:sz w:val="15"/>
              </w:rPr>
              <w:t>Plain VADER</w:t>
            </w:r>
          </w:p>
        </w:tc>
        <w:tc>
          <w:tcPr>
            <w:tcW w:type="dxa" w:w="1224"/>
            <w:vAlign w:val="center"/>
            <w:tcMar>
              <w:top w:w="70" w:type="dxa"/>
              <w:bottom w:w="70" w:type="dxa"/>
              <w:start w:w="120" w:type="dxa"/>
              <w:end w:w="120" w:type="dxa"/>
            </w:tcMar>
          </w:tcPr>
          <w:p>
            <w:pPr>
              <w:spacing w:after="0" w:line="240" w:lineRule="auto"/>
              <w:jc w:val="center"/>
            </w:pPr>
            <w:r>
              <w:rPr>
                <w:rFonts w:ascii="Calibri" w:hAnsi="Calibri"/>
                <w:color w:val="1F2933"/>
                <w:sz w:val="15"/>
              </w:rPr>
              <w:t>+0.106</w:t>
            </w:r>
          </w:p>
        </w:tc>
        <w:tc>
          <w:tcPr>
            <w:tcW w:type="dxa" w:w="1512"/>
            <w:vAlign w:val="center"/>
            <w:tcMar>
              <w:top w:w="70" w:type="dxa"/>
              <w:bottom w:w="70" w:type="dxa"/>
              <w:start w:w="120" w:type="dxa"/>
              <w:end w:w="120" w:type="dxa"/>
            </w:tcMar>
          </w:tcPr>
          <w:p>
            <w:pPr>
              <w:spacing w:after="0" w:line="240" w:lineRule="auto"/>
              <w:jc w:val="center"/>
            </w:pPr>
            <w:r>
              <w:rPr>
                <w:rFonts w:ascii="Calibri" w:hAnsi="Calibri"/>
                <w:color w:val="1F2933"/>
                <w:sz w:val="15"/>
              </w:rPr>
              <w:t>37.5%</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5"/>
              </w:rPr>
              <w:t>49.5%</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5"/>
              </w:rPr>
              <w:t>13.0%</w:t>
            </w:r>
          </w:p>
        </w:tc>
        <w:tc>
          <w:tcPr>
            <w:tcW w:type="dxa" w:w="1440"/>
            <w:vAlign w:val="center"/>
            <w:tcMar>
              <w:top w:w="70" w:type="dxa"/>
              <w:bottom w:w="70" w:type="dxa"/>
              <w:start w:w="120" w:type="dxa"/>
              <w:end w:w="120" w:type="dxa"/>
            </w:tcMar>
          </w:tcPr>
          <w:p>
            <w:pPr>
              <w:spacing w:after="0" w:line="240" w:lineRule="auto"/>
              <w:jc w:val="center"/>
            </w:pPr>
            <w:r>
              <w:rPr>
                <w:rFonts w:ascii="Calibri" w:hAnsi="Calibri"/>
                <w:color w:val="1F2933"/>
                <w:sz w:val="15"/>
              </w:rPr>
              <w:t>0.0%</w:t>
            </w:r>
          </w:p>
        </w:tc>
      </w:tr>
      <w:tr>
        <w:tc>
          <w:tcPr>
            <w:tcW w:type="dxa" w:w="2232"/>
            <w:vAlign w:val="center"/>
            <w:shd w:fill="F7FAFC"/>
            <w:tcMar>
              <w:top w:w="70" w:type="dxa"/>
              <w:bottom w:w="70" w:type="dxa"/>
              <w:start w:w="120" w:type="dxa"/>
              <w:end w:w="120" w:type="dxa"/>
            </w:tcMar>
          </w:tcPr>
          <w:p>
            <w:pPr>
              <w:spacing w:after="0" w:line="240" w:lineRule="auto"/>
              <w:jc w:val="left"/>
            </w:pPr>
            <w:r>
              <w:rPr>
                <w:rFonts w:ascii="Calibri" w:hAnsi="Calibri"/>
                <w:color w:val="1F2933"/>
                <w:sz w:val="15"/>
              </w:rPr>
              <w:t>Finance-extended</w:t>
            </w:r>
          </w:p>
        </w:tc>
        <w:tc>
          <w:tcPr>
            <w:tcW w:type="dxa" w:w="1224"/>
            <w:vAlign w:val="center"/>
            <w:shd w:fill="F7FAFC"/>
            <w:tcMar>
              <w:top w:w="70" w:type="dxa"/>
              <w:bottom w:w="70" w:type="dxa"/>
              <w:start w:w="120" w:type="dxa"/>
              <w:end w:w="120" w:type="dxa"/>
            </w:tcMar>
          </w:tcPr>
          <w:p>
            <w:pPr>
              <w:spacing w:after="0" w:line="240" w:lineRule="auto"/>
              <w:jc w:val="center"/>
            </w:pPr>
            <w:r>
              <w:rPr>
                <w:rFonts w:ascii="Calibri" w:hAnsi="Calibri"/>
                <w:color w:val="1F2933"/>
                <w:sz w:val="15"/>
              </w:rPr>
              <w:t>+0.110</w:t>
            </w:r>
          </w:p>
        </w:tc>
        <w:tc>
          <w:tcPr>
            <w:tcW w:type="dxa" w:w="1512"/>
            <w:vAlign w:val="center"/>
            <w:shd w:fill="F7FAFC"/>
            <w:tcMar>
              <w:top w:w="70" w:type="dxa"/>
              <w:bottom w:w="70" w:type="dxa"/>
              <w:start w:w="120" w:type="dxa"/>
              <w:end w:w="120" w:type="dxa"/>
            </w:tcMar>
          </w:tcPr>
          <w:p>
            <w:pPr>
              <w:spacing w:after="0" w:line="240" w:lineRule="auto"/>
              <w:jc w:val="center"/>
            </w:pPr>
            <w:r>
              <w:rPr>
                <w:rFonts w:ascii="Calibri" w:hAnsi="Calibri"/>
                <w:color w:val="1F2933"/>
                <w:sz w:val="15"/>
              </w:rPr>
              <w:t>38.3%</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5"/>
              </w:rPr>
              <w:t>48.7%</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5"/>
              </w:rPr>
              <w:t>13.1%</w:t>
            </w:r>
          </w:p>
        </w:tc>
        <w:tc>
          <w:tcPr>
            <w:tcW w:type="dxa" w:w="144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5"/>
              </w:rPr>
              <w:t>3.2%</w:t>
            </w:r>
          </w:p>
        </w:tc>
      </w:tr>
    </w:tbl>
    <w:p>
      <w:pPr>
        <w:spacing w:after="40"/>
      </w:pPr>
    </w:p>
    <w:p>
      <w:pPr>
        <w:pStyle w:val="Caption"/>
      </w:pPr>
      <w:r>
        <w:rPr>
          <w:rFonts w:ascii="Calibri" w:hAnsi="Calibri"/>
          <w:i/>
          <w:color w:val="64748B"/>
          <w:sz w:val="15"/>
        </w:rPr>
        <w:t xml:space="preserve">Table </w:t>
      </w:r>
      <w:bookmarkStart w:id="39" w:name="_RefTblImputation"/>
      <w:r>
        <w:rPr>
          <w:rFonts w:ascii="Calibri" w:hAnsi="Calibri"/>
          <w:i/>
          <w:color w:val="64748B"/>
          <w:sz w:val="15"/>
        </w:rPr>
        <w:fldChar w:fldCharType="begin"/>
      </w:r>
      <w:r>
        <w:rPr>
          <w:rFonts w:ascii="Calibri" w:hAnsi="Calibri"/>
          <w:i/>
          <w:color w:val="64748B"/>
          <w:sz w:val="15"/>
        </w:rPr>
        <w:instrText xml:space="preserve"> SEQ Table \* ARABIC </w:instrText>
      </w:r>
      <w:r>
        <w:rPr>
          <w:rFonts w:ascii="Calibri" w:hAnsi="Calibri"/>
          <w:i/>
          <w:color w:val="64748B"/>
          <w:sz w:val="15"/>
        </w:rPr>
        <w:fldChar w:fldCharType="separate"/>
      </w:r>
      <w:r>
        <w:rPr>
          <w:rFonts w:ascii="Calibri" w:hAnsi="Calibri"/>
          <w:i/>
          <w:color w:val="64748B"/>
          <w:sz w:val="15"/>
        </w:rPr>
        <w:t>14</w:t>
      </w:r>
      <w:r>
        <w:rPr>
          <w:rFonts w:ascii="Calibri" w:hAnsi="Calibri"/>
          <w:i/>
          <w:color w:val="64748B"/>
          <w:sz w:val="15"/>
        </w:rPr>
        <w:fldChar w:fldCharType="end"/>
      </w:r>
      <w:bookmarkEnd w:id="39"/>
      <w:r>
        <w:rPr>
          <w:rFonts w:ascii="Calibri" w:hAnsi="Calibri"/>
          <w:i/>
          <w:color w:val="64748B"/>
          <w:sz w:val="15"/>
        </w:rPr>
        <w:t>. Return-data availability across repeated monthly estimation windows. Optimizer cells count overlapping window observations; exclusions count an asset-window failing the 80% rule. Source: automated author audit.</w:t>
      </w:r>
    </w:p>
    <w:tbl>
      <w:tblPr>
        <w:tblStyle w:val="TableGrid"/>
        <w:tblW w:type="dxa" w:w="9144"/>
        <w:tblLayout w:type="fixed"/>
        <w:tblLook w:firstColumn="1" w:firstRow="1" w:lastColumn="0" w:lastRow="0" w:noHBand="0" w:noVBand="1" w:val="04A0"/>
        <w:jc w:val="left"/>
        <w:tblInd w:type="dxa" w:w="120"/>
      </w:tblPr>
      <w:tblGrid>
        <w:gridCol w:w="1656"/>
        <w:gridCol w:w="1224"/>
        <w:gridCol w:w="1800"/>
        <w:gridCol w:w="1656"/>
        <w:gridCol w:w="1296"/>
        <w:gridCol w:w="1512"/>
      </w:tblGrid>
      <w:tr>
        <w:trPr>
          <w:tblHeader w:val="true"/>
        </w:trPr>
        <w:tc>
          <w:tcPr>
            <w:tcW w:type="dxa" w:w="1656"/>
            <w:tcMar>
              <w:top w:w="70" w:type="dxa"/>
              <w:bottom w:w="70" w:type="dxa"/>
              <w:start w:w="120" w:type="dxa"/>
              <w:end w:w="120" w:type="dxa"/>
            </w:tcMar>
            <w:vAlign w:val="center"/>
            <w:shd w:fill="16324F"/>
          </w:tcPr>
          <w:p>
            <w:pPr>
              <w:spacing w:after="0"/>
              <w:jc w:val="center"/>
            </w:pPr>
            <w:r>
              <w:rPr>
                <w:rFonts w:ascii="Calibri" w:hAnsi="Calibri"/>
                <w:b/>
                <w:color w:val="FFFFFF"/>
                <w:sz w:val="14"/>
              </w:rPr>
              <w:t>Family</w:t>
            </w:r>
          </w:p>
        </w:tc>
        <w:tc>
          <w:tcPr>
            <w:tcW w:type="dxa" w:w="1224"/>
            <w:tcMar>
              <w:top w:w="70" w:type="dxa"/>
              <w:bottom w:w="70" w:type="dxa"/>
              <w:start w:w="120" w:type="dxa"/>
              <w:end w:w="120" w:type="dxa"/>
            </w:tcMar>
            <w:vAlign w:val="center"/>
            <w:shd w:fill="16324F"/>
          </w:tcPr>
          <w:p>
            <w:pPr>
              <w:spacing w:after="0"/>
              <w:jc w:val="center"/>
            </w:pPr>
            <w:r>
              <w:rPr>
                <w:rFonts w:ascii="Calibri" w:hAnsi="Calibri"/>
                <w:b/>
                <w:color w:val="FFFFFF"/>
                <w:sz w:val="14"/>
              </w:rPr>
              <w:t>Windows</w:t>
            </w:r>
          </w:p>
        </w:tc>
        <w:tc>
          <w:tcPr>
            <w:tcW w:type="dxa" w:w="1800"/>
            <w:tcMar>
              <w:top w:w="70" w:type="dxa"/>
              <w:bottom w:w="70" w:type="dxa"/>
              <w:start w:w="120" w:type="dxa"/>
              <w:end w:w="120" w:type="dxa"/>
            </w:tcMar>
            <w:vAlign w:val="center"/>
            <w:shd w:fill="16324F"/>
          </w:tcPr>
          <w:p>
            <w:pPr>
              <w:spacing w:after="0"/>
              <w:jc w:val="center"/>
            </w:pPr>
            <w:r>
              <w:rPr>
                <w:rFonts w:ascii="Calibri" w:hAnsi="Calibri"/>
                <w:b/>
                <w:color w:val="FFFFFF"/>
                <w:sz w:val="14"/>
              </w:rPr>
              <w:t>Cells</w:t>
            </w:r>
          </w:p>
        </w:tc>
        <w:tc>
          <w:tcPr>
            <w:tcW w:type="dxa" w:w="1656"/>
            <w:tcMar>
              <w:top w:w="70" w:type="dxa"/>
              <w:bottom w:w="70" w:type="dxa"/>
              <w:start w:w="120" w:type="dxa"/>
              <w:end w:w="120" w:type="dxa"/>
            </w:tcMar>
            <w:vAlign w:val="center"/>
            <w:shd w:fill="16324F"/>
          </w:tcPr>
          <w:p>
            <w:pPr>
              <w:spacing w:after="0"/>
              <w:jc w:val="center"/>
            </w:pPr>
            <w:r>
              <w:rPr>
                <w:rFonts w:ascii="Calibri" w:hAnsi="Calibri"/>
                <w:b/>
                <w:color w:val="FFFFFF"/>
                <w:sz w:val="14"/>
              </w:rPr>
              <w:t>Mean-filled</w:t>
            </w:r>
          </w:p>
        </w:tc>
        <w:tc>
          <w:tcPr>
            <w:tcW w:type="dxa" w:w="1296"/>
            <w:tcMar>
              <w:top w:w="70" w:type="dxa"/>
              <w:bottom w:w="70" w:type="dxa"/>
              <w:start w:w="120" w:type="dxa"/>
              <w:end w:w="120" w:type="dxa"/>
            </w:tcMar>
            <w:vAlign w:val="center"/>
            <w:shd w:fill="16324F"/>
          </w:tcPr>
          <w:p>
            <w:pPr>
              <w:spacing w:after="0"/>
              <w:jc w:val="center"/>
            </w:pPr>
            <w:r>
              <w:rPr>
                <w:rFonts w:ascii="Calibri" w:hAnsi="Calibri"/>
                <w:b/>
                <w:color w:val="FFFFFF"/>
                <w:sz w:val="14"/>
              </w:rPr>
              <w:t>Share</w:t>
            </w:r>
          </w:p>
        </w:tc>
        <w:tc>
          <w:tcPr>
            <w:tcW w:type="dxa" w:w="1512"/>
            <w:tcMar>
              <w:top w:w="70" w:type="dxa"/>
              <w:bottom w:w="70" w:type="dxa"/>
              <w:start w:w="120" w:type="dxa"/>
              <w:end w:w="120" w:type="dxa"/>
            </w:tcMar>
            <w:vAlign w:val="center"/>
            <w:shd w:fill="16324F"/>
          </w:tcPr>
          <w:p>
            <w:pPr>
              <w:spacing w:after="0"/>
              <w:jc w:val="center"/>
            </w:pPr>
            <w:r>
              <w:rPr>
                <w:rFonts w:ascii="Calibri" w:hAnsi="Calibri"/>
                <w:b/>
                <w:color w:val="FFFFFF"/>
                <w:sz w:val="14"/>
              </w:rPr>
              <w:t>Exclusions</w:t>
            </w:r>
          </w:p>
        </w:tc>
      </w:tr>
      <w:tr>
        <w:tc>
          <w:tcPr>
            <w:tcW w:type="dxa" w:w="1656"/>
            <w:vAlign w:val="center"/>
            <w:tcMar>
              <w:top w:w="70" w:type="dxa"/>
              <w:bottom w:w="70" w:type="dxa"/>
              <w:start w:w="120" w:type="dxa"/>
              <w:end w:w="120" w:type="dxa"/>
            </w:tcMar>
          </w:tcPr>
          <w:p>
            <w:pPr>
              <w:spacing w:after="0" w:line="240" w:lineRule="auto"/>
              <w:jc w:val="left"/>
            </w:pPr>
            <w:r>
              <w:rPr>
                <w:rFonts w:ascii="Calibri" w:hAnsi="Calibri"/>
                <w:color w:val="1F2933"/>
                <w:sz w:val="14"/>
              </w:rPr>
              <w:t>Equity</w:t>
            </w:r>
          </w:p>
        </w:tc>
        <w:tc>
          <w:tcPr>
            <w:tcW w:type="dxa" w:w="1224"/>
            <w:vAlign w:val="center"/>
            <w:tcMar>
              <w:top w:w="70" w:type="dxa"/>
              <w:bottom w:w="70" w:type="dxa"/>
              <w:start w:w="120" w:type="dxa"/>
              <w:end w:w="120" w:type="dxa"/>
            </w:tcMar>
          </w:tcPr>
          <w:p>
            <w:pPr>
              <w:spacing w:after="0" w:line="240" w:lineRule="auto"/>
              <w:jc w:val="center"/>
            </w:pPr>
            <w:r>
              <w:rPr>
                <w:rFonts w:ascii="Calibri" w:hAnsi="Calibri"/>
                <w:color w:val="1F2933"/>
                <w:sz w:val="14"/>
              </w:rPr>
              <w:t>36</w:t>
            </w:r>
          </w:p>
        </w:tc>
        <w:tc>
          <w:tcPr>
            <w:tcW w:type="dxa" w:w="1800"/>
            <w:vAlign w:val="center"/>
            <w:tcMar>
              <w:top w:w="70" w:type="dxa"/>
              <w:bottom w:w="70" w:type="dxa"/>
              <w:start w:w="120" w:type="dxa"/>
              <w:end w:w="120" w:type="dxa"/>
            </w:tcMar>
          </w:tcPr>
          <w:p>
            <w:pPr>
              <w:spacing w:after="0" w:line="240" w:lineRule="auto"/>
              <w:jc w:val="center"/>
            </w:pPr>
            <w:r>
              <w:rPr>
                <w:rFonts w:ascii="Calibri" w:hAnsi="Calibri"/>
                <w:color w:val="1F2933"/>
                <w:sz w:val="14"/>
              </w:rPr>
              <w:t>453,600</w:t>
            </w:r>
          </w:p>
        </w:tc>
        <w:tc>
          <w:tcPr>
            <w:tcW w:type="dxa" w:w="1656"/>
            <w:vAlign w:val="center"/>
            <w:tcMar>
              <w:top w:w="70" w:type="dxa"/>
              <w:bottom w:w="70" w:type="dxa"/>
              <w:start w:w="120" w:type="dxa"/>
              <w:end w:w="120" w:type="dxa"/>
            </w:tcMar>
          </w:tcPr>
          <w:p>
            <w:pPr>
              <w:spacing w:after="0" w:line="240" w:lineRule="auto"/>
              <w:jc w:val="center"/>
            </w:pPr>
            <w:r>
              <w:rPr>
                <w:rFonts w:ascii="Calibri" w:hAnsi="Calibri"/>
                <w:color w:val="1F2933"/>
                <w:sz w:val="14"/>
              </w:rPr>
              <w:t>0</w:t>
            </w:r>
          </w:p>
        </w:tc>
        <w:tc>
          <w:tcPr>
            <w:tcW w:type="dxa" w:w="1296"/>
            <w:vAlign w:val="center"/>
            <w:tcMar>
              <w:top w:w="70" w:type="dxa"/>
              <w:bottom w:w="70" w:type="dxa"/>
              <w:start w:w="120" w:type="dxa"/>
              <w:end w:w="120" w:type="dxa"/>
            </w:tcMar>
          </w:tcPr>
          <w:p>
            <w:pPr>
              <w:spacing w:after="0" w:line="240" w:lineRule="auto"/>
              <w:jc w:val="center"/>
            </w:pPr>
            <w:r>
              <w:rPr>
                <w:rFonts w:ascii="Calibri" w:hAnsi="Calibri"/>
                <w:color w:val="1F2933"/>
                <w:sz w:val="14"/>
              </w:rPr>
              <w:t>0.00%</w:t>
            </w:r>
          </w:p>
        </w:tc>
        <w:tc>
          <w:tcPr>
            <w:tcW w:type="dxa" w:w="1512"/>
            <w:vAlign w:val="center"/>
            <w:tcMar>
              <w:top w:w="70" w:type="dxa"/>
              <w:bottom w:w="70" w:type="dxa"/>
              <w:start w:w="120" w:type="dxa"/>
              <w:end w:w="120" w:type="dxa"/>
            </w:tcMar>
          </w:tcPr>
          <w:p>
            <w:pPr>
              <w:spacing w:after="0" w:line="240" w:lineRule="auto"/>
              <w:jc w:val="center"/>
            </w:pPr>
            <w:r>
              <w:rPr>
                <w:rFonts w:ascii="Calibri" w:hAnsi="Calibri"/>
                <w:color w:val="1F2933"/>
                <w:sz w:val="14"/>
              </w:rPr>
              <w:t>0</w:t>
            </w:r>
          </w:p>
        </w:tc>
      </w:tr>
      <w:tr>
        <w:tc>
          <w:tcPr>
            <w:tcW w:type="dxa" w:w="1656"/>
            <w:vAlign w:val="center"/>
            <w:shd w:fill="F7FAFC"/>
            <w:tcMar>
              <w:top w:w="70" w:type="dxa"/>
              <w:bottom w:w="70" w:type="dxa"/>
              <w:start w:w="120" w:type="dxa"/>
              <w:end w:w="120" w:type="dxa"/>
            </w:tcMar>
          </w:tcPr>
          <w:p>
            <w:pPr>
              <w:spacing w:after="0" w:line="240" w:lineRule="auto"/>
              <w:jc w:val="left"/>
            </w:pPr>
            <w:r>
              <w:rPr>
                <w:rFonts w:ascii="Calibri" w:hAnsi="Calibri"/>
                <w:color w:val="1F2933"/>
                <w:sz w:val="14"/>
              </w:rPr>
              <w:t>Crypto</w:t>
            </w:r>
          </w:p>
        </w:tc>
        <w:tc>
          <w:tcPr>
            <w:tcW w:type="dxa" w:w="1224"/>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36</w:t>
            </w:r>
          </w:p>
        </w:tc>
        <w:tc>
          <w:tcPr>
            <w:tcW w:type="dxa" w:w="1800"/>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131,400</w:t>
            </w:r>
          </w:p>
        </w:tc>
        <w:tc>
          <w:tcPr>
            <w:tcW w:type="dxa" w:w="1656"/>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0</w:t>
            </w:r>
          </w:p>
        </w:tc>
        <w:tc>
          <w:tcPr>
            <w:tcW w:type="dxa" w:w="1296"/>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0.00%</w:t>
            </w:r>
          </w:p>
        </w:tc>
        <w:tc>
          <w:tcPr>
            <w:tcW w:type="dxa" w:w="1512"/>
            <w:vAlign w:val="center"/>
            <w:shd w:fill="F7FAFC"/>
            <w:tcMar>
              <w:top w:w="70" w:type="dxa"/>
              <w:bottom w:w="70" w:type="dxa"/>
              <w:start w:w="120" w:type="dxa"/>
              <w:end w:w="120" w:type="dxa"/>
            </w:tcMar>
          </w:tcPr>
          <w:p>
            <w:pPr>
              <w:spacing w:after="0" w:line="240" w:lineRule="auto"/>
              <w:jc w:val="center"/>
            </w:pPr>
            <w:r>
              <w:rPr>
                <w:rFonts w:ascii="Calibri" w:hAnsi="Calibri"/>
                <w:color w:val="1F2933"/>
                <w:sz w:val="14"/>
              </w:rPr>
              <w:t>0</w:t>
            </w:r>
          </w:p>
        </w:tc>
      </w:tr>
      <w:tr>
        <w:tc>
          <w:tcPr>
            <w:tcW w:type="dxa" w:w="1656"/>
            <w:vAlign w:val="center"/>
            <w:tcMar>
              <w:top w:w="70" w:type="dxa"/>
              <w:bottom w:w="70" w:type="dxa"/>
              <w:start w:w="120" w:type="dxa"/>
              <w:end w:w="120" w:type="dxa"/>
            </w:tcMar>
          </w:tcPr>
          <w:p>
            <w:pPr>
              <w:spacing w:after="0" w:line="240" w:lineRule="auto"/>
              <w:jc w:val="left"/>
            </w:pPr>
            <w:r>
              <w:rPr>
                <w:rFonts w:ascii="Calibri" w:hAnsi="Calibri"/>
                <w:color w:val="1F2933"/>
                <w:sz w:val="14"/>
              </w:rPr>
              <w:t>Combined</w:t>
            </w:r>
          </w:p>
        </w:tc>
        <w:tc>
          <w:tcPr>
            <w:tcW w:type="dxa" w:w="1224"/>
            <w:vAlign w:val="center"/>
            <w:tcMar>
              <w:top w:w="70" w:type="dxa"/>
              <w:bottom w:w="70" w:type="dxa"/>
              <w:start w:w="120" w:type="dxa"/>
              <w:end w:w="120" w:type="dxa"/>
            </w:tcMar>
          </w:tcPr>
          <w:p>
            <w:pPr>
              <w:spacing w:after="0" w:line="240" w:lineRule="auto"/>
              <w:jc w:val="center"/>
            </w:pPr>
            <w:r>
              <w:rPr>
                <w:rFonts w:ascii="Calibri" w:hAnsi="Calibri"/>
                <w:color w:val="1F2933"/>
                <w:sz w:val="14"/>
              </w:rPr>
              <w:t>36</w:t>
            </w:r>
          </w:p>
        </w:tc>
        <w:tc>
          <w:tcPr>
            <w:tcW w:type="dxa" w:w="1800"/>
            <w:vAlign w:val="center"/>
            <w:tcMar>
              <w:top w:w="70" w:type="dxa"/>
              <w:bottom w:w="70" w:type="dxa"/>
              <w:start w:w="120" w:type="dxa"/>
              <w:end w:w="120" w:type="dxa"/>
            </w:tcMar>
          </w:tcPr>
          <w:p>
            <w:pPr>
              <w:spacing w:after="0" w:line="240" w:lineRule="auto"/>
              <w:jc w:val="center"/>
            </w:pPr>
            <w:r>
              <w:rPr>
                <w:rFonts w:ascii="Calibri" w:hAnsi="Calibri"/>
                <w:color w:val="1F2933"/>
                <w:sz w:val="14"/>
              </w:rPr>
              <w:t>544,320</w:t>
            </w:r>
          </w:p>
        </w:tc>
        <w:tc>
          <w:tcPr>
            <w:tcW w:type="dxa" w:w="1656"/>
            <w:vAlign w:val="center"/>
            <w:tcMar>
              <w:top w:w="70" w:type="dxa"/>
              <w:bottom w:w="70" w:type="dxa"/>
              <w:start w:w="120" w:type="dxa"/>
              <w:end w:w="120" w:type="dxa"/>
            </w:tcMar>
          </w:tcPr>
          <w:p>
            <w:pPr>
              <w:spacing w:after="0" w:line="240" w:lineRule="auto"/>
              <w:jc w:val="center"/>
            </w:pPr>
            <w:r>
              <w:rPr>
                <w:rFonts w:ascii="Calibri" w:hAnsi="Calibri"/>
                <w:color w:val="1F2933"/>
                <w:sz w:val="14"/>
              </w:rPr>
              <w:t>0</w:t>
            </w:r>
          </w:p>
        </w:tc>
        <w:tc>
          <w:tcPr>
            <w:tcW w:type="dxa" w:w="1296"/>
            <w:vAlign w:val="center"/>
            <w:tcMar>
              <w:top w:w="70" w:type="dxa"/>
              <w:bottom w:w="70" w:type="dxa"/>
              <w:start w:w="120" w:type="dxa"/>
              <w:end w:w="120" w:type="dxa"/>
            </w:tcMar>
          </w:tcPr>
          <w:p>
            <w:pPr>
              <w:spacing w:after="0" w:line="240" w:lineRule="auto"/>
              <w:jc w:val="center"/>
            </w:pPr>
            <w:r>
              <w:rPr>
                <w:rFonts w:ascii="Calibri" w:hAnsi="Calibri"/>
                <w:color w:val="1F2933"/>
                <w:sz w:val="14"/>
              </w:rPr>
              <w:t>0.00%</w:t>
            </w:r>
          </w:p>
        </w:tc>
        <w:tc>
          <w:tcPr>
            <w:tcW w:type="dxa" w:w="1512"/>
            <w:vAlign w:val="center"/>
            <w:tcMar>
              <w:top w:w="70" w:type="dxa"/>
              <w:bottom w:w="70" w:type="dxa"/>
              <w:start w:w="120" w:type="dxa"/>
              <w:end w:w="120" w:type="dxa"/>
            </w:tcMar>
          </w:tcPr>
          <w:p>
            <w:pPr>
              <w:spacing w:after="0" w:line="240" w:lineRule="auto"/>
              <w:jc w:val="center"/>
            </w:pPr>
            <w:r>
              <w:rPr>
                <w:rFonts w:ascii="Calibri" w:hAnsi="Calibri"/>
                <w:color w:val="1F2933"/>
                <w:sz w:val="14"/>
              </w:rPr>
              <w:t>0</w:t>
            </w:r>
          </w:p>
        </w:tc>
      </w:tr>
    </w:tbl>
    <w:p>
      <w:pPr>
        <w:spacing w:after="40"/>
      </w:pPr>
    </w:p>
    <w:p>
      <w:pPr/>
      <w:r>
        <w:rPr>
          <w:rFonts w:ascii="Calibri" w:hAnsi="Calibri"/>
        </w:rPr>
        <w:t xml:space="preserve">Table </w:t>
      </w:r>
      <w:r>
        <w:rPr>
          <w:rFonts w:ascii="Calibri" w:hAnsi="Calibri"/>
        </w:rPr>
        <w:fldChar w:fldCharType="begin"/>
      </w:r>
      <w:r>
        <w:rPr>
          <w:rFonts w:ascii="Calibri" w:hAnsi="Calibri"/>
        </w:rPr>
        <w:instrText xml:space="preserve"> REF _RefTblImputation \h </w:instrText>
      </w:r>
      <w:r>
        <w:rPr>
          <w:rFonts w:ascii="Calibri" w:hAnsi="Calibri"/>
        </w:rPr>
        <w:fldChar w:fldCharType="separate"/>
      </w:r>
      <w:r>
        <w:rPr>
          <w:rFonts w:ascii="Calibri" w:hAnsi="Calibri"/>
        </w:rPr>
        <w:t>14</w:t>
      </w:r>
      <w:r>
        <w:rPr>
          <w:rFonts w:ascii="Calibri" w:hAnsi="Calibri"/>
        </w:rPr>
        <w:fldChar w:fldCharType="end"/>
      </w:r>
      <w:r>
        <w:rPr>
          <w:rFonts w:ascii="Calibri" w:hAnsi="Calibri"/>
        </w:rPr>
        <w:t xml:space="preserve"> records zero return imputations and zero asset-window exclusions across 1,129,320 optimizer cells. The single fallback in Combined Maximum Sharpe on 3 October 2022 is therefore a solver event, not missing-data repair. Its positive-mean/variance fallback is normalized under the same long-only 12% cap.</w:t>
      </w:r>
    </w:p>
    <w:sectPr w:rsidR="00FC693F" w:rsidRPr="0006063C" w:rsidSect="00034616">
      <w:headerReference w:type="default" r:id="rId9"/>
      <w:footerReference w:type="default" r:id="rId10"/>
      <w:pgSz w:w="11906" w:h="16838"/>
      <w:pgMar w:top="907" w:right="964" w:bottom="907" w:left="964"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4748B"/>
        <w:sz w:val="15"/>
      </w:rPr>
      <w:t xml:space="preserve">z5603162   |   </w:t>
    </w:r>
    <w:r>
      <w:fldChar w:fldCharType="begin"/>
    </w:r>
    <w:r>
      <w:instrText xml:space="preserve"> PAGE </w:instrText>
    </w:r>
    <w:r>
      <w:fldChar w:fldCharType="separate"/>
    </w:r>
    <w:r>
      <w:rPr>
        <w:rFonts w:ascii="Calibri" w:hAnsi="Calibri"/>
      </w:rPr>
      <w:t>1</w:t>
    </w:r>
    <w:r>
      <w:fldChar w:fldCharType="end"/>
    </w:r>
    <w:r>
      <w:rPr>
        <w:rFonts w:ascii="Calibri" w:hAnsi="Calibri"/>
        <w:color w:val="64748B"/>
        <w:sz w:val="15"/>
      </w:rPr>
      <w:t xml:space="preserve">   |   EDUCATIONAL PROTOTYPE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4748B"/>
        <w:sz w:val="15"/>
      </w:rPr>
      <w:t>MARKETREADY FUNDS   |   FINS5545 PROJECT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jc w:val="both"/>
    </w:pPr>
    <w:rPr>
      <w:rFonts w:ascii="Calibri" w:hAnsi="Calibri"/>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Calibri" w:hAnsi="Calibri"/>
      <w:b/>
      <w:bCs/>
      <w:color w:val="16324F"/>
      <w:sz w:val="31"/>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2A9D8F"/>
      <w:sz w:val="25"/>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Calibri" w:hAnsi="Calibri"/>
      <w:b/>
      <w:bCs/>
      <w:color w:val="1632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val="0"/>
      <w:color w:val="16324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60" w:after="100"/>
    </w:pPr>
    <w:rPr>
      <w:rFonts w:ascii="Calibri" w:hAnsi="Calibri"/>
      <w:b/>
      <w:bCs/>
      <w:i/>
      <w:color w:val="64748B"/>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120"/>
      <w:jc w:val="center"/>
    </w:pPr>
    <w:rPr>
      <w:rFonts w:ascii="Cambria Math" w:hAnsi="Cambria Math"/>
      <w:color w:val="16324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MarketReady Funds - FINS5545 Project B</dc:title>
  <dc:subject>Systematic multi-asset funds with news-sentiment analytics</dc:subject>
  <dc:creator>z5603162</dc:creator>
  <cp:keywords>FINS5545, portfolio, sentiment, Streamlit</cp:keywords>
  <dc:description>generated by python-docx</dc:description>
  <cp:lastModifiedBy/>
  <cp:revision>1</cp:revision>
  <dcterms:created xsi:type="dcterms:W3CDTF">2013-12-23T23:15:00Z</dcterms:created>
  <dcterms:modified xsi:type="dcterms:W3CDTF">2013-12-23T23:15:00Z</dcterms:modified>
  <cp:category/>
</cp:coreProperties>
</file>