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4EE9" w14:textId="007A8EA3" w:rsidR="00451A03" w:rsidRPr="008B27E3" w:rsidRDefault="008B27E3">
      <w:pPr>
        <w:rPr>
          <w:sz w:val="28"/>
          <w:szCs w:val="28"/>
        </w:rPr>
      </w:pPr>
      <w:r w:rsidRPr="008B27E3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非国家工作人员受贿罪 认定. 1．划清非国家工作人员受贿罪与非罪行为的界限。. （1）按照《 刑法 》第163条的规定，构成公司、企业、其他单位人员受贿罪必须是受贿数额较大的，不足较大数额的按一般受贿行为处理。. 数额较大的具体界限，根据最高人民检察院、公安部关于印发《关于经济犯罪案件追诉标准的规定（二）》的通知第十条规定： </w:t>
      </w:r>
      <w:r w:rsidRPr="008B27E3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  <w:vertAlign w:val="superscript"/>
        </w:rPr>
        <w:t>国家工作人员受贿案（刑法第一百六十三条）]公司、企业或者其他单位的工作人员利用职务上的便利，索取他人财物或者非法收受他人财物，为他人谋取利益，或者在经济往来中，利用职务上的便利，违反国家规定，收受各种名义的回扣、手续费，归个人所有，数额在五千元以上的，应予立案追诉</w:t>
      </w:r>
    </w:p>
    <w:sectPr w:rsidR="00451A03" w:rsidRPr="008B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48"/>
    <w:rsid w:val="00451A03"/>
    <w:rsid w:val="008B27E3"/>
    <w:rsid w:val="00AC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C3118-1178-44BC-843E-05B50332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chen</dc:creator>
  <cp:keywords/>
  <dc:description/>
  <cp:lastModifiedBy>gu chen</cp:lastModifiedBy>
  <cp:revision>3</cp:revision>
  <dcterms:created xsi:type="dcterms:W3CDTF">2021-10-12T12:43:00Z</dcterms:created>
  <dcterms:modified xsi:type="dcterms:W3CDTF">2021-10-12T12:44:00Z</dcterms:modified>
</cp:coreProperties>
</file>