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16:45:17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>A avaliação indica que o nível geral de maturidade dos domínios avaliados é inicial. Índice de maturidade: 0.63.</w:t>
      </w:r>
    </w:p>
    <w:p>
      <w:r>
        <w:t>A distribuição de maturidade entre os domínios Índice de equilíbrio: 0.95. Índice de risco de governança: 0.1.</w:t>
      </w:r>
    </w:p>
    <w:p>
      <w:r>
        <w:t>Os esforços de evolução devem priorizar Nenhum domínio apresenta maturidade significativamente abaixo do nível geral. Domínios com maturidade relativamente mais elevada: Nenhum domínio apresenta maturidade significativamente acima do nível geral.</w:t>
      </w:r>
    </w:p>
    <w:p>
      <w:r>
        <w:t xml:space="preserve">DA 3.0 </w:t>
      </w:r>
    </w:p>
    <w:p>
      <w:r>
        <w:t xml:space="preserve">DMD 3.0 </w:t>
      </w:r>
    </w:p>
    <w:p>
      <w:r>
        <w:t xml:space="preserve">DG 3.5 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