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16:58:08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Análise do gráfico radar</w:t>
      </w:r>
    </w:p>
    <w:p/>
    <w:p>
      <w:r>
        <w:t>A avaliação indica que o nível geral de maturidade dos domínios avaliados é inicial. Domínios analisados: 3.</w:t>
      </w:r>
    </w:p>
    <w:p>
      <w:r>
        <w:t>A distribuição estrutural da maturidade sugere que Índice de equilíbrio: 0.95. Índice de risco de governança: 0.1.</w:t>
      </w:r>
    </w:p>
    <w:p>
      <w:r>
        <w:t>A diferença observada entre domínios Nenhum domínio apresenta maturidade significativamente acima do nível geral / Nenhum domínio apresenta maturidade significativamente abaixo do nível geral. Esse desequilíbrio pode afetar a confiabilidade e consistência das práticas de dados.</w:t>
      </w:r>
    </w:p>
    <w:p>
      <w:r>
        <w:t xml:space="preserve">DA 3.0 </w:t>
      </w:r>
    </w:p>
    <w:p>
      <w:r>
        <w:t xml:space="preserve">DMD 3.0 </w:t>
      </w:r>
    </w:p>
    <w:p>
      <w:r>
        <w:t xml:space="preserve">DG 3.5 </w:t>
      </w:r>
    </w:p>
    <w:p>
      <w:r>
        <w:br w:type="page"/>
      </w:r>
    </w:p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