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16:58:12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Análise do gráfico radar</w:t>
      </w:r>
    </w:p>
    <w:p/>
    <w:p>
      <w:r>
        <w:t>A avaliação indica que o nível geral de maturidade dos domínios avaliados é inicial. Índice de maturidade: 0.63. Domínios analisados: 3.</w:t>
      </w:r>
    </w:p>
    <w:p>
      <w:r>
        <w:t>A distribuição estrutural da maturidade sugere que Índice de equilíbrio: 0.95 (maturidade altamente equilibrada). Índice de risco de governança: 0.1 (baixo risco de governança).</w:t>
      </w:r>
    </w:p>
    <w:p>
      <w:r>
        <w:t>Do ponto de vista da governança Domínios com maturidade relativamente mais elevada: Nenhum domínio apresenta maturidade significativamente acima do nível geral. Domínios que requerem evolução prioritária: Nenhum domínio apresenta maturidade significativamente abaixo do nível geral.</w:t>
      </w:r>
    </w:p>
    <w:p>
      <w:r>
        <w:t xml:space="preserve">DA 3.0 </w:t>
      </w:r>
    </w:p>
    <w:p>
      <w:r>
        <w:t xml:space="preserve">DMD 3.0 </w:t>
      </w:r>
    </w:p>
    <w:p>
      <w:r>
        <w:t xml:space="preserve">DG 3.5 </w:t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