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16:59:13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avaliação indica que o nível geral de maturidade dos domínios avaliados é inicial. Domínios analisados: 3.</w:t>
      </w:r>
    </w:p>
    <w:p>
      <w:r>
        <w:t>A distribuição estrutural da maturidade sugere que Índice de equilíbrio: 0.95. Índice de risco de governança: 0.1.</w:t>
      </w:r>
    </w:p>
    <w:p>
      <w:r>
        <w:t>A diferença observada entre domínios Nenhum domínio apresenta maturidade significativamente acima do nível geral / Nenhum domínio apresenta maturidade significativamente abaixo do nível geral. Esse desequilíbrio pode afetar a confiabilidade e consistência das práticas de dados.</w:t>
      </w:r>
    </w:p>
    <w:p>
      <w:r>
        <w:t xml:space="preserve">DA 3.0 </w:t>
      </w:r>
    </w:p>
    <w:p>
      <w:r>
        <w:t xml:space="preserve">DMD 3.0 </w:t>
      </w:r>
    </w:p>
    <w:p>
      <w:r>
        <w:t xml:space="preserve">DG 3.5 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