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17:04:09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>A interpretação do gráfico radar de maturidade em governança de dados revela um panorama interessante sobre a situação atual da organização em relação a seus processos e práticas de governança. O índice de maturidade geral é de 0,63, o que indica um nível moderado de maturidade, refletindo que ainda há espaço significativo para o aprimoramento. O índice de equilíbrio, com um valor elevado de 0,95, sugere que a organização possui uma estrutura relativamente bem distribuída em termos de governança, enquanto o índice de risco, muito baixo em 0,1, demonstra uma boa gestão dos riscos associados aos dados.</w:t>
      </w:r>
    </w:p>
    <w:p>
      <w:r>
        <w:t>Ao analisar as pontuações dos domínios, observamos que todos estão em um patamar semelhante, com as seguintes notas: 'DA' (Análise de Dados) e 'DMD' (Gestão de Dados Mestres) com 3,0 e 'DG' (Governança de Dados) com 3,5. Apesar da proximidade das notas, a pontuação mais alta em Governança de Dados indica que este domínio é o mais desenvolvido, enquanto os outros dois domínios apresentam uma necessidade maior de atenção e melhorias. Essa disparidade sugere que a organização deve priorizar o fortalecimento das práticas de Análise de Dados e Gestão de Dados Mestres, que são essenciais para uma governança de dados eficaz.</w:t>
      </w:r>
    </w:p>
    <w:p>
      <w:r>
        <w:t>A ordem de prioridade para melhorias deve ser:</w:t>
        <w:br/>
        <w:t>1. Gestão de Dados Mestres (DMD)</w:t>
        <w:br/>
        <w:t>2. Análise de Dados (DA)</w:t>
        <w:br/>
        <w:t>3. Governança de Dados (DG)</w:t>
      </w:r>
    </w:p>
    <w:p>
      <w:r>
        <w:t>A Gestão de Dados Mestres é crucial para garantir a qualidade e a consistência dos dados em toda a organização, enquanto a Análise de Dados pode impulsionar a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