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17:14:58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A análise do gráfico de maturidade em governança de dados revela um índice de maturidade de 0,63, indicando um desenvolvimento moderado. O alto índice de equilíbrio de 0,95 sugere uma distribuição equilibrada entre as práticas de governança, enquanto o índice de risco de 0,1 aponta para uma abordagem conservadora em relação aos riscos associados.</w:t>
      </w:r>
    </w:p>
    <w:p>
      <w:r>
        <w:t>As pontuações dos domínios são as seguintes:</w:t>
        <w:br/>
        <w:t>- DA (Data Architecture): 3.0</w:t>
        <w:br/>
        <w:t>- DMD (Data Management Discipline): 3.0</w:t>
        <w:br/>
        <w:t>- DG (Data Governance): 3.5</w:t>
      </w:r>
    </w:p>
    <w:p>
      <w:r>
        <w:t>Notamos disparidades significativas nas pontuações, especialmente entre DG e os demais domínios. A área de Governança de Dados (DG) deve ser priorizada para aprimoramento, pois apresenta uma pontuação relativamente mais alta, podendo servir como alavanca para elevar os outros domínios.</w:t>
      </w:r>
    </w:p>
    <w:p>
      <w:r>
        <w:t>É recomendável implementar práticas de governança mais robustas e definir padrões claros para melhorar a maturidade geral. O foco em DG pode propiciar ganhos em DA e DMD, fortalecendo a governança de dados como um todo.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