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17:21:00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**Interpretação do Gráfico Radar de Maturidade em Governança de Dados**</w:t>
      </w:r>
    </w:p>
    <w:p>
      <w:r>
        <w:t>O gráfico radar apresenta um índice de maturidade de 0,63, indicando um nível moderado de maturidade em governança de dados. O índice de equilíbrio é alto (0,95), sugerindo uma distribuição equilibrada dos esforços em diferentes domínios. No entanto, o índice de risco é alarmantemente baixo (0,1), o que pode sinalizar um potencial descuido em relação à gestão de riscos associados aos dados.</w:t>
      </w:r>
    </w:p>
    <w:p>
      <w:r>
        <w:t>**Principais Pontos:**</w:t>
        <w:br/>
        <w:t>- **Média dos Domínios:** 3,17</w:t>
        <w:br/>
        <w:t>- **Domínios Avaliados:**</w:t>
        <w:br/>
        <w:t xml:space="preserve">  - DA (Data Architecture): 3,0</w:t>
        <w:br/>
        <w:t xml:space="preserve">  - DMD (Data Management Discipline): 3,0</w:t>
        <w:br/>
        <w:t xml:space="preserve">  - DG (Data Governance): 3,5</w:t>
      </w:r>
    </w:p>
    <w:p>
      <w:r>
        <w:t>**Desigualdades Significativas:**</w:t>
        <w:br/>
        <w:t>- A pontuação do domínio de Governança de Dados (DG) é superior em 0,33 em relação à média, indicando um desempenho melhor em comparação com os domínios de Arquitetura de Dados (DA) e Disciplina de Gestão de Dados (DMD), que apresentam pontuações iguais e abaixo da média.</w:t>
      </w:r>
    </w:p>
    <w:p>
      <w:r>
        <w:t>**Domínios Prioritários para Melhoria:**</w:t>
        <w:br/>
        <w:t>1. **Arquitetura de Dados (DA)**: Necessita de atenção para alinhar suas práticas com as melhores práticas do setor e aumentar a maturidade.</w:t>
        <w:br/>
        <w:t>2. **Disciplina de Gestão de Dados (DMD)**: A implementação de processos mais robustos e consistentes deve ser priorizada.</w:t>
      </w:r>
    </w:p>
    <w:p>
      <w:r>
        <w:t>**Observação Final:** É crucial que a organização concentre esforços na melhoria dos domínios críticos identificados, especialmente DA e DMD, para mitigar os riscos associados e elevar o índice de maturidade geral.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