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17:37:26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O radar de maturidade em governança de dados indica um índice geral de maturidade de 0,63, refletindo uma fase de desenvolvimento moderado. O índice de equilíbrio é alto, em 0,9, sugerindo uma boa distribuição de esforços entre as áreas de governança, enquanto o índice de risco, com 0,4, aponta para uma necessidade de atenção em questões de segurança e conformidade.</w:t>
      </w:r>
    </w:p>
    <w:p>
      <w:r>
        <w:t>Analisando os domínios, observamos que a Governança de Dados (DG) apresenta a pontuação mais elevada, com 3,5, indicando um desempenho relativamente sólido. Em contrapartida, as áreas de Análise de Dados (DA) e Gestão de Metadados (DMD) permanecem em 3,0, evidenciando uma disparidade significativa em relação ao desempenho de DG. Esta diferença superior a 1, em relação à média dos domínios (que é 3,2), sugere que as áreas de DA e DMD necessitam de atenção prioritária para aprimorar suas práticas e alinhamento com a governança geral.</w:t>
      </w:r>
    </w:p>
    <w:p>
      <w:r>
        <w:t xml:space="preserve">Portanto, as prioridades de melhoria devem ser focadas em DA e DMD, onde a implementação de treinamentos específicos e a adoção de ferramentas de gestão podem ajudar a elevar a maturidade. </w:t>
      </w:r>
    </w:p>
    <w:p>
      <w:r>
        <w:t>Em suma, embora a governança de dados demonstre um nível razoável de maturidade, o foco nas áreas mais críticas permitirá um avanço significativo na eficácia e na mitigação de riscos associados.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