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17:37:37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índice de maturidade de 0,63, indicando que a organização está em um nível intermediário de desenvolvimento. O índice de equilíbrio de 0,9 sugere que as práticas de governança estão bem distribuidas entre os domínios, embora o índice de risco de 0,4 sinalize preocupações significativas que precisam ser abordadas.</w:t>
      </w:r>
    </w:p>
    <w:p>
      <w:r>
        <w:t>Os dados mostram que os domínios de Análise de Dados (DA), Gestão de Metadados (DMD) e Governança de Dados (DG) apresentam pontuações de 3,0, 3,0 e 3,5, respectivamente. A pontuação do domínio DG está acima da média, destacando-se como uma área relativamente mais forte. Por outro lado, as pontuações de DA e DMD estão no limite inferior, revelando uma disparidade em relação ao desempenho geral da governança.</w:t>
      </w:r>
    </w:p>
    <w:p>
      <w:r>
        <w:t>Dada a situação, é crucial priorizar a melhoria nos domínios de Análise de Dados e Gestão de Metadados, pois ambos estão abaixo da média. Recomenda-se implementar práticas de treinamento e desenvolvimento de competências nessas áreas, além de estabelecer processos mais robustos para gerenciamento e utilização de dados.</w:t>
      </w:r>
    </w:p>
    <w:p>
      <w:r>
        <w:t>Em resumo, enquanto a governança de dados apresenta um desempenho aceitável, há áreas críticas que exigem atenção imediata para mitigar riscos e elevar o nível de maturidade organizacional. Focar na melhoria contínua dos domínios mais fracos permitirá um avanço significativo na governança de dados como um todo.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