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17:44:08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O índice de maturidade geral da governança de dados da organização é de 0,63, indicando um estágio moderado de desenvolvimento. O índice de equilíbrio, que se aproxima de 0,9, sugere que os domínios estão bem alinhados entre si, refletindo uma abordagem coesa em relação à governança de dados. No entanto, o índice de risco de 0,4 sinaliza uma vulnerabilidade potencial que deve ser endereçada.</w:t>
      </w:r>
    </w:p>
    <w:p>
      <w:r>
        <w:t>As pontuações dos domínios são as seguintes: Análise de Dados (DA) e Gestão de Metadados e Dados (DMD) com 3,0, e Governança de Dados (DG) com 3,5. Todas as pontuações estão próximas da média, caracterizando um perfil de maturidade equilibrado. Contudo, a presença de uma pontuação mais baixa na DA e DMD, ambas abaixo da média, aponta para áreas prioritárias que necessitam de atenção.</w:t>
      </w:r>
    </w:p>
    <w:p>
      <w:r>
        <w:t>Para melhorar a maturidade nesses domínios, recomenda-se a implementação de treinamentos focados em práticas de análise de dados e gestão de metadados, além da criação de uma estratégia clara de governança de dados que envolva todas as partes interessadas. Isso pode ajudar a elevar as pontuações e reduzir os riscos associados. É fundamental que a organização mantenha um monitoramento contínuo para garantir a evolução de sua maturidade em governança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