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2026-03-05 10:21:49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Análise do gráfico radar</w:t>
      </w:r>
    </w:p>
    <w:p>
      <w:r>
        <w:t>A análise da maturidade em governança de dados revela um perfil equilibrado, com todas as áreas apresentando pontuações próximas entre si. Esse equilíbrio é um indicativo de que a organização tem uma abordagem consistente em seu gerenciamento de dados, refletindo uma maturidade relativamente sólida. No entanto, a exposição ao risco é impulsionada pelas áreas de menor maturidade, sugerindo que há espaço significativo para melhorias.</w:t>
      </w:r>
    </w:p>
    <w:p>
      <w:r>
        <w:t>As áreas que necessitam de atenção são as que estão abaixo da média, o que implica que as práticas e processos nessas dimensões devem ser aprimorados. Para alcançar esse objetivo, é essencial desenvolver processos claros, definir funções e responsabilidades, estabelecer padrões consistentes e implementar mecanismos de monitoramento eficazes. Essas ações contribuirão para a elevação do nível de maturidade geral.</w:t>
      </w:r>
    </w:p>
    <w:p>
      <w:r>
        <w:t>Portanto, a organização deve se concentrar em aprimorar essas áreas prioritárias, garantindo que suas práticas de governança de dados se tornem mais robustas e eficazes ao longo do tempo.</w:t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