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10:21:59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da maturidade em governança de dados revela um perfil equilibrado, com todas as áreas apresentando pontuações próximas entre si. A média dos domínios indica um desempenho consistente, refletindo um bom nível de entendimento e implementação das práticas de governança. A proximidade das pontuações sugere que a organização está bem alinhada em suas abordagens, sem disparidades significativas que poderiam comprometer a eficácia global.</w:t>
      </w:r>
    </w:p>
    <w:p>
      <w:r>
        <w:t>No entanto, a exposição ao risco é maior nas áreas com menor maturidade, que, neste caso, se encontram na base da escala. Para mitigar esse risco, é crucial focar em processos, papéis e responsabilidades bem definidos, além de estabelecer padrões claros e mecanismos de monitoramento robustos. As prioridades devem ser incrementais, visando a consistência e a ampliação das práticas de governança, garantindo que todas as áreas se desenvolvam de maneira uniforme.</w:t>
      </w:r>
    </w:p>
    <w:p>
      <w:r>
        <w:t>Ao reforçar as práticas de governança em áreas que apresentam menor maturidade, a organização poderá não apenas reduzir sua exposição, mas também fortalecer a confiança nas suas iniciativas de dados.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