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10:24:57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 xml:space="preserve">A análise do gráfico de maturidade em governança de dados revela um perfil equilibrado, com todas as áreas apresentando pontuações próximas entre si. Essa uniformidade sugere uma abordagem coesa e integrada em relação aos processos de governança, embora a média geral indique que o nível de maturidade ainda pode ser aprimorado. </w:t>
      </w:r>
    </w:p>
    <w:p>
      <w:r>
        <w:t xml:space="preserve">As áreas de Dados Administrativos, Gestão de Metadados e Governança de Dados mostram um desempenho semelhante, mas o índice de risco sugere uma exposição notável nas áreas de menor maturidade. Para minimizar essa vulnerabilidade, é fundamental priorizar o fortalecimento dos processos, a definição clara de papéis e responsabilidades, a implementação de padrões robustos e o monitoramento contínuo das práticas de governança. </w:t>
      </w:r>
    </w:p>
    <w:p>
      <w:r>
        <w:t>As prioridades são incrementais, direcionando-se para a consistência e a escalabilidade das iniciativas de governança. Focar na melhoria contínua e na adoção de melhores práticas permitirá elevar a maturidade geral e reduzir a exposição aos riscos associados.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