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10:28:45</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uma situação em que a organização apresenta um índice de maturidade moderado, com um perfil que sugere um equilíbrio geral nas áreas avaliadas. No entanto, há uma disparidade significativa em um dos domínios, que apresenta um desempenho acima da média, enquanto outros domínios se situam em níveis inferiores. Isso indica que a organização pode estar concentrando seus esforços em uma área específica, negligenciando outras que são igualmente importantes para um sistema de governança de dados robusto.</w:t>
      </w:r>
    </w:p>
    <w:p>
      <w:r>
        <w:t>As áreas com pontuação abaixo da média devem ser priorizadas para garantir uma abordagem mais holística. Recomenda-se focar na definição clara de processos, na atribuição de papéis e responsabilidades, no estabelecimento de padrões consistentes e na implementação de um monitoramento eficaz. Essas ações não apenas fortalecerão a governança de dados, mas também reduzirão a exposição aos riscos oriundos dos domínios de menor maturidade. Assim, a organização poderá avançar em direção a um modelo mais integrado e eficiente de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2"/>
      </w:pPr>
      <w:r>
        <w:t>2.2 Rupturas de Dependência Detectadas e Orientações de Remediação</w:t>
      </w:r>
    </w:p>
    <w:p>
      <w:pPr>
        <w:spacing w:after="120"/>
      </w:pPr>
      <w:r>
        <w:t>Nenhum registro de inconsistência de dependência foi encontrado para os domínios avaliados.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