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10:29:02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O gráfico de maturidade em governança de dados revela um índice de maturidade que sugere um nível intermediário de desenvolvimento, indicando que há espaço significativo para melhorias. O perfil geral é equilibrado, com todos os domínios apresentando pontuações relativamente próximas, demonstrando uma abordagem coesa em termos de governança.</w:t>
      </w:r>
    </w:p>
    <w:p>
      <w:r>
        <w:t>Entretanto, a análise dos domínios indica que dois estão abaixo da média, o que destaca a necessidade de atenção específica. Para avançar, é fundamental focar na definição clara de processos e papéis, além de estabelecer padrões que garantam a consistência nas práticas de governança. A implementação de mecanismos de monitoramento eficazes também é essencial para incentivar uma cultura de responsabilidade e melhoria contínua.</w:t>
      </w:r>
    </w:p>
    <w:p>
      <w:r>
        <w:t>A exposição ao risco está diretamente relacionada às áreas de menor maturidade, o que reforça a urgência em fortalecer a governança nessas frentes. Abordar essas lacunas não só mitigará riscos, mas também promoverá um ambiente mais robusto e confiável para a gestão de dados.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Ad-hoc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Otimizado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1 (Ad-hoc).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5 (Otimizado).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1.50 → Nível 1 (Ad-hoc)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5.00 → Nível 5 (Otimizado)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Propósito: </w:t>
      </w:r>
      <w:r>
        <w:t>Estabelecer a versão, aprovação e histórico do documento.</w:t>
      </w:r>
    </w:p>
    <w:p>
      <w:r>
        <w:rPr>
          <w:b/>
        </w:rPr>
        <w:t xml:space="preserve">Conteúdo Esperado: </w:t>
      </w:r>
      <w:r>
        <w:t>Título,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Registro de Requisitos de Propriedade e Responsabilidades da Governança de Dados</w:t>
      </w:r>
    </w:p>
    <w:p>
      <w:pPr>
        <w:pStyle w:val="Heading4"/>
      </w:pPr>
      <w:r>
        <w:t>Versão e Status: Versão 1.0,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Revisões: Criação inicial em [Data], por [Autor].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os requisitos para atribuir propriedade e responsabilidades de governança, garantindo alinhamento com a estrutura DAMA.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Propósito: </w:t>
      </w:r>
      <w:r>
        <w:t>Fornecer materiais suplementares que apoiem o documento.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requisitos.</w:t>
      </w:r>
    </w:p>
    <w:p>
      <w:pPr>
        <w:pStyle w:val="Heading4"/>
      </w:pPr>
      <w:r>
        <w:t>Normas de Referência: Estrutura DAMA-DMBOK.</w:t>
      </w:r>
    </w:p>
    <w:p>
      <w:pPr>
        <w:pStyle w:val="Heading4"/>
      </w:pPr>
      <w:r>
        <w:t>Artefatos de Apoio: Documentos anteriores de política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Propósito: </w:t>
      </w:r>
      <w:r>
        <w:t>Definir o domínio da governança e contextualizar o documento dentro da organização.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 (DG)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pStyle w:val="Heading4"/>
      </w:pPr>
      <w:r>
        <w:t>Posicionamento de Maturidade: Pontuação 1 - Inicial</w:t>
      </w:r>
    </w:p>
    <w:p>
      <w:pPr>
        <w:pStyle w:val="Heading4"/>
      </w:pPr>
      <w:r>
        <w:t>3.2.2.2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DG-02 - Atribuir propriedade e responsabilidades de governança</w:t>
      </w:r>
    </w:p>
    <w:p>
      <w:pPr>
        <w:pStyle w:val="Heading4"/>
      </w:pPr>
      <w:r>
        <w:t>Objetivo da Ação: Estabelecer propriedade e responsabilidades claras para a governança de dados.</w:t>
      </w:r>
    </w:p>
    <w:p>
      <w:pPr>
        <w:pStyle w:val="Heading4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3.2.2.3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Consolidar efetivamente os requisitos de política de governança.</w:t>
      </w:r>
    </w:p>
    <w:p>
      <w:pPr>
        <w:pStyle w:val="Heading4"/>
      </w:pPr>
      <w:r>
        <w:t>Pré-requisitos: DG-01 devem estar completos.</w:t>
      </w:r>
    </w:p>
    <w:p>
      <w:pPr>
        <w:pStyle w:val="Heading4"/>
      </w:pPr>
      <w:r>
        <w:t>Entregáveis: Registro de requisitos.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papéis de governança de dados estão incluídos.</w:t>
      </w:r>
    </w:p>
    <w:p>
      <w:pPr>
        <w:pStyle w:val="Heading4"/>
      </w:pPr>
      <w:r>
        <w:t>Cobertura de Ativos de Dados: Todos os ativos de dados governados pelo Conselho de Governança de Dados.</w:t>
      </w:r>
    </w:p>
    <w:p>
      <w:pPr>
        <w:pStyle w:val="Heading4"/>
      </w:pPr>
      <w:r>
        <w:t>Temas de Governança: Responsabilidade, autoridade de decisão, curadoria.</w:t>
      </w:r>
    </w:p>
    <w:p>
      <w:pPr>
        <w:pStyle w:val="Heading4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4"/>
      </w:pPr>
      <w:r>
        <w:t>Interfaces com Outras Estruturas de Governança: Coordenação com outros domínios de governança conforme necessário.</w:t>
      </w:r>
    </w:p>
    <w:p>
      <w:pPr>
        <w:pStyle w:val="Heading4"/>
      </w:pPr>
      <w:r>
        <w:t>Exclusões Explícitas: Nenhuma identificada neste estágio.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1 (Ad-hoc).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spacing w:after="120"/>
      </w:pPr>
      <w:r>
        <w:t>Código da ação acionada: DG-02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DG-02 - Atribuir propriedade e responsabilidades de governança</w:t>
      </w:r>
    </w:p>
    <w:p>
      <w:pPr>
        <w:pStyle w:val="Heading5"/>
      </w:pPr>
      <w:r>
        <w:t>Objetivo da Ação: Estabelecer propriedade e responsabilidades claras para a governança de dados.</w:t>
      </w:r>
    </w:p>
    <w:p>
      <w:pPr>
        <w:pStyle w:val="Heading5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3.4.2.2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Consolidar efetivamente os requisitos de política de governança.</w:t>
      </w:r>
    </w:p>
    <w:p>
      <w:pPr>
        <w:pStyle w:val="Heading5"/>
      </w:pPr>
      <w:r>
        <w:t>Pré-requisitos: DG-01 devem estar completos.</w:t>
      </w:r>
    </w:p>
    <w:p>
      <w:pPr>
        <w:pStyle w:val="Heading5"/>
      </w:pPr>
      <w:r>
        <w:t>Entregáveis: Registro de requisitos.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Consolidar requisitos da política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DG-01 completo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requisitos</w:t>
      </w:r>
    </w:p>
    <w:p>
      <w:r>
        <w:rPr>
          <w:b/>
        </w:rPr>
        <w:t>Recomendações:</w:t>
      </w:r>
    </w:p>
    <w:p>
      <w:pPr>
        <w:pStyle w:val="ListBullet"/>
      </w:pPr>
      <w:r>
        <w:t>Consolidar requisitos usando orientações do DAMA para componentes de políticas, incluindo propósito, escopo, autoridade e regras de governança conforme descrito em DMBOK2 (Capítulo 3.5, p. 62).</w:t>
      </w:r>
    </w:p>
    <w:p>
      <w:pPr>
        <w:pStyle w:val="ListBullet"/>
      </w:pPr>
      <w:r>
        <w:t>Validar que requisitos refletem princípios DAMA para responsabilidade e autoridade de decisão descritos em fundamentos de governança (Capítulo 3, p. 51).</w:t>
      </w:r>
    </w:p>
    <w:p>
      <w:pPr>
        <w:pStyle w:val="ListBullet"/>
      </w:pPr>
      <w:r>
        <w:t>Garantir que cada requisito esteja alinhado com responsabilidades de stewardship e propriedade definidas por DAMA (Capítulo 3.2, p. 55–57).</w:t>
      </w:r>
    </w:p>
    <w:p>
      <w:pPr>
        <w:pStyle w:val="ListBullet"/>
      </w:pPr>
      <w:r>
        <w:t>Confirmar cobertura de papéis e processos de governança conforme modelo funcional de atividades de governança DAMA (Capítulo 3.3, p. 58–59).</w:t>
      </w:r>
    </w:p>
    <w:p>
      <w:r>
        <w:rPr>
          <w:b/>
        </w:rPr>
        <w:t>Notas:</w:t>
      </w:r>
    </w:p>
    <w:p>
      <w:pPr>
        <w:pStyle w:val="ListBullet"/>
      </w:pPr>
      <w:r>
        <w:t>Utilizar critérios de capacidade de política DCAM para garantir que requisitos sejam estruturados, consistentes e rastreáveis entre domínios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Produzir política formal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requisitos validados</w:t>
      </w:r>
    </w:p>
    <w:p>
      <w:pPr>
        <w:spacing w:before="120" w:after="120"/>
      </w:pPr>
      <w:r>
        <w:rPr>
          <w:b/>
        </w:rPr>
        <w:t xml:space="preserve">Entregável: </w:t>
      </w:r>
      <w:r>
        <w:t>Política corporativa de governança v1.0</w:t>
      </w:r>
    </w:p>
    <w:p>
      <w:r>
        <w:rPr>
          <w:b/>
        </w:rPr>
        <w:t>Recomendações:</w:t>
      </w:r>
    </w:p>
    <w:p>
      <w:pPr>
        <w:pStyle w:val="ListBullet"/>
      </w:pPr>
      <w:r>
        <w:t>Criar política formal seguindo estrutura recomendada DAMA para políticas de governança, incluindo propósito, autoridade, papéis, escalonamento e expectativas de conformidade (Capítulo 3.5, p. 62–63).</w:t>
      </w:r>
    </w:p>
    <w:p>
      <w:pPr>
        <w:pStyle w:val="ListBullet"/>
      </w:pPr>
      <w:r>
        <w:t>Garantir que a política esteja alinhada com princípios DAMA para transparência de decisão e responsabilidade clara (Capítulo 3, p. 51).</w:t>
      </w:r>
    </w:p>
    <w:p>
      <w:pPr>
        <w:pStyle w:val="ListBullet"/>
      </w:pPr>
      <w:r>
        <w:t>Formatar o documento usando as convenções de artefato do DAMA para garantir que a política seja auditável e repetível (Capítulo 3 Apêndice, p. 69–70).</w:t>
      </w:r>
    </w:p>
    <w:p>
      <w:pPr>
        <w:pStyle w:val="ListBullet"/>
      </w:pPr>
      <w:r>
        <w:t>Incorporar responsabilidades de gestão do modelo de gestão DAMA para garantir que a política defina propriedade de decisão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práticas de aprovação de políticas CMMI para reforçar o controle de qualidade e a disciplina de versionamento durante a criação de políticas.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Definir padrões e regras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política v1.0</w:t>
      </w:r>
    </w:p>
    <w:p>
      <w:pPr>
        <w:spacing w:before="120" w:after="120"/>
      </w:pPr>
      <w:r>
        <w:rPr>
          <w:b/>
        </w:rPr>
        <w:t xml:space="preserve">Entregável: </w:t>
      </w:r>
      <w:r>
        <w:t>Manual de Padrões de Governança de Dados</w:t>
      </w:r>
    </w:p>
    <w:p>
      <w:r>
        <w:rPr>
          <w:b/>
        </w:rPr>
        <w:t>Recomendações:</w:t>
      </w:r>
    </w:p>
    <w:p>
      <w:pPr>
        <w:pStyle w:val="ListBullet"/>
      </w:pPr>
      <w:r>
        <w:t>Definir padrões usando a orientação DAMA para tipos de regras de governança, incluindo regras de dados, regras de ciclo de vida e regras de gestão (Capítulo 3.5, p. 62–63).</w:t>
      </w:r>
    </w:p>
    <w:p>
      <w:pPr>
        <w:pStyle w:val="ListBullet"/>
      </w:pPr>
      <w:r>
        <w:t>Confirmar que regras refletem expectativas semânticas, de metadados e qualidade de DAMA documentadas em DMBOK2 (Capítulos 9, 10 e 11).</w:t>
      </w:r>
    </w:p>
    <w:p>
      <w:pPr>
        <w:pStyle w:val="ListBullet"/>
      </w:pPr>
      <w:r>
        <w:t>Garantir que cada padrão esteja vinculado a um papel de governança seguindo as descrições de responsabilidade de DAMA (Capítulo 3.2, p. 55–57).</w:t>
      </w:r>
    </w:p>
    <w:p>
      <w:pPr>
        <w:pStyle w:val="ListBullet"/>
      </w:pPr>
      <w:r>
        <w:t>Validar completude das regras usando recomendações DAMA para dimensões de metadados e qualidade (Capítulo 10, p. 282–284).</w:t>
      </w:r>
    </w:p>
    <w:p>
      <w:r>
        <w:rPr>
          <w:b/>
        </w:rPr>
        <w:t>Notas:</w:t>
      </w:r>
    </w:p>
    <w:p>
      <w:pPr>
        <w:pStyle w:val="ListBullet"/>
      </w:pPr>
      <w:r>
        <w:t>Aplicar princípios de necessidade e proporcionalidade de GDPR ao definir regras que afetam direitos de acesso, uso ou retenção de dados pessoais.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Atribuir propriedade e gestão definitivas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descrições de papéis atualizadas.</w:t>
      </w:r>
    </w:p>
    <w:p>
      <w:pPr>
        <w:spacing w:before="120" w:after="120"/>
      </w:pPr>
      <w:r>
        <w:rPr>
          <w:b/>
        </w:rPr>
        <w:t xml:space="preserve">Entregável: </w:t>
      </w:r>
      <w:r>
        <w:t>Mapa de propriedade e stewardship</w:t>
      </w:r>
    </w:p>
    <w:p>
      <w:r>
        <w:rPr>
          <w:b/>
        </w:rPr>
        <w:t>Recomendações:</w:t>
      </w:r>
    </w:p>
    <w:p>
      <w:pPr>
        <w:pStyle w:val="ListBullet"/>
      </w:pPr>
      <w:r>
        <w:t>Atribuir proprietários e stewards usando competências formais e modelos de responsabilidade de DAMA para papéis de governança (Capítulo 4, p. 86–89).</w:t>
      </w:r>
    </w:p>
    <w:p>
      <w:pPr>
        <w:pStyle w:val="ListBullet"/>
      </w:pPr>
      <w:r>
        <w:t>Garanta que as atribuições de propriedade reflitam a estrutura de autoridade de escalonamento e decisão de DAMA (Capítulo 3.4, p. 60).</w:t>
      </w:r>
    </w:p>
    <w:p>
      <w:pPr>
        <w:pStyle w:val="ListBullet"/>
      </w:pPr>
      <w:r>
        <w:t>Validar cobertura de stewardship entre domínios de dados seguindo alinhamento funcional de governança DAMA (Figura 3-2, p. 53).</w:t>
      </w:r>
    </w:p>
    <w:p>
      <w:pPr>
        <w:pStyle w:val="ListBullet"/>
      </w:pPr>
      <w:r>
        <w:t>Confirme alinhamento das responsabilidades com checkpoints do ciclo de vida descritos por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indicadores de prontidão IDGC para confirmar que owners e stewards possuem adequação comportamental e suporte organizacional para executar suas responsabilidades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Publicar papéis e responsabilidades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aprovação e mapeamento de papéis</w:t>
      </w:r>
    </w:p>
    <w:p>
      <w:pPr>
        <w:spacing w:before="120" w:after="120"/>
      </w:pPr>
      <w:r>
        <w:rPr>
          <w:b/>
        </w:rPr>
        <w:t xml:space="preserve">Entregável: </w:t>
      </w:r>
      <w:r>
        <w:t>Estatuto de papéis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Publicar papéis seguindo orientações DAMA sobre comunicação de governança e engajamento de stakeholders (Capítulo 3.6, p. 64).</w:t>
      </w:r>
    </w:p>
    <w:p>
      <w:pPr>
        <w:pStyle w:val="ListBullet"/>
      </w:pPr>
      <w:r>
        <w:t>Esclarecer responsabilidades usando a estrutura de responsabilidade DAMA para evitar ambiguidade na autoridade de decisão (Capítulo 3, p.51).</w:t>
      </w:r>
    </w:p>
    <w:p>
      <w:pPr>
        <w:pStyle w:val="ListBullet"/>
      </w:pPr>
      <w:r>
        <w:t>Documentar responsabilidades e mapeamentos seguindo formatação de artefatos DAMA para materiais de governança (Capítulo 3 Apêndice, p. 69).</w:t>
      </w:r>
    </w:p>
    <w:p>
      <w:pPr>
        <w:pStyle w:val="ListBullet"/>
      </w:pPr>
      <w:r>
        <w:t>Garantir que deveres de stewardship e propriedade sejam comunicados claramente em conformidade com os princípios de stewardship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Aplique práticas de alinhamento organizacional DCAM para garantir que os papéis sejam adotados de forma consistente nos domínios de negócios e técnicos.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papéis de governança de dados estão incluídos.</w:t>
      </w:r>
    </w:p>
    <w:p>
      <w:pPr>
        <w:pStyle w:val="Heading5"/>
      </w:pPr>
      <w:r>
        <w:t>Cobertura de Ativos de Dados: Todos os ativos de dados governados pelo Conselho de Governança de Dados.</w:t>
      </w:r>
    </w:p>
    <w:p>
      <w:pPr>
        <w:pStyle w:val="Heading5"/>
      </w:pPr>
      <w:r>
        <w:t>Temas de Governança: Responsabilidade, autoridade de decisão,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Nenhuma identificada neste estágio.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5 (Otimizado).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DMD-06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de Ação</w:t>
      </w:r>
    </w:p>
    <w:p>
      <w:r>
        <w:rPr>
          <w:b/>
        </w:rPr>
        <w:t xml:space="preserve">Objetivo: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DMD-06 - Automatizar a validação de modelagem e qualidade semântica</w:t>
      </w:r>
    </w:p>
    <w:p>
      <w:pPr>
        <w:pStyle w:val="Heading5"/>
      </w:pPr>
      <w:r>
        <w:t>Objetivo da Ação: Estabelecer um conjunto abrangente de KPI para validação de modelagem.</w:t>
      </w:r>
    </w:p>
    <w:p>
      <w:pPr>
        <w:pStyle w:val="Heading5"/>
      </w:pPr>
      <w:r>
        <w:t>Limites de Escopo da Ação: Aplicável a todas as práticas de modelagem de dados dentro do DMD.</w:t>
      </w:r>
    </w:p>
    <w:p>
      <w:pPr>
        <w:pStyle w:val="Heading4"/>
      </w:pPr>
      <w:r>
        <w:t>3.6.2.2 Definição de Procedimento</w:t>
      </w:r>
    </w:p>
    <w:p>
      <w:r>
        <w:rPr>
          <w:b/>
        </w:rPr>
        <w:t xml:space="preserve">Objetivo: </w:t>
      </w:r>
      <w:r>
        <w:t>Delimitar os procedimentos específicos a serem seguidos para a ação.</w:t>
      </w:r>
    </w:p>
    <w:p>
      <w:r>
        <w:rPr>
          <w:b/>
        </w:rPr>
        <w:t xml:space="preserve">Conteúdo Esperado: </w:t>
      </w:r>
      <w:r>
        <w:t>Objetivo, pré-requisitos, entregáveis e uma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Definir indicadores de validação de modelagem que garantam qualidade semântica.</w:t>
      </w:r>
    </w:p>
    <w:p>
      <w:pPr>
        <w:pStyle w:val="Heading5"/>
      </w:pPr>
      <w:r>
        <w:t>Pré-requisitos: Requer fluxos de trabalho DMD-04.</w:t>
      </w:r>
    </w:p>
    <w:p>
      <w:pPr>
        <w:pStyle w:val="Heading5"/>
      </w:pPr>
      <w:r>
        <w:t>Entregáveis: Conjunto de KPI de modelagem.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Definir indicadores de validação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fluxos de trabalho DMD-04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de modelagem KPI</w:t>
      </w:r>
    </w:p>
    <w:p>
      <w:r>
        <w:rPr>
          <w:b/>
        </w:rPr>
        <w:t>Recomendações:</w:t>
      </w:r>
    </w:p>
    <w:p>
      <w:pPr>
        <w:pStyle w:val="ListBullet"/>
      </w:pPr>
      <w:r>
        <w:t>Definir KPIs seguindo a orientação DAMA para completude de modelagem, coerência semântica e consistência de linhagem (Capítulo 10, p. 282–284).</w:t>
      </w:r>
    </w:p>
    <w:p>
      <w:pPr>
        <w:pStyle w:val="ListBullet"/>
      </w:pPr>
      <w:r>
        <w:t>Garantir que KPIs reflitam expectativas do ciclo de vida DAMA para definições estáveis de dados e relacionamentos semânticos aprovados (Capítulo 4.3, p. 92).</w:t>
      </w:r>
    </w:p>
    <w:p>
      <w:pPr>
        <w:pStyle w:val="ListBullet"/>
      </w:pPr>
      <w:r>
        <w:t>Validar alinhamento com dimensões de qualidade DAMA, incluindo precisão, consistência e integridade (Capítulo 11, p. 308–311).</w:t>
      </w:r>
    </w:p>
    <w:p>
      <w:pPr>
        <w:pStyle w:val="ListBullet"/>
      </w:pPr>
      <w:r>
        <w:t>Confirmar que papéis de governança e propriedade estão representados conforme princípios de governança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Utilizar indicadores de capacidade DCAM para criar escalas de medição para modelar maturidade.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Estabelecer regras automatizadas de validação semântica e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critérios de modelagem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automatizado de regras de validação</w:t>
      </w:r>
    </w:p>
    <w:p>
      <w:r>
        <w:rPr>
          <w:b/>
        </w:rPr>
        <w:t>Recomendações:</w:t>
      </w:r>
    </w:p>
    <w:p>
      <w:pPr>
        <w:pStyle w:val="ListBullet"/>
      </w:pPr>
      <w:r>
        <w:t>Estabelecer regras seguindo requisitos semânticos e de metadados DAMA (Capítulo 9, p. 236).</w:t>
      </w:r>
    </w:p>
    <w:p>
      <w:pPr>
        <w:pStyle w:val="ListBullet"/>
      </w:pPr>
      <w:r>
        <w:t>Garantir que a automação verifique relacionamentos, definições e caminhos de linhagem conforme descrito nas orientações de modelagem DAMA (Capítulo 10, p. 282–284).</w:t>
      </w:r>
    </w:p>
    <w:p>
      <w:pPr>
        <w:pStyle w:val="ListBullet"/>
      </w:pPr>
      <w:r>
        <w:t>Validar alinhamento do ciclo de vida usando pontos de verificação de controle DAMA (Capítulo 4.3, p. 92).</w:t>
      </w:r>
    </w:p>
    <w:p>
      <w:pPr>
        <w:pStyle w:val="ListBullet"/>
      </w:pPr>
      <w:r>
        <w:t>Documentar regras automatizadas usando padrões de artefatos DAMA (Capítulo 3 Apêndice, p. 69–70).</w:t>
      </w:r>
    </w:p>
    <w:p>
      <w:r>
        <w:rPr>
          <w:b/>
        </w:rPr>
        <w:t>Notas:</w:t>
      </w:r>
    </w:p>
    <w:p>
      <w:pPr>
        <w:pStyle w:val="ListBullet"/>
      </w:pPr>
      <w:r>
        <w:t>Use critérios de prontidão para automação CMMI para confirmar estabilidade antes de escalar verificações automatizadas.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Implementar dashboards de monitoramento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regras de validação</w:t>
      </w:r>
    </w:p>
    <w:p>
      <w:pPr>
        <w:spacing w:before="120" w:after="120"/>
      </w:pPr>
      <w:r>
        <w:rPr>
          <w:b/>
        </w:rPr>
        <w:t xml:space="preserve">Entregável: </w:t>
      </w:r>
      <w:r>
        <w:t>Painel de monitoramento de modelagem</w:t>
      </w:r>
    </w:p>
    <w:p>
      <w:r>
        <w:rPr>
          <w:b/>
        </w:rPr>
        <w:t>Recomendações:</w:t>
      </w:r>
    </w:p>
    <w:p>
      <w:pPr>
        <w:pStyle w:val="ListBullet"/>
      </w:pPr>
      <w:r>
        <w:t>Implemente dashboards usando princípios de monitoramento de governança DAMA (Capítulo 3.6, p. 64).</w:t>
      </w:r>
    </w:p>
    <w:p>
      <w:pPr>
        <w:pStyle w:val="ListBullet"/>
      </w:pPr>
      <w:r>
        <w:t>Incluir indicadores semânticos, de qualidade e metadados alinhados às expectativas do DAMA (Capítulos 9 a 11).</w:t>
      </w:r>
    </w:p>
    <w:p>
      <w:pPr>
        <w:pStyle w:val="ListBullet"/>
      </w:pPr>
      <w:r>
        <w:t>Validar alinhamento do ciclo de vida usando pontos de verificação DAMA (Capítulo 4.3, p. 92).</w:t>
      </w:r>
    </w:p>
    <w:p>
      <w:pPr>
        <w:pStyle w:val="ListBullet"/>
      </w:pPr>
      <w:r>
        <w:t>Garantir que indicadores do painel mapeiem para responsabilidades de propriedade e stewardship descritas pelo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Utilize práticas de visualização de qualidade de dados DCAM para melhorar a clareza do desempenho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Habilitar alertas automatizados de conformidade semântica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dashboards ativos</w:t>
      </w:r>
    </w:p>
    <w:p>
      <w:pPr>
        <w:spacing w:before="120" w:after="120"/>
      </w:pPr>
      <w:r>
        <w:rPr>
          <w:b/>
        </w:rPr>
        <w:t xml:space="preserve">Entregável: </w:t>
      </w:r>
      <w:r>
        <w:t>Feed de alertas semânticos</w:t>
      </w:r>
    </w:p>
    <w:p>
      <w:r>
        <w:rPr>
          <w:b/>
        </w:rPr>
        <w:t>Recomendações:</w:t>
      </w:r>
    </w:p>
    <w:p>
      <w:pPr>
        <w:pStyle w:val="ListBullet"/>
      </w:pPr>
      <w:r>
        <w:t>Habilitar alertas conforme práticas de escalonamento e supervisão DAMA (Capítulo 3.4, p. 60).</w:t>
      </w:r>
    </w:p>
    <w:p>
      <w:pPr>
        <w:pStyle w:val="ListBullet"/>
      </w:pPr>
      <w:r>
        <w:t>Garantir que alertas reflitam pontos de ruptura semânticos, metadados ausentes ou definições inconsistentes alinhadas com orientação DAMA (Capítulo 10, p. 282–284).</w:t>
      </w:r>
    </w:p>
    <w:p>
      <w:pPr>
        <w:pStyle w:val="ListBullet"/>
      </w:pPr>
      <w:r>
        <w:t>Validar impacto no ciclo de vida usando checkpoints DAMA (Capítulo 4.3, p. 92).</w:t>
      </w:r>
    </w:p>
    <w:p>
      <w:pPr>
        <w:pStyle w:val="ListBullet"/>
      </w:pPr>
      <w:r>
        <w:t>Confirmar que as responsabilidades de governança para triagem de alertas seguem as expectativas do papel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a lógica de ação corretiva CMMI para otimizar o tratamento semântico de incidentes.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Manter governança automatizada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maturidade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Modelagem de log operacional</w:t>
      </w:r>
    </w:p>
    <w:p>
      <w:r>
        <w:rPr>
          <w:b/>
        </w:rPr>
        <w:t>Recomendações:</w:t>
      </w:r>
    </w:p>
    <w:p>
      <w:pPr>
        <w:pStyle w:val="ListBullet"/>
      </w:pPr>
      <w:r>
        <w:t>Manter automação baseada nas diretrizes DAMA para continuidade da governança (Capítulo 3.6, p. 64).</w:t>
      </w:r>
    </w:p>
    <w:p>
      <w:pPr>
        <w:pStyle w:val="ListBullet"/>
      </w:pPr>
      <w:r>
        <w:t>Garantir alinhamento com expectativas de modelagem e metadados DAMA (Capítulos 9 e 10).</w:t>
      </w:r>
    </w:p>
    <w:p>
      <w:pPr>
        <w:pStyle w:val="ListBullet"/>
      </w:pPr>
      <w:r>
        <w:t>Valide responsabilidades do ciclo de vida usando checkpoints DAMA (Capítulo 4.3, p. 92).</w:t>
      </w:r>
    </w:p>
    <w:p>
      <w:pPr>
        <w:pStyle w:val="ListBullet"/>
      </w:pPr>
      <w:r>
        <w:t>Confirme que a documentação segue a estrutura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avaliações de capacidade operacional do DCAM para identificar áreas onde automação de modelagem pode ser expandida.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Medição e Supervisão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institucionalizado</w:t>
      </w:r>
    </w:p>
    <w:p>
      <w:pPr>
        <w:spacing w:before="120" w:after="120"/>
      </w:pPr>
      <w:r>
        <w:rPr>
          <w:b/>
        </w:rPr>
        <w:t xml:space="preserve">Entregável: </w:t>
      </w:r>
      <w:r>
        <w:t>Ambiente de controle de governança gerenciado e mensurado</w:t>
      </w:r>
    </w:p>
    <w:p>
      <w:r>
        <w:rPr>
          <w:b/>
        </w:rPr>
        <w:t>Recomendações:</w:t>
      </w:r>
    </w:p>
    <w:p>
      <w:pPr>
        <w:pStyle w:val="ListBullet"/>
      </w:pPr>
      <w:r>
        <w:t>Definir métricas de desempenho mensuráveis alinhadas aos objetivos de governança.</w:t>
      </w:r>
    </w:p>
    <w:p>
      <w:pPr>
        <w:pStyle w:val="ListBullet"/>
      </w:pPr>
      <w:r>
        <w:t>Implementar mecanismos estruturados de monitoramento ou painéis de controle.</w:t>
      </w:r>
    </w:p>
    <w:p>
      <w:pPr>
        <w:pStyle w:val="ListBullet"/>
      </w:pPr>
      <w:r>
        <w:t>Estabelecer ciclos formais de validação incluindo revisões periódicas.</w:t>
      </w:r>
    </w:p>
    <w:p>
      <w:pPr>
        <w:pStyle w:val="ListBullet"/>
      </w:pPr>
      <w:r>
        <w:t>Manter documentação rastreável dos resultados de desempenho.</w:t>
      </w:r>
    </w:p>
    <w:p>
      <w:pPr>
        <w:pStyle w:val="ListBullet"/>
      </w:pPr>
      <w:r>
        <w:t>Definir caminhos de escalonamento para desvios não resolvidos.</w:t>
      </w:r>
    </w:p>
    <w:p>
      <w:pPr>
        <w:pStyle w:val="ListBullet"/>
      </w:pPr>
      <w:r>
        <w:t>Identificar Stakeholders e Papéis</w:t>
      </w:r>
    </w:p>
    <w:p>
      <w:pPr>
        <w:pStyle w:val="ListBullet"/>
      </w:pPr>
      <w:r>
        <w:t>Revisar Fluxos de Trabalho Existentes (DMD-04)</w:t>
      </w:r>
    </w:p>
    <w:p>
      <w:pPr>
        <w:pStyle w:val="ListBullet"/>
      </w:pPr>
      <w:r>
        <w:t>Definir KPI de Modelagem</w:t>
      </w:r>
    </w:p>
    <w:p>
      <w:pPr>
        <w:pStyle w:val="ListBullet"/>
      </w:pPr>
      <w:r>
        <w:t>Validar KPI contra Dimensões de Qualidade</w:t>
      </w:r>
    </w:p>
    <w:p>
      <w:pPr>
        <w:pStyle w:val="ListBullet"/>
      </w:pPr>
      <w:r>
        <w:t>Incorporar Indicadores de Capacidade __ACR10</w:t>
      </w:r>
    </w:p>
    <w:p>
      <w:pPr>
        <w:pStyle w:val="ListBullet"/>
      </w:pPr>
      <w:r>
        <w:t>Estabelecer Pontos de Verificação de Governança e Curadoria</w:t>
      </w:r>
    </w:p>
    <w:p>
      <w:pPr>
        <w:pStyle w:val="ListBullet"/>
      </w:pPr>
      <w:r>
        <w:t>Finalizar e Aprovar Conjunto de KPI de Modelagem</w:t>
      </w:r>
    </w:p>
    <w:p>
      <w:pPr>
        <w:pStyle w:val="ListBullet"/>
      </w:pPr>
      <w:r>
        <w:t>Implementar Mecanismos de Monitoramento e Relatórios</w:t>
      </w:r>
    </w:p>
    <w:p>
      <w:pPr>
        <w:pStyle w:val="ListBullet"/>
      </w:pPr>
      <w:r>
        <w:t>Comunicar e Treinar Stakeholders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Definir a estrutura de governança que apoia a ação.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Dados.</w:t>
      </w:r>
    </w:p>
    <w:p>
      <w:pPr>
        <w:pStyle w:val="Heading5"/>
      </w:pPr>
      <w:r>
        <w:t>Modelo de Autoridade de Decisão: Papéis e responsabilidades definidos para aprovação de KPI.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Desenvolvimento e aprovação de KPI</w:t>
      </w:r>
    </w:p>
    <w:p>
      <w:pPr>
        <w:pStyle w:val="ListBullet"/>
      </w:pPr>
      <w:r>
        <w:t>Revisões regulares de desempenho de KPI</w:t>
      </w:r>
    </w:p>
    <w:p>
      <w:pPr>
        <w:pStyle w:val="ListBullet"/>
      </w:pPr>
      <w:r>
        <w:t>Protocolos de comunicação com stakeholders</w:t>
      </w:r>
    </w:p>
    <w:p>
      <w:pPr>
        <w:pStyle w:val="Heading5"/>
      </w:pPr>
      <w:r>
        <w:t>Interfaces com Outras Estruturas de Governança: Coordenação com a governança de Qualidade de Dados e Arquitetura de Dados.</w:t>
      </w:r>
    </w:p>
    <w:p>
      <w:pPr>
        <w:pStyle w:val="Heading5"/>
      </w:pPr>
      <w:r>
        <w:t>Exclusões Explícitas: Exclui atividades de governança de dados não relacionadas a DMD.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Estrutura de Monitoramento de Desempenho</w:t>
      </w:r>
    </w:p>
    <w:p>
      <w:pPr>
        <w:pStyle w:val="ListBullet"/>
      </w:pPr>
      <w:r>
        <w:t>Definir fórmula e método de cálculo de KPI</w:t>
      </w:r>
    </w:p>
    <w:p>
      <w:pPr>
        <w:pStyle w:val="ListBullet"/>
      </w:pPr>
      <w:r>
        <w:t>Definir valores-alvo e limites de tolerância</w:t>
      </w:r>
    </w:p>
    <w:p>
      <w:pPr>
        <w:pStyle w:val="ListBullet"/>
      </w:pPr>
      <w:r>
        <w:t>Definir gatilhos de alerta e violação</w:t>
      </w:r>
    </w:p>
    <w:p>
      <w:pPr>
        <w:pStyle w:val="ListBullet"/>
      </w:pPr>
      <w:r>
        <w:t>Definir critérios de ativação de ações corretivas</w:t>
      </w:r>
    </w:p>
    <w:p>
      <w:pPr>
        <w:pStyle w:val="Heading5"/>
      </w:pPr>
      <w:r>
        <w:t>Verificação de Conformidade e Auditoria</w:t>
      </w:r>
    </w:p>
    <w:p>
      <w:pPr>
        <w:pStyle w:val="ListBullet"/>
      </w:pPr>
      <w:r>
        <w:t>Definir metodologia de amostragem de auditoria</w:t>
      </w:r>
    </w:p>
    <w:p>
      <w:pPr>
        <w:pStyle w:val="ListBullet"/>
      </w:pPr>
      <w:r>
        <w:t>Definir frequência de validação</w:t>
      </w:r>
    </w:p>
    <w:p>
      <w:pPr>
        <w:pStyle w:val="ListBullet"/>
      </w:pPr>
      <w:r>
        <w:t>Definir requisitos de retenção de evidências</w:t>
      </w:r>
    </w:p>
    <w:p>
      <w:pPr>
        <w:pStyle w:val="ListBullet"/>
      </w:pPr>
      <w:r>
        <w:t>Alinhar com a supervisão da Função de Auditoria Interna</w:t>
      </w:r>
    </w:p>
    <w:p>
      <w:pPr>
        <w:pStyle w:val="Heading5"/>
      </w:pPr>
      <w:r>
        <w:t>Modelo de Escalonamento Controlado</w:t>
      </w:r>
    </w:p>
    <w:p>
      <w:pPr>
        <w:pStyle w:val="ListBullet"/>
      </w:pPr>
      <w:r>
        <w:t>Definir prazos formais de SLA para resolução de problemas</w:t>
      </w:r>
    </w:p>
    <w:p>
      <w:pPr>
        <w:pStyle w:val="ListBullet"/>
      </w:pPr>
      <w:r>
        <w:t>Definir relatórios obrigatórios ao Conselho de Governança de Dados</w:t>
      </w:r>
    </w:p>
    <w:p>
      <w:pPr>
        <w:pStyle w:val="ListBullet"/>
      </w:pPr>
      <w:r>
        <w:t>Definir mecanismo de rastreamento de responsabilidade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 do documento.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agendadas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4"/>
      </w:pPr>
      <w:r>
        <w:t>3.6.2.6 Métricas de Desempenho</w:t>
      </w:r>
    </w:p>
    <w:p>
      <w:pPr>
        <w:pStyle w:val="ListBullet"/>
      </w:pPr>
      <w:r>
        <w:t>% de domínios com artefatos aprovados</w:t>
      </w:r>
    </w:p>
    <w:p>
      <w:pPr>
        <w:pStyle w:val="ListBullet"/>
      </w:pPr>
      <w:r>
        <w:t>% de revisões dentro de SLA</w:t>
      </w:r>
    </w:p>
    <w:p>
      <w:pPr>
        <w:pStyle w:val="ListBullet"/>
      </w:pPr>
      <w:r>
        <w:t>% de procedimentos com evidências válidas</w:t>
      </w:r>
    </w:p>
    <w:p>
      <w:pPr>
        <w:pStyle w:val="ListBullet"/>
      </w:pPr>
      <w:r>
        <w:t>Tempo médio de ciclo de atualização</w:t>
      </w:r>
    </w:p>
    <w:p>
      <w:pPr>
        <w:pStyle w:val="ListBullet"/>
      </w:pPr>
      <w:r>
        <w:t>Incidentes de não conformidade por ciclo</w:t>
      </w:r>
    </w:p>
    <w:p>
      <w:pPr>
        <w:pStyle w:val="Heading4"/>
      </w:pPr>
      <w:r>
        <w:t>3.6.2.7 Painel de Monitoramento</w:t>
      </w:r>
    </w:p>
    <w:p>
      <w:pPr>
        <w:pStyle w:val="ListBullet"/>
      </w:pPr>
      <w:r>
        <w:t>Status de conformidade do domínio</w:t>
      </w:r>
    </w:p>
    <w:p>
      <w:pPr>
        <w:pStyle w:val="ListBullet"/>
      </w:pPr>
      <w:r>
        <w:t>Alertas de revisão pendentes</w:t>
      </w:r>
    </w:p>
    <w:p>
      <w:pPr>
        <w:pStyle w:val="ListBullet"/>
      </w:pPr>
      <w:r>
        <w:t>Mapa de calor de governança</w:t>
      </w:r>
    </w:p>
    <w:p>
      <w:pPr>
        <w:pStyle w:val="ListBullet"/>
      </w:pPr>
      <w:r>
        <w:t>Resumo de desempenho de KPI</w:t>
      </w:r>
    </w:p>
    <w:p>
      <w:pPr>
        <w:pStyle w:val="Heading4"/>
      </w:pPr>
      <w:r>
        <w:t>3.6.2.8 Ciclo de Validação de Conformidade</w:t>
      </w:r>
    </w:p>
    <w:p>
      <w:pPr>
        <w:pStyle w:val="ListBullet"/>
      </w:pPr>
      <w:r>
        <w:t>Revisão semestral obrigatória</w:t>
      </w:r>
    </w:p>
    <w:p>
      <w:pPr>
        <w:pStyle w:val="ListBullet"/>
      </w:pPr>
      <w:r>
        <w:t>Auditoria interna anual</w:t>
      </w:r>
    </w:p>
    <w:p>
      <w:pPr>
        <w:pStyle w:val="ListBullet"/>
      </w:pPr>
      <w:r>
        <w:t>Validação entre domínios</w:t>
      </w:r>
    </w:p>
    <w:p>
      <w:pPr>
        <w:pStyle w:val="ListBullet"/>
      </w:pPr>
      <w:r>
        <w:t>Revalidação de RACI</w:t>
      </w:r>
    </w:p>
    <w:p>
      <w:pPr>
        <w:pStyle w:val="ListBullet"/>
      </w:pPr>
      <w:r>
        <w:t>Protocolo de escalonamento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