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11:33:04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índice de maturidade moderado, sugerindo uma base para desenvolvimento adicional. O equilíbrio entre os domínios é crucial, e neste caso, observa-se uma disparidade significativa, especialmente em relação a um dos domínios, que se destaca em comparação aos demais. Esta diferença indica que há áreas específicas que demandam atenção mais urgente.</w:t>
      </w:r>
    </w:p>
    <w:p>
      <w:r>
        <w:t>Os domínios com desempenho abaixo da média devem ser priorizados para avançar na maturidade da governança de dados. O foco deve ser em fortalecer processos, definir papéis claros, estabelecer padrões consistentes e implementar monitoramento eficaz. Tais ações não apenas mitigarão a exposição gerada pelos domínios de menor maturidade, mas também auxiliarão no alinhamento dos esforços de governança e na promoção de um ambiente mais robusto.</w:t>
      </w:r>
    </w:p>
    <w:p>
      <w:r>
        <w:t>Para avançar, é essencial cultivar uma cultura de governança que valorize a responsabilidade e a integração de práticas, garantindo que todos os envolvidos compreendam seu papel na melhoria contínua. A implementação dessas recomendações pode levar a um progresso significativo na maturidade da governança de dados da organização.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