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13:19:26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moderado, indicando que a organização possui um potencial considerável para aprimorar sua abordagem em governança. A pontuação média das áreas avaliadas sugere um perfil relativamente equilibrado, com exceção de um domínio que se destaca significativamente acima dos outros. Essa disparidade pode indicar uma necessidade urgente de atenção e recursos naquele setor específico.</w:t>
      </w:r>
    </w:p>
    <w:p>
      <w:r>
        <w:t>As áreas que apresentam pontuações abaixo da média devem ser priorizadas para garantir um avanço eficaz na maturidade geral. Recomenda-se focar na definição clara de processos, na atribuição de papéis e responsabilidades, na elaboração de padrões que guiem as práticas de governança e na implementação de monitoramento contínuo. Essas ações não apenas melhorariam a governança nas áreas deficitárias, mas também ajudariam a mitigar a exposição gerada pelos domínios de menor maturidade.</w:t>
      </w:r>
    </w:p>
    <w:p>
      <w:r>
        <w:t>Para maximizar as oportunidades de crescimento, a organização deve, portanto, considerar um planejamento estratégico que inclua a integração de práticas de governança robustas em suas operações diárias.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