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2026-03-05 13:19:36</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cenário geral onde a maturidade está em um nível intermediário, refletindo um desenvolvimento moderado nas práticas de governança. A pontuação média das dimensões indica que a organização possui uma base sólida, mas com espaço para melhorias, especialmente nas áreas que apresentam um desempenho abaixo da média.</w:t>
      </w:r>
    </w:p>
    <w:p>
      <w:r>
        <w:t>A disparidade observada entre as dimensões sugere que há um foco desproporcional em certas áreas, o que pode comprometer a eficácia geral da governança de dados. As dimensões com pontuações inferiores à média devem ser priorizadas, visto que são responsáveis por uma maior exposição a riscos. Para endereçar essas lacunas, recomenda-se a implementação de processos mais robustos, definição clara de papéis e responsabilidades, estabelecimento de padrões de governança e monitoramento contínuo para garantir a conformidade e a melhoria contínua.</w:t>
      </w:r>
    </w:p>
    <w:p>
      <w:r>
        <w:t>A organização deve, portanto, concentrar esforços em fortalecer essas áreas críticas, promovendo uma abordagem mais equilibrada e integrada que, além de mitigar riscos, pode impulsionar a maturidade da governança de dados como um todo.</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pStyle w:val="Heading2"/>
      </w:pPr>
      <w:r>
        <w:t>2.1 Dependências Declaradas (fluxo do projeto)</w:t>
      </w:r>
    </w:p>
    <w:p>
      <w:pPr>
        <w:pStyle w:val="Heading3"/>
      </w:pPr>
      <w:r>
        <w:t>DG · Data Governance</w:t>
      </w:r>
    </w:p>
    <w:p>
      <w:pPr>
        <w:spacing w:after="120"/>
      </w:pPr>
      <w:r>
        <w:t>Nenhuma dependência declarada.</w:t>
      </w:r>
    </w:p>
    <w:p>
      <w:pPr>
        <w:pStyle w:val="Heading3"/>
      </w:pPr>
      <w:r>
        <w:t>DA · Data Architecture</w:t>
      </w:r>
    </w:p>
    <w:p>
      <w:pPr>
        <w:spacing w:after="120"/>
      </w:pPr>
      <w:r>
        <w:t>Dependências declaradas:</w:t>
      </w:r>
    </w:p>
    <w:p>
      <w:pPr>
        <w:pStyle w:val="ListBullet"/>
      </w:pPr>
      <w:r>
        <w:t>- DG · Data Governance (grade 1 · Ad-hoc)</w:t>
      </w:r>
    </w:p>
    <w:p>
      <w:pPr>
        <w:pStyle w:val="Heading3"/>
      </w:pPr>
      <w:r>
        <w:t>DMD · Data Modelling and Design</w:t>
      </w:r>
    </w:p>
    <w:p>
      <w:pPr>
        <w:spacing w:after="120"/>
      </w:pPr>
      <w:r>
        <w:t>Dependências declaradas:</w:t>
      </w:r>
    </w:p>
    <w:p>
      <w:pPr>
        <w:pStyle w:val="ListBullet"/>
      </w:pPr>
      <w:r>
        <w:t>- DG · Data Governance (grade 1 · Ad-hoc)</w:t>
      </w:r>
    </w:p>
    <w:p>
      <w:pPr>
        <w:pStyle w:val="ListBullet"/>
      </w:pPr>
      <w:r>
        <w:t>- DA · Data Architecture (grade 3 · Definido)</w:t>
      </w:r>
    </w:p>
    <w:p>
      <w:pPr>
        <w:pStyle w:val="Heading2"/>
      </w:pPr>
      <w:r>
        <w:t>2.2 Rupturas de Dependência Detectadas e Orientações de Remediação</w:t>
      </w:r>
    </w:p>
    <w:p>
      <w:pPr>
        <w:pStyle w:val="Heading3"/>
      </w:pPr>
      <w:r>
        <w:t>DA · Data Architecture depende de DG · Data Governance</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pStyle w:val="Heading3"/>
      </w:pPr>
      <w:r>
        <w:t>DMD · Data Modelling and Design depende de DG · Data Governance</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pStyle w:val="Heading3"/>
      </w:pPr>
      <w:r>
        <w:t>DMD · Data Modelling and Design depende de DA · Data Architecture</w:t>
      </w:r>
    </w:p>
    <w:p>
      <w:pPr>
        <w:spacing w:after="120"/>
      </w:pPr>
      <w:r>
        <w:t>Justificativa de severidade: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