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14:00:16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 xml:space="preserve">A análise do gráfico de maturidade em governança de dados revela um índice de maturidade que indica um desenvolvimento moderado. A presença de um equilíbrio notável entre as áreas sugere que a organização possui um perfil relativamente harmonioso, sem disparidades significativas que indiquem fraquezas evidentes em domínios específicos. </w:t>
      </w:r>
    </w:p>
    <w:p>
      <w:r>
        <w:t>No entanto, a avaliação mostra que algumas áreas não alcançaram o nível médio desejado. Essas áreas devem se tornar prioridades para que a organização possa avançar na sua maturidade em governança de dados. Para isso, recomenda-se a implementação de processos robustos, definição clara de papéis, estabelecimento de padrões de governança e monitoramento contínuo das práticas em vigor. Essas ações ajudarão a elevar a maturidade nas áreas mais carentes.</w:t>
      </w:r>
    </w:p>
    <w:p>
      <w:r>
        <w:t>Além disso, o grau de risco observado destaca a exposição resultante dos domínios de menor maturidade. A mitigação desse risco deve ser uma prioridade estratégica, pois a melhoria nas áreas menos desenvolvidas pode reduzir a vulnerabilidade geral da organização. Focar na evolução contínua e na consistência das práticas de governança permitirá um avanço significativo na maturidade da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